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31.png" ContentType="image/png"/>
  <Override PartName="/word/media/rId2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giao</w:t>
      </w:r>
      <w:r>
        <w:t xml:space="preserve"> </w:t>
      </w:r>
      <w:r>
        <w:t xml:space="preserve">diện</w:t>
      </w:r>
      <w:r>
        <w:t xml:space="preserve"> </w:t>
      </w:r>
      <w:r>
        <w:t xml:space="preserve">và</w:t>
      </w:r>
      <w:r>
        <w:t xml:space="preserve"> </w:t>
      </w:r>
      <w:r>
        <w:t xml:space="preserve">Subsystem</w:t>
      </w:r>
    </w:p>
    <w:p>
      <w:pPr>
        <w:pStyle w:val="FirstParagraph"/>
      </w:pPr>
      <w:r>
        <w:rPr>
          <w:bCs/>
          <w:b/>
        </w:rPr>
        <w:t xml:space="preserve">ĐẠI HỌC BÁCH KHOA HÀ NỘI</w:t>
      </w:r>
      <w:r>
        <w:br/>
      </w:r>
      <w:r>
        <w:rPr>
          <w:bCs/>
          <w:b/>
        </w:rPr>
        <w:t xml:space="preserve">TRƯỜNG CÔNG NGHỆ THÔNG TIN VÀ TRUYỀN THÔNG</w:t>
      </w:r>
    </w:p>
    <w:p>
      <w:pPr>
        <w:pStyle w:val="BodyText"/>
      </w:pPr>
      <w:r>
        <w:drawing>
          <wp:inline>
            <wp:extent cx="962025" cy="1238250"/>
            <wp:effectExtent b="0" l="0" r="0" t="0"/>
            <wp:docPr descr="HUST" title="" id="21" name="Picture"/>
            <a:graphic>
              <a:graphicData uri="http://schemas.openxmlformats.org/drawingml/2006/picture">
                <pic:pic>
                  <pic:nvPicPr>
                    <pic:cNvPr descr="/home/nqd2/code/ITSSVN/2025.2-166155-15/Homework02/_shared/latex/images/hus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Thiết kế giao diện và Subsystem</w:t>
      </w:r>
    </w:p>
    <w:p>
      <w:pPr>
        <w:pStyle w:val="BodyText"/>
      </w:pPr>
      <w:r>
        <w:t xml:space="preserve">Hệ thống đặt hàng nhập khẩu</w:t>
      </w:r>
    </w:p>
    <w:p>
      <w:pPr>
        <w:pStyle w:val="BodyText"/>
      </w:pPr>
      <w:r>
        <w:rPr>
          <w:bCs/>
          <w:b/>
        </w:rPr>
        <w:t xml:space="preserve">Học phần: Phát triển phần mềm theo chuẩn ITSS</w:t>
      </w:r>
      <w:r>
        <w:br/>
      </w:r>
      <w:r>
        <w:rPr>
          <w:bCs/>
          <w:b/>
        </w:rPr>
        <w:t xml:space="preserve">Mã học phần: IT4549</w:t>
      </w:r>
      <w:r>
        <w:br/>
      </w:r>
      <w:r>
        <w:rPr>
          <w:bCs/>
          <w:b/>
        </w:rPr>
        <w:t xml:space="preserve">Nhóm 15</w:t>
      </w:r>
    </w:p>
    <w:p>
      <w:pPr>
        <w:pStyle w:val="BodyText"/>
      </w:pPr>
      <w:r>
        <w:t xml:space="preserve">Báo cáo cá nhân</w:t>
      </w:r>
      <w:r>
        <w:br/>
      </w:r>
      <w:r>
        <w:t xml:space="preserve">Phan Khánh Vũ - 20235880</w:t>
      </w:r>
    </w:p>
    <w:p>
      <w:pPr>
        <w:pStyle w:val="BodyText"/>
      </w:pPr>
      <w:r>
        <w:t xml:space="preserve">Hà Nội - 2026</w:t>
      </w:r>
    </w:p>
    <w:bookmarkStart w:id="25" w:name="thiết-kế-giao-diện-và-subsystem"/>
    <w:p>
      <w:pPr>
        <w:pStyle w:val="Heading1"/>
      </w:pPr>
      <w:r>
        <w:t xml:space="preserve">Thiết kế giao diện và Subsystem</w:t>
      </w:r>
    </w:p>
    <w:p>
      <w:pPr>
        <w:pStyle w:val="FirstParagraph"/>
      </w:pPr>
      <w:r>
        <w:t xml:space="preserve">Bài nộp mô tả luồng chuyển màn hình, đặc tả màn hình và thiết kế subsystem phục vụ từng use case.</w:t>
      </w:r>
    </w:p>
    <w:bookmarkStart w:id="23" w:name="phân-công-nhiệm-vụ"/>
    <w:p>
      <w:pPr>
        <w:pStyle w:val="Heading2"/>
      </w:pPr>
      <w:r>
        <w:t xml:space="preserve">Phân công nhiệm vụ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phụ trách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Nguyễn Hữu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UC006 - ReceiveAndReconcileGoods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Vũ Đức Hoàng 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UC001 - ManageImportRequests, UC007 - ManageSystem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Trần Đăng 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UC003 - CollectInventoryData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 Khánh Vũ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UC004 - PlanImportAllocation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Lương Quốc Khánh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UC005 - PlaceOverseasOrders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Nguyễn Quý Đức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20235682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UC002 - ManageSiteInformation</w:t>
            </w:r>
          </w:p>
        </w:tc>
      </w:tr>
    </w:tbl>
    <w:bookmarkEnd w:id="23"/>
    <w:bookmarkStart w:id="24" w:name="phạm-vi-use-case"/>
    <w:p>
      <w:pPr>
        <w:pStyle w:val="Heading2"/>
      </w:pPr>
      <w:r>
        <w:t xml:space="preserve">Phạm vi use case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PlanImportAllocation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phương án phân bổ nhập hàng theo tồn kho, ngày nhận và ưu tiên vận chuyển.</w:t>
            </w:r>
          </w:p>
        </w:tc>
      </w:tr>
    </w:tbl>
    <w:bookmarkEnd w:id="24"/>
    <w:bookmarkEnd w:id="25"/>
    <w:bookmarkStart w:id="27" w:name="thiết-kế-giao-diện-và-subsystem-1"/>
    <w:p>
      <w:pPr>
        <w:pStyle w:val="Heading1"/>
      </w:pPr>
      <w:r>
        <w:t xml:space="preserve">Thiết kế giao diện và subsystem</w:t>
      </w:r>
    </w:p>
    <w:bookmarkStart w:id="26" w:name="uc-004---planimportallocation"/>
    <w:p>
      <w:pPr>
        <w:pStyle w:val="Heading2"/>
      </w:pPr>
      <w:r>
        <w:t xml:space="preserve">UC-004 - PlanImportAllocation</w:t>
      </w:r>
    </w:p>
    <w:p>
      <w:pPr>
        <w:pStyle w:val="FirstParagraph"/>
      </w:pPr>
      <w:r>
        <w:t xml:space="preserve">AllocationView hiển thị preview phương án theo request, Site và deliveryMeans. Người dùng có thể xác nhận hoặc điều chỉnh trước khi chuyển sang lập đơn.</w:t>
      </w:r>
    </w:p>
    <w:p>
      <w:pPr>
        <w:pStyle w:val="BodyText"/>
      </w:pPr>
      <w:r>
        <w:t xml:space="preserve">AllocationEngineSubsystem gom FeasibilityChecker, SiteRanker và SplitCalculator. Các thành phần này tách riêng kiểm tra ngày nhận, xếp hạng Site và chia quantity.</w:t>
      </w:r>
    </w:p>
    <w:bookmarkEnd w:id="26"/>
    <w:bookmarkEnd w:id="27"/>
    <w:bookmarkStart w:id="39" w:name="hình-ảnh-và-file-astah"/>
    <w:p>
      <w:pPr>
        <w:pStyle w:val="Heading1"/>
      </w:pPr>
      <w:r>
        <w:t xml:space="preserve">Hình ảnh và file Astah</w:t>
      </w:r>
    </w:p>
    <w:bookmarkStart w:id="37" w:name="danh-mục-hình-ảnh"/>
    <w:p>
      <w:pPr>
        <w:pStyle w:val="Heading2"/>
      </w:pPr>
      <w:r>
        <w:t xml:space="preserve">Danh mục hình ảnh</w:t>
      </w:r>
    </w:p>
    <w:p>
      <w:pPr>
        <w:pStyle w:val="CaptionedFigure"/>
      </w:pPr>
      <w:r>
        <w:drawing>
          <wp:inline>
            <wp:extent cx="5334000" cy="1642683"/>
            <wp:effectExtent b="0" l="0" r="0" t="0"/>
            <wp:docPr descr="Screen transition diagram UC004 - PlanImportAllocation" title="" id="29" name="Picture"/>
            <a:graphic>
              <a:graphicData uri="http://schemas.openxmlformats.org/drawingml/2006/picture">
                <pic:pic>
                  <pic:nvPicPr>
                    <pic:cNvPr descr="/home/nqd2/code/ITSSVN/2025.2-166155-15/Homework04/20235880-PhanKhanhVu/diagram/UC004_PlanImportAllocation/ClassDiagram_6_0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 transition diagram UC004 - PlanImportAllocation</w:t>
      </w:r>
    </w:p>
    <w:p>
      <w:pPr>
        <w:pStyle w:val="CaptionedFigure"/>
      </w:pPr>
      <w:r>
        <w:drawing>
          <wp:inline>
            <wp:extent cx="5334000" cy="2775568"/>
            <wp:effectExtent b="0" l="0" r="0" t="0"/>
            <wp:docPr descr="Class diagram subsystem UC004 - PlanImportAllocation" title="" id="32" name="Picture"/>
            <a:graphic>
              <a:graphicData uri="http://schemas.openxmlformats.org/drawingml/2006/picture">
                <pic:pic>
                  <pic:nvPicPr>
                    <pic:cNvPr descr="/home/nqd2/code/ITSSVN/2025.2-166155-15/Homework04/20235880-PhanKhanhVu/diagram/UC004_PlanImportAllocation/ClassDiagram_3_00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 subsystem UC004 - PlanImportAllocation</w:t>
      </w:r>
    </w:p>
    <w:p>
      <w:pPr>
        <w:pStyle w:val="CaptionedFigure"/>
      </w:pPr>
      <w:r>
        <w:drawing>
          <wp:inline>
            <wp:extent cx="5334000" cy="1755971"/>
            <wp:effectExtent b="0" l="0" r="0" t="0"/>
            <wp:docPr descr="Sequence diagram subsystem UC004 - PlanImportAllocation" title="" id="35" name="Picture"/>
            <a:graphic>
              <a:graphicData uri="http://schemas.openxmlformats.org/drawingml/2006/picture">
                <pic:pic>
                  <pic:nvPicPr>
                    <pic:cNvPr descr="/home/nqd2/code/ITSSVN/2025.2-166155-15/Homework04/20235880-PhanKhanhVu/diagram/UC004_PlanImportAllocation/SequenceDiagram_9_00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subsystem UC004 - PlanImportAllocation</w:t>
      </w:r>
    </w:p>
    <w:bookmarkEnd w:id="37"/>
    <w:bookmarkStart w:id="38" w:name="file-astah"/>
    <w:p>
      <w:pPr>
        <w:pStyle w:val="Heading2"/>
      </w:pPr>
      <w:r>
        <w:t xml:space="preserve">File Astah</w:t>
      </w:r>
    </w:p>
    <w:p>
      <w:pPr>
        <w:numPr>
          <w:ilvl w:val="0"/>
          <w:numId w:val="1001"/>
        </w:numPr>
        <w:pStyle w:val="Compact"/>
      </w:pPr>
      <w:r>
        <w:t xml:space="preserve">astah/UC004_PlanImportAllocation_all.asta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giao diện và Subsystem</dc:title>
  <dc:creator/>
  <dc:language>vi</dc:language>
  <cp:keywords/>
  <dcterms:created xsi:type="dcterms:W3CDTF">2026-06-05T06:20:23Z</dcterms:created>
  <dcterms:modified xsi:type="dcterms:W3CDTF">2026-06-05T06:20:23Z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