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SÁNH SỰ KHÁC NHAU GIỮA HAI CÂU TRẢ LỜI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2.695991757089"/>
        <w:gridCol w:w="2746.04963555646"/>
        <w:gridCol w:w="3416.7661837100736"/>
        <w:tblGridChange w:id="0">
          <w:tblGrid>
            <w:gridCol w:w="2862.695991757089"/>
            <w:gridCol w:w="2746.04963555646"/>
            <w:gridCol w:w="3416.76618371007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1: Học sinh cấp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2: Lập trình viên junior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kiến thức giả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Chưa có nền tảng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Đã biết Bubble Sort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Ngôn ngữ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Đơn giản, đời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Kỹ thuật, chuẩn lập trình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Thuật ngữ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Hạn chế hoặc không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Dùng đầy đủ (pivot, recursion)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Đời sống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Code + ví dụ mảng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Có code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Ý tưởng tổng quát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Chi tiết cách cài đặt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THAY ĐỔI TRONG BỐI CẢNH KHÁC NHAU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không chỉ trả lời khác nha mà còn thay đổi cách truyền đạt dựa trên trình độ người học, kiến thức, mục tiêu =&gt; prompt càng rõ và chi tiết thì AI sẽ tạo ra câu trả lời phù hợp với người dùng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