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Hợp đồng dịch vụ</w:t>
      </w:r>
    </w:p>
    <w:tbl>
      <w:tr>
        <w:tc>
          <w:p>
            <w:r>
              <w:t>Mục</w:t>
            </w:r>
          </w:p>
        </w:tc>
        <w:tc>
          <w:p>
            <w:r>
              <w:t>Giá trị</w:t>
            </w:r>
          </w:p>
        </w:tc>
      </w:tr>
      <w:tr>
        <w:tc>
          <w:p>
            <w:r>
              <w:t>Mã hợp đồng</w:t>
            </w:r>
          </w:p>
        </w:tc>
        <w:tc>
          <w:p>
            <w:r>
              <w:t>HĐ-55K2</w:t>
            </w:r>
          </w:p>
        </w:tc>
      </w:tr>
      <w:tr>
        <w:tc>
          <w:p>
            <w:r>
              <w:t>Bên A</w:t>
            </w:r>
          </w:p>
        </w:tc>
        <w:tc>
          <w:p>
            <w:r>
              <w:t>Công ty Mẫu</w:t>
            </w:r>
          </w:p>
        </w:tc>
      </w:tr>
    </w:tbl>
  </w:body>
</w:document>
</file>