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License Agreement</w:t>
      </w:r>
    </w:p>
    <w:p>
      <w:r>
        <w:t>This Software License Agreement ("Agreement") is entered into as of [DATE] by and between Acme Corporation ("Licensor") and [LICENSEE] ("Licensee").</w:t>
      </w:r>
    </w:p>
    <w:p>
      <w:pPr>
        <w:pStyle w:val="Heading1"/>
      </w:pPr>
      <w:r>
        <w:t>1. Grant of License</w:t>
      </w:r>
    </w:p>
    <w:p>
      <w:r>
        <w:t>Licensor hereby grants Licensee a non-exclusive, non-transferable license to use the software product known as [SOFTWARE NAME] (the "Software") for Licensee's internal business purposes.</w:t>
      </w:r>
    </w:p>
    <w:p>
      <w:pPr>
        <w:pStyle w:val="Heading1"/>
      </w:pPr>
      <w:r>
        <w:t>2. Restrictions</w:t>
      </w:r>
    </w:p>
    <w:p>
      <w:r>
        <w:t>Licensee shall not: (a) modify, adapt, or create derivative works of the Software; (b) reverse engineer, disassemble, or decompile the Software; (c) sublicense, rent, or lease the Software to any third party.</w:t>
      </w:r>
    </w:p>
    <w:p>
      <w:pPr>
        <w:pStyle w:val="Heading1"/>
      </w:pPr>
      <w:r>
        <w:t>3. Service Level Agreement</w:t>
      </w:r>
    </w:p>
    <w:p>
      <w:r>
        <w:t>Licensor shall maintain 99.9% uptime for the Software, measured monthly. Scheduled maintenance windows shall not count against the uptime commitment.</w:t>
      </w:r>
    </w:p>
    <w:p>
      <w:pPr>
        <w:pStyle w:val="Heading1"/>
      </w:pPr>
      <w:r>
        <w:t>4. Fees</w:t>
      </w:r>
    </w:p>
    <w:p>
      <w:r>
        <w:t>Licensee shall pay the annual license fee of [AMOUNT] within thirty (30) days of invoice. Late payments shall accrue interest at 1.5% per month.</w:t>
      </w:r>
    </w:p>
    <w:p>
      <w:pPr>
        <w:pStyle w:val="Heading1"/>
      </w:pPr>
      <w:r>
        <w:t>5. Termination</w:t>
      </w:r>
    </w:p>
    <w:p>
      <w:r>
        <w:t>Either party may terminate this Agreement upon sixty (60) days written notice. Upon termination, Licensee shall cease all use of the Software and destroy all copies in its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