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Strategic Advisory Services Agreement</w:t>
      </w:r>
    </w:p>
    <w:p>
      <w:r>
        <w:t>This Agreement is entered into as of April 1, 2025, by and between Meridian Consulting Partners ("Consultant") and Client ("Client").</w:t>
      </w:r>
    </w:p>
    <w:p>
      <w:pPr>
        <w:pStyle w:val="Heading1"/>
      </w:pPr>
      <w:r>
        <w:t>1. Scope of Engagement</w:t>
      </w:r>
    </w:p>
    <w:p>
      <w:r>
        <w:t>Consultant shall provide strategic advisory services related to legal technology transformation and operational efficiency.</w:t>
      </w:r>
    </w:p>
    <w:p>
      <w:pPr>
        <w:pStyle w:val="Heading1"/>
      </w:pPr>
      <w:r>
        <w:t>2. Term</w:t>
      </w:r>
    </w:p>
    <w:p>
      <w:r>
        <w:t>This Agreement is effective from April 1, 2025 through December 31, 2025. No automatic renewal.</w:t>
      </w:r>
    </w:p>
    <w:p>
      <w:pPr>
        <w:pStyle w:val="Heading1"/>
      </w:pPr>
      <w:r>
        <w:t>3. Deliverables</w:t>
      </w:r>
    </w:p>
    <w:p>
      <w:r>
        <w:t>Consultant shall submit a written report of deliverables and progress by the 5th business day of each month.</w:t>
      </w:r>
    </w:p>
    <w:p>
      <w:pPr>
        <w:pStyle w:val="Heading1"/>
      </w:pPr>
      <w:r>
        <w:t>4. Intellectual Property</w:t>
      </w:r>
    </w:p>
    <w:p>
      <w:r>
        <w:t>All work product created by Consultant in the course of this engagement shall be assigned to Client upon creation as work-made-for-hire. Failure to assign IP constitutes a material breach.</w:t>
      </w:r>
    </w:p>
    <w:p>
      <w:pPr>
        <w:pStyle w:val="Heading1"/>
      </w:pPr>
      <w:r>
        <w:t>5. Restrictive Covenants</w:t>
      </w:r>
    </w:p>
    <w:p>
      <w:r>
        <w:t>Consultant shall not provide substantially similar advisory services to Client's direct competitors for 12 months following termination of this Agreement.</w:t>
      </w:r>
    </w:p>
    <w:p>
      <w:pPr>
        <w:pStyle w:val="Heading1"/>
      </w:pPr>
      <w:r>
        <w:t>6. Payment Terms</w:t>
      </w:r>
    </w:p>
    <w:p>
      <w:r>
        <w:t>Consultant shall submit invoices bi-weekly. Client shall pay within 15 business days. Late payment incurs 1.5% monthly interest.</w:t>
      </w:r>
    </w:p>
    <w:p>
      <w:pPr>
        <w:pStyle w:val="Heading1"/>
      </w:pPr>
      <w:r>
        <w:t>7. Expenses</w:t>
      </w:r>
    </w:p>
    <w:p>
      <w:r>
        <w:t>Any expense exceeding $500 must receive prior written approval from Client's project lead before being incurred. Approved expenses will be reimbursed within 30 days of submission with receipts.</w:t>
      </w:r>
    </w:p>
    <w:p>
      <w:pPr>
        <w:pStyle w:val="Heading1"/>
      </w:pPr>
      <w:r>
        <w:t>8. Confidentiality</w:t>
      </w:r>
    </w:p>
    <w:p>
      <w:r>
        <w:t>Consultant shall maintain strict confidentiality of all Client information for the term plus two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