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Processing Addendum</w:t>
      </w:r>
    </w:p>
    <w:p>
      <w:r>
        <w:t>This Data Processing Addendum ("DPA") supplements the Master Services Agreement between DataVault Analytics LLC ("Processor") and Client ("Controller"), effective February 1, 2025.</w:t>
      </w:r>
    </w:p>
    <w:p>
      <w:pPr>
        <w:pStyle w:val="Heading1"/>
      </w:pPr>
      <w:r>
        <w:t>1. Definitions</w:t>
      </w:r>
    </w:p>
    <w:p>
      <w:r>
        <w:t>Terms used herein have the meanings set forth in applicable data protection legislation, including GDPR and CCPA as applicable.</w:t>
      </w:r>
    </w:p>
    <w:p>
      <w:pPr>
        <w:pStyle w:val="Heading1"/>
      </w:pPr>
      <w:r>
        <w:t>2. Processing Scope</w:t>
      </w:r>
    </w:p>
    <w:p>
      <w:r>
        <w:t>Processor shall process personal data solely as instructed by Controller and for the purposes described in Annex A.</w:t>
      </w:r>
    </w:p>
    <w:p>
      <w:pPr>
        <w:pStyle w:val="Heading1"/>
      </w:pPr>
      <w:r>
        <w:t>3. Security Measures</w:t>
      </w:r>
    </w:p>
    <w:p>
      <w:r>
        <w:t>Processor shall implement and maintain appropriate technical and organizational measures to ensure a level of security appropriate to the risk of processing, including encryption, access controls, and regular security testing.</w:t>
      </w:r>
    </w:p>
    <w:p>
      <w:pPr>
        <w:pStyle w:val="Heading1"/>
      </w:pPr>
      <w:r>
        <w:t>4. Sub-Processors</w:t>
      </w:r>
    </w:p>
    <w:p>
      <w:r>
        <w:t>Processor shall provide Controller with 30 days prior written notice before engaging any new sub-processor, including the sub-processor's identity and the processing activities. Engaging a sub-processor without proper notice constitutes a material breach.</w:t>
      </w:r>
    </w:p>
    <w:p>
      <w:pPr>
        <w:pStyle w:val="Heading1"/>
      </w:pPr>
      <w:r>
        <w:t>5. Data Protection Impact Assessment</w:t>
      </w:r>
    </w:p>
    <w:p>
      <w:r>
        <w:t>Processor shall assist Controller in conducting Data Protection Impact Assessments upon written request, providing all necessary information within 15 business days.</w:t>
      </w:r>
    </w:p>
    <w:p>
      <w:pPr>
        <w:pStyle w:val="Heading1"/>
      </w:pPr>
      <w:r>
        <w:t>6. Data Breach</w:t>
      </w:r>
    </w:p>
    <w:p>
      <w:r>
        <w:t>Processor shall notify Controller of any personal data breach within 48 hours of becoming aware, providing details required under applicable data protection law. Delayed notification may result in regulatory fines for which Processor shall indemnify Controller.</w:t>
      </w:r>
    </w:p>
    <w:p>
      <w:pPr>
        <w:pStyle w:val="Heading1"/>
      </w:pPr>
      <w:r>
        <w:t>7. Compliance</w:t>
      </w:r>
    </w:p>
    <w:p>
      <w:r>
        <w:t>Processor shall provide annual written certification of compliance with all obligations under this DPA, including technical and organizational measures.</w:t>
      </w:r>
    </w:p>
    <w:p>
      <w:pPr>
        <w:pStyle w:val="Heading1"/>
      </w:pPr>
      <w:r>
        <w:t>8. Termination</w:t>
      </w:r>
    </w:p>
    <w:p>
      <w:r>
        <w:t>Upon termination, Processor shall delete or return all personal data within 30 days and provide written certification of deletion. Failure to delete data subjects Processor to regulatory penalties and indemnification obligations.</w:t>
      </w:r>
    </w:p>
    <w:p>
      <w:pPr>
        <w:pStyle w:val="Heading1"/>
      </w:pPr>
      <w:r>
        <w:t>9. Term</w:t>
      </w:r>
    </w:p>
    <w:p>
      <w:r>
        <w:t>This DPA remains in effect from February 1, 2025 through January 31, 2027, and automatically renews unless either party provides 30 days written notice.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