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Software License Agreement</w:t>
      </w:r>
    </w:p>
    <w:p>
      <w:r>
        <w:t>This License Agreement is entered into as of January 1, 2025, by and between Prism Software Corp. ("Licensor") and Client ("Licensee").</w:t>
      </w:r>
    </w:p>
    <w:p>
      <w:pPr>
        <w:pStyle w:val="Heading1"/>
      </w:pPr>
      <w:r>
        <w:t>1. License Grant</w:t>
      </w:r>
    </w:p>
    <w:p>
      <w:r>
        <w:t>Licensor grants Licensee a non-exclusive, non-transferable license to use the software for internal business purposes for up to 500 named users.</w:t>
      </w:r>
    </w:p>
    <w:p>
      <w:pPr>
        <w:pStyle w:val="Heading1"/>
      </w:pPr>
      <w:r>
        <w:t>2. Term</w:t>
      </w:r>
    </w:p>
    <w:p>
      <w:r>
        <w:t>This Agreement is effective from January 1, 2025 through December 31, 2026. The Agreement automatically renews for successive one-year periods unless either party provides 60 days written notice of non-renewal.</w:t>
      </w:r>
    </w:p>
    <w:p>
      <w:pPr>
        <w:pStyle w:val="Heading1"/>
      </w:pPr>
      <w:r>
        <w:t>3. License Fees</w:t>
      </w:r>
    </w:p>
    <w:p>
      <w:r>
        <w:t>Licensee shall pay the annual license fee of $120,000 within 30 days of each anniversary date. Non-payment within 60 days entitles Licensor to suspend access to the software.</w:t>
      </w:r>
    </w:p>
    <w:p>
      <w:pPr>
        <w:pStyle w:val="Heading1"/>
      </w:pPr>
      <w:r>
        <w:t>4. Audit Rights</w:t>
      </w:r>
    </w:p>
    <w:p>
      <w:r>
        <w:t>Licensor reserves the right to audit Licensee's usage annually. Licensee shall provide access to usage records within 10 business days of audit request. Non-compliance may result in license termination.</w:t>
      </w:r>
    </w:p>
    <w:p>
      <w:pPr>
        <w:pStyle w:val="Heading1"/>
      </w:pPr>
      <w:r>
        <w:t>5. Compliance</w:t>
      </w:r>
    </w:p>
    <w:p>
      <w:r>
        <w:t>Licensee shall comply with all applicable export control laws and regulations in its use of the software. Violation may result in immediate termination and legal action.</w:t>
      </w:r>
    </w:p>
    <w:p>
      <w:pPr>
        <w:pStyle w:val="Heading1"/>
      </w:pPr>
      <w:r>
        <w:t>6. Security</w:t>
      </w:r>
    </w:p>
    <w:p>
      <w:r>
        <w:t>Licensee shall maintain access logs for all users of the licensed software for a minimum of 12 months.</w:t>
      </w:r>
    </w:p>
    <w:p>
      <w:pPr>
        <w:pStyle w:val="Heading1"/>
      </w:pPr>
      <w:r>
        <w:t>7. Maintenance</w:t>
      </w:r>
    </w:p>
    <w:p>
      <w:r>
        <w:t>Licensee shall update to the latest supported version of the software within 90 days of release notification. Running unsupported versions voids the support warranty.</w:t>
      </w:r>
    </w:p>
    <w:p>
      <w:pPr>
        <w:pStyle w:val="Heading1"/>
      </w:pPr>
      <w:r>
        <w:t>8. Limitation of Liability</w:t>
      </w:r>
    </w:p>
    <w:p>
      <w:r>
        <w:t>In no event shall either party's total liability exceed the fees paid in the 12 months preceding the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