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Services MSA</w:t>
      </w:r>
    </w:p>
    <w:p>
      <w:r>
        <w:t>This Master Services Agreement is entered into as of February 15, 2025, by and between Horizon Digital Services ("Provider") and Client ("Client").</w:t>
      </w:r>
    </w:p>
    <w:p>
      <w:pPr>
        <w:pStyle w:val="Heading1"/>
      </w:pPr>
      <w:r>
        <w:t>1. Scope</w:t>
      </w:r>
    </w:p>
    <w:p>
      <w:r>
        <w:t>Provider shall perform professional services as described in individually executed Statements of Work ("SOWs") under this MSA.</w:t>
      </w:r>
    </w:p>
    <w:p>
      <w:pPr>
        <w:pStyle w:val="Heading1"/>
      </w:pPr>
      <w:r>
        <w:t>2. Term</w:t>
      </w:r>
    </w:p>
    <w:p>
      <w:r>
        <w:t>This MSA is effective from February 15, 2025 through February 14, 2027, with automatic annual renewal unless either party provides 90 days written notice.</w:t>
      </w:r>
    </w:p>
    <w:p>
      <w:pPr>
        <w:pStyle w:val="Heading1"/>
      </w:pPr>
      <w:r>
        <w:t>3. Statements of Work</w:t>
      </w:r>
    </w:p>
    <w:p>
      <w:r>
        <w:t>Client shall review and approve or reject each Statement of Work within 10 business days of receipt. SOWs shall be deemed approved if Client does not respond within 10 business days.</w:t>
      </w:r>
    </w:p>
    <w:p>
      <w:pPr>
        <w:pStyle w:val="Heading1"/>
      </w:pPr>
      <w:r>
        <w:t>4. Change Management</w:t>
      </w:r>
    </w:p>
    <w:p>
      <w:r>
        <w:t>Any changes to scope, timeline, or fees must follow the formal change order process with written approval from both parties before implementation.</w:t>
      </w:r>
    </w:p>
    <w:p>
      <w:pPr>
        <w:pStyle w:val="Heading1"/>
      </w:pPr>
      <w:r>
        <w:t>5. Acceptance</w:t>
      </w:r>
    </w:p>
    <w:p>
      <w:r>
        <w:t>Client shall complete acceptance testing of each deliverable within 15 business days of delivery. Failure to respond within the acceptance period constitutes acceptance.</w:t>
      </w:r>
    </w:p>
    <w:p>
      <w:pPr>
        <w:pStyle w:val="Heading1"/>
      </w:pPr>
      <w:r>
        <w:t>6. Payment Terms</w:t>
      </w:r>
    </w:p>
    <w:p>
      <w:r>
        <w:t>Client shall pay all undisputed invoices within 30 days of receipt. Late payment incurs 1% monthly interest on the outstanding amount.</w:t>
      </w:r>
    </w:p>
    <w:p>
      <w:pPr>
        <w:pStyle w:val="Heading1"/>
      </w:pPr>
      <w:r>
        <w:t>7. Confidentiality</w:t>
      </w:r>
    </w:p>
    <w:p>
      <w:r>
        <w:t>Both parties shall maintain confidentiality of all proprietary information exchanged under this MSA in accordance with the mutual NDA executed between the parties. Breach of confidentiality subjects the breaching party to injunctive relief and damages.</w:t>
      </w:r>
    </w:p>
    <w:p>
      <w:pPr>
        <w:pStyle w:val="Heading1"/>
      </w:pPr>
      <w:r>
        <w:t>8. Indemnification</w:t>
      </w:r>
    </w:p>
    <w:p>
      <w:r>
        <w:t>Each party shall indemnify the other against third-party claims arising from the indemnifying party's negligence or willful misconduct.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