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CloudSync Platform Service Agreement</w:t>
      </w:r>
    </w:p>
    <w:p>
      <w:r>
        <w:t>This Service Agreement ("Agreement") is entered into as of January 15, 2025, by and between Nimbus Technologies Inc. ("Provider") and Client ("Client").</w:t>
      </w:r>
    </w:p>
    <w:p>
      <w:pPr>
        <w:pStyle w:val="Heading1"/>
      </w:pPr>
      <w:r>
        <w:t>1. Definitions</w:t>
      </w:r>
    </w:p>
    <w:p>
      <w:r>
        <w:t>"Platform" means the CloudSync cloud-based data synchronization and management platform.</w:t>
      </w:r>
    </w:p>
    <w:p>
      <w:r>
        <w:t>"Service Credits" means credits issued to Client as a result of Provider's failure to meet the SLA commitments.</w:t>
      </w:r>
    </w:p>
    <w:p>
      <w:pPr>
        <w:pStyle w:val="Heading1"/>
      </w:pPr>
      <w:r>
        <w:t>2. Term</w:t>
      </w:r>
    </w:p>
    <w:p>
      <w:r>
        <w:t>This Agreement is effective from January 15, 2025 through January 14, 2027. The Agreement will automatically renew for successive one-year periods unless either party provides 90 days written notice of non-renewal.</w:t>
      </w:r>
    </w:p>
    <w:p>
      <w:pPr>
        <w:pStyle w:val="Heading1"/>
      </w:pPr>
      <w:r>
        <w:t>3. Service Level Agreement</w:t>
      </w:r>
    </w:p>
    <w:p>
      <w:r>
        <w:t>3.1 Provider guarantees 99.9% platform availability measured on a monthly basis, excluding scheduled maintenance windows communicated at least 72 hours in advance.</w:t>
      </w:r>
    </w:p>
    <w:p>
      <w:r>
        <w:t>3.2 For each 0.1% below 99.9% uptime, Client receives a 10% service credit on the monthly fee, up to a maximum of 30% of monthly fees.</w:t>
      </w:r>
    </w:p>
    <w:p>
      <w:r>
        <w:t>3.3 Provider shall deliver monthly SLA performance reports within 10 business days of each calendar month end, detailing uptime metrics, incident response times, and resolution statistics. Failure to deliver reports for two consecutive months entitles Client to a 5% service credit.</w:t>
      </w:r>
    </w:p>
    <w:p>
      <w:pPr>
        <w:pStyle w:val="Heading1"/>
      </w:pPr>
      <w:r>
        <w:t>4. Payment Terms</w:t>
      </w:r>
    </w:p>
    <w:p>
      <w:r>
        <w:t>4.1 Client shall pay the quarterly subscription fee of $45,000 within 30 days of invoice receipt.</w:t>
      </w:r>
    </w:p>
    <w:p>
      <w:r>
        <w:t>4.2 Late payment incurs 1.5% monthly interest on the outstanding balance.</w:t>
      </w:r>
    </w:p>
    <w:p>
      <w:pPr>
        <w:pStyle w:val="Heading1"/>
      </w:pPr>
      <w:r>
        <w:t>5. Data Protection</w:t>
      </w:r>
    </w:p>
    <w:p>
      <w:r>
        <w:t>5.1 Provider shall perform daily backups of all Client data and maintain backup copies for a minimum of 30 days. Data loss due to backup failure subjects Provider to liability for direct damages.</w:t>
      </w:r>
    </w:p>
    <w:p>
      <w:r>
        <w:t>5.2 Provider shall notify Client of any security breach affecting Client data within 72 hours of discovery. Failure to provide timely notification constitutes a material breach of this Agreement.</w:t>
      </w:r>
    </w:p>
    <w:p>
      <w:pPr>
        <w:pStyle w:val="Heading1"/>
      </w:pPr>
      <w:r>
        <w:t>6. Security</w:t>
      </w:r>
    </w:p>
    <w:p>
      <w:r>
        <w:t>6.1 Provider shall conduct an independent third-party security audit annually and share the SOC 2 Type II report with Client within 30 days of completion.</w:t>
      </w:r>
    </w:p>
    <w:p>
      <w:r>
        <w:t>6.2 Provider shall maintain industry-standard encryption for data in transit and at rest.</w:t>
      </w:r>
    </w:p>
    <w:p>
      <w:pPr>
        <w:pStyle w:val="Heading1"/>
      </w:pPr>
      <w:r>
        <w:t>7. Confidentiality</w:t>
      </w:r>
    </w:p>
    <w:p>
      <w:r>
        <w:t>Both parties agree to maintain the confidentiality of all proprietary information disclosed under this Agreement for the term plus three years.</w:t>
      </w:r>
    </w:p>
    <w:p>
      <w:pPr>
        <w:pStyle w:val="Heading1"/>
      </w:pPr>
      <w:r>
        <w:t>8. Termination</w:t>
      </w:r>
    </w:p>
    <w:p>
      <w:r>
        <w:t>Either party may terminate this Agreement for material breach upon 30 days written notice if the breach is not cured within the notice period.</w:t>
      </w:r>
    </w:p>
    <w:p>
      <w:pPr>
        <w:pStyle w:val="Heading1"/>
      </w:pPr>
      <w:r>
        <w:t>9. General Provisions</w:t>
      </w:r>
    </w:p>
    <w:p>
      <w:r>
        <w:t>This Agreement shall be governed by the laws of the State of Delaware.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