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ЧЕРНОВИК ДЛЯ ПРОВЕРКИ И ПОДПИСИ НАУЧНЫМ РУКОВОДИТЕЛЕМ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Настоящий документ не является подписанным отзывом.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Это заготовка, составленная на основе зафиксированных материалов проекта, чтобы научному руководителю не пришлось восстанавливать фактическую сторону работы с нуля. Каждое утверждение подлежит независимой проверке, изменению или удалению научным руководителем. Отзыв приобретает силу только после того, как научный руководитель самостоятельно проверит содержание, внесёт свои формулировки и подпишет документ.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Ни одна оценка в этом черновике не является оценкой научного руководителя, пока он её не подтвердил.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Отзыв научного руководителя на научный проект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Тема: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Специфичные для алгоритмического паттерна структурные подсказки в автоматической локализации логических ошибок с помощью большой языковой модели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Автор: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[ФИО АВТОРА], [КЛАСС]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Организация: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Назарбаев Интеллектуальная школа естественно-математического направления г. Атырау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Направление: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[НАПРАВЛЕНИЕ]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Секция: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[СЕКЦИЯ]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Научный руководитель: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[НАУЧНЫЙ РУКОВОДИТЕЛЬ]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Актуальность темы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Логические ошибки — те, при которых программа запускается и выдаёт неверный результат, — составляют основную трудность обучения программированию: компилятор о них не сообщает, а классические автоматические методы поиска места ошибки разрабатывались для промышленного кода и на коде начинающих работают заметно хуже. Большие языковые модели улучшают результат, однако ни одна опубликованная система не сообщает модели, какой алгоритм программа пытается реализовать, хотя разные алгоритмы отказывают в разных и хорошо известных местах.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Работа обращается именно к этому стыку двух зрелых, но не соединённых областей — автоматического распознавания алгоритма по исходному коду и автоматической локализации ошибок. Тема актуальна как для исследований в области инженерии программного обеспечения, так и для образовательных технологий, включая учебную платформу AlgoRythm, в рамках которой выполнено исследование.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Личный вклад учащегося</w:t>
      </w:r>
    </w:p>
    <w:p>
      <w:r>
        <w:rPr>
          <w:rFonts w:ascii="Times New Roman" w:hAnsi="Times New Roman" w:eastAsia="Times New Roman"/>
          <w:b w:val="0"/>
          <w:i/>
          <w:color w:val="000000"/>
          <w:sz w:val="24"/>
        </w:rPr>
        <w:t>(Раздел требует проверки научным руководителем: только он может подтвердить фактическую степень самостоятельности. Ниже перечислено то, что документировано в истории проекта.)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Учащимся выполнены: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формулировка исследовательского вопроса и обоснование исследовательского пробела по итогам обзора литературы;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разработка экспериментального дизайна с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согласованным контролем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ключевое методологическое решение работы, отделяющее эффект информации об алгоритмическом паттерне от эффекта получения любой дополнительной отладочной инструкции;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спецификация протокола, словаря алгоритмических паттернов, текстов обеих подсказок и плана статистического анализа с их фиксацией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сбора данных;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проведение состязательного разбора собственного дизайна до запуска, по итогам которого первоначальная двухарочная схема была отклонена автором и заменена на схему с контролем-плацебо;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аудит происхождения меток алгоритмических паттернов, выявивший, что метки предыдущей версии выборки были порождены непроверенной эвристикой; остановка исполнения и перестроение выборки;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интерпретация результата и определение границ допустимых выводов;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подготовка научного текста и конкурсного отчёта.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Инженерная реализация конвейера эксперимента, разметка алгоритмических паттернов и подготовка текста выполнялись с использованием программных инструментов и инструментов искусственного интеллекта; эти роли раскрыты в Приложении Д отчёта и учтены в разделе ограничений.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 заслуживает упоминания исследовательская дисциплина: три запуска эксперимента были аннулированы целиком по техническим причинам, и ни один их фрагмент не использован как научное свидетельство; ошибочная версия выборки сохранена неизменной как аудиторский артефакт, а не удалена.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Научная новизна и достоверность результатов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Новизна работы — не в применении языковой модели к поиску ошибок и не в самой идее опираться при отладке на алгоритмический тип программы, а в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изоляции эффекта паттерн-специфичности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подсказка по паттерну сравнивалась не с отсутствием подсказки, а с согласованной по длине, структуре и формату общей отладочной подсказкой. Согласованность пар подсказок проверена механически.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Достоверность обеспечена предварительной регистрацией протокола и плана анализа, контрольными суммами выборки и текстов подсказок, закреплением модели и поставщика, сохранением сырых ответов до разбора и проверкой нулевым контролем (одно и то же контрольное условие выполнено дважды независимо).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Существенно, что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автор сообщает нулевой первичный результат как результат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 явно отказывается от его усиления: работа прямо указывает, что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= 1.0 не означает эквивалентности условий и не является свидетельством отсутствия эффекта.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Слабые стороны и ограничения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Ограничения раскрыты в самом отчёте (раздел 2.15) полно и без смягчения. Наиболее существенные: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объём выборки n = 30 при широком доверительном интервале [−16.67; +16.67] п.п. и низкой статистической мощности; работа является калибровочной, а не подтверждающей;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измеренный уровень шума повторного запуска (5 дискордантных программ из 30) почти равен всему объёму расхождения первичного сравнения;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метки алгоритмических паттернов получены точным совпадением двух независимых слепых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модельных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аннотаций, а не человеческими экспертными оценками; 50 программ расхождения исключены без арбитража, что смещает выборку к однозначным случаям;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одна языковая модель, один язык программирования, один набор данных, только однострочные ошибки;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отсутствие прямого сравнения со спектральной и мутационной локализацией на той же выборке;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отсутствие исследования с участием людей: никакого учебного эффекта работа не показывает и не может показывать;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вынужденное ограничение усилия внутреннего рассуждения модели, без которого запуск не завершался; поведение модели при более высоком усилии не проверено.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Эти ограничения не обесценивают работу: они изложены автором как границы вывода, а не как оговорки, и каждое сопровождается указанием на то, в какую сторону оно смещает результат.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Рекомендации по дальнейшему использованию результатов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Провести подтверждающее исследование достаточного объёма с заранее назначенной первичной конечной точкой и стратификацией по алгоритмическим классам. Настоящая работа даёт для этого воспроизводимый протокол и эмпирическую оценку шумового пола, но не позволяет рассчитать необходимый объём выборки, что автором зафиксировано прямо.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Провести арбитраж 50 исключённых программ расхождения независимым третьим аннотатором и оценить величину смещения отбора.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Проверить наблюдение о разнонаправленности эффекта по алгоритмическим классам — оно представляет самостоятельный научный интерес и порождено настоящей работой.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Расширить проверку на несколько языковых моделей, языков программирования и наборов данных.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Результаты и протокол могут быть использованы в учебной работе по методологии эксперимента: работа демонстрирует предварительную регистрацию, согласованный контроль, проверку нулевым контролем и корректное сообщение нулевого результата.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Внедрение отладочного помощника, обусловленного распознанным паттерном, в учебную платформу на основании настоящей работы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не рекомендуется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подтверждающих данных нет, что автором указано явно.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Заключение</w:t>
      </w:r>
    </w:p>
    <w:p>
      <w:r>
        <w:rPr>
          <w:rFonts w:ascii="Times New Roman" w:hAnsi="Times New Roman" w:eastAsia="Times New Roman"/>
          <w:b w:val="0"/>
          <w:i/>
          <w:color w:val="000000"/>
          <w:sz w:val="24"/>
        </w:rPr>
        <w:t>(Формулировку итоговой оценки и рекомендации к участию определяет научный руководитель.)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Работа выполнена на уровне, соответствующем требованиям Республиканского конкурса научных проектов по общеобразовательным предметам, и может быть рекомендована к участию.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Научный руководитель: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[НАУЧНЫЙ РУКОВОДИТЕЛЬ]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Должность: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[ДОЛЖНОСТЬ]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______________________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</w:t>
      </w:r>
    </w:p>
    <w:p>
      <w:r>
        <w:rPr>
          <w:rFonts w:ascii="Times New Roman" w:hAnsi="Times New Roman" w:eastAsia="Times New Roman"/>
          <w:b w:val="0"/>
          <w:i/>
          <w:color w:val="000000"/>
          <w:sz w:val="24"/>
        </w:rPr>
        <w:t>Документ подготовлен как черновик на основе зафиксированных материалов проекта AlgoRythm research. Подлежит проверке, редактированию и подписанию научным руководителем. До подписания не является отзывом.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color w:val="000000"/>
        <w:sz w:val="22"/>
      </w:rPr>
      <w:fldChar w:fldCharType="begin"/>
    </w:r>
    <w:r>
      <w:rPr>
        <w:rFonts w:ascii="Times New Roman" w:hAnsi="Times New Roman"/>
        <w:color w:val="000000"/>
        <w:sz w:val="22"/>
      </w:rPr>
      <w:instrText xml:space="preserve"> PAGE </w:instrText>
    </w:r>
    <w:r>
      <w:rPr>
        <w:rFonts w:ascii="Times New Roman" w:hAnsi="Times New Roman"/>
        <w:color w:val="000000"/>
        <w:sz w:val="22"/>
      </w:rPr>
      <w:fldChar w:fldCharType="separate"/>
    </w:r>
    <w:r>
      <w:rPr>
        <w:rFonts w:ascii="Times New Roman" w:hAnsi="Times New Roman"/>
        <w:color w:val="000000"/>
        <w:sz w:val="22"/>
      </w:rPr>
      <w:t>1</w:t>
    </w:r>
    <w:r>
      <w:rPr>
        <w:rFonts w:ascii="Times New Roman" w:hAnsi="Times New Roman"/>
        <w:color w:val="000000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 w:line="276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