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5"/>
        <w:gridCol w:w="5100"/>
        <w:tblGridChange w:id="0">
          <w:tblGrid>
            <w:gridCol w:w="5355"/>
            <w:gridCol w:w="5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PROFESSOR(A): {{ professor }}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TURMA: {{ série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ÁREA DO CONHECIMENTO: Ciências da Natureza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COMPONENTE CURRICULAR: {{ componente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PERÍODO: {{ período }}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SEMANA: {{ semana 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COMPETÊNCIA GERAL 2: Pensamento Científico, Crítico e Criativo — Exercitar a curiosidade intelectual e recorrer à abordagem própria das ciências, incluindo a investigação, a reflexão, a análise crítica, a imaginação e a criatividade, para investigar causas, elaborar e testar hipóteses, formular e resolver problemas e criar soluções (inclusive tecnológicas) com base nos conhecimentos das diferentes áreas.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COMPETÊNCIA ESPECÍFICA {{ competência 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HABILIDADE: {{ habilidade 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INTEGRAÇÃO ENTRE AS ÁREAS E/OU COMPONENTES: 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{{ unidade 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OBJETO DO CONHECIMENTO: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{{ objeto 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OBJETIVOS DE APRENDIZAGEM: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{{ objetivo 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Metodologia: Aula expositiva dialogada, Estudo dirigido, Estudo de caso, Resolução de problemas, Pesquisa, Dinâmicas e trabalhos em grupo.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Material de apoio: Livro didático, revistas, artigos científicos, matérias de jornais e sites de grande circulação, jogos e vídeos.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Estratégia de Avaliação: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Participação: Comprometimento; Devolutiva  das atividades.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Lora" w:cs="Lora" w:eastAsia="Lora" w:hAnsi="Lora"/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sz w:val="22"/>
                <w:szCs w:val="22"/>
                <w:rtl w:val="0"/>
              </w:rPr>
              <w:t xml:space="preserve">Produção textual: Atividades de pesquisa; Atividades de aplicação e fixação; Atividades de síntese.</w:t>
            </w:r>
          </w:p>
        </w:tc>
      </w:tr>
    </w:tbl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708" w:footer="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São Raimundo Nonato,</w:t>
    </w:r>
    <w:r w:rsidDel="00000000" w:rsidR="00000000" w:rsidRPr="00000000">
      <w:rPr>
        <w:rFonts w:ascii="Lora" w:cs="Lora" w:eastAsia="Lora" w:hAnsi="Lora"/>
        <w:sz w:val="22"/>
        <w:szCs w:val="22"/>
        <w:rtl w:val="0"/>
      </w:rPr>
      <w:t xml:space="preserve"> </w:t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Lora" w:cs="Lora" w:eastAsia="Lora" w:hAnsi="Lora"/>
        <w:sz w:val="22"/>
        <w:szCs w:val="22"/>
        <w:rtl w:val="0"/>
      </w:rPr>
      <w:t xml:space="preserve">{{ dia }}</w:t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</w:t>
    </w:r>
    <w:r w:rsidDel="00000000" w:rsidR="00000000" w:rsidRPr="00000000">
      <w:rPr>
        <w:rFonts w:ascii="Lora" w:cs="Lora" w:eastAsia="Lora" w:hAnsi="Lora"/>
        <w:sz w:val="22"/>
        <w:szCs w:val="22"/>
        <w:rtl w:val="0"/>
      </w:rPr>
      <w:t xml:space="preserve">{{ mês }}</w:t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Lora" w:cs="Lora" w:eastAsia="Lora" w:hAnsi="Lora"/>
        <w:sz w:val="22"/>
        <w:szCs w:val="22"/>
        <w:rtl w:val="0"/>
      </w:rPr>
      <w:t xml:space="preserve">{{ ano 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393500" y="3780000"/>
                        <a:ext cx="190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393500" y="3780000"/>
                        <a:ext cx="190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2362200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393500" y="3780000"/>
                        <a:ext cx="190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2362200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PROFESSOR(A)</w:t>
      <w:tab/>
      <w:t xml:space="preserve">DIRETOR(A)</w:t>
      <w:tab/>
      <w:t xml:space="preserve">COORDENADOR(A)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GOVERNO DO ESTADO DO PIAUÍ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5853113</wp:posOffset>
          </wp:positionH>
          <wp:positionV relativeFrom="paragraph">
            <wp:posOffset>47626</wp:posOffset>
          </wp:positionV>
          <wp:extent cx="852488" cy="852488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SECRETARIA DE EDUCAÇÃO E CULTURA - SEDUC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13ª </w:t>
    </w:r>
    <w:r w:rsidDel="00000000" w:rsidR="00000000" w:rsidRPr="00000000">
      <w:rPr>
        <w:rFonts w:ascii="Lora" w:cs="Lora" w:eastAsia="Lora" w:hAnsi="Lora"/>
        <w:sz w:val="22"/>
        <w:szCs w:val="22"/>
        <w:rtl w:val="0"/>
      </w:rPr>
      <w:t xml:space="preserve">GERÊNCIA</w:t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REGIONAL DE EDUCAÇÃO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CETI - Centro de Tempo Integral Moderna - Código INEP: 22072667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Rua Aniceto Cavalcante, 210 - Aldeia - São Raimundo Nonato - PI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Lora" w:cs="Lora" w:eastAsia="Lora" w:hAnsi="Lo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PLANO DE AULA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DC308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C3082"/>
  </w:style>
  <w:style w:type="paragraph" w:styleId="Rodap">
    <w:name w:val="footer"/>
    <w:basedOn w:val="Normal"/>
    <w:link w:val="RodapChar"/>
    <w:uiPriority w:val="99"/>
    <w:unhideWhenUsed w:val="1"/>
    <w:rsid w:val="00DC308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C3082"/>
  </w:style>
  <w:style w:type="table" w:styleId="Tabelacomgrade">
    <w:name w:val="Table Grid"/>
    <w:basedOn w:val="Tabelanormal"/>
    <w:uiPriority w:val="39"/>
    <w:rsid w:val="00DC30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LJvCeAFF+uH6wKQ7YEZB/dULdQ==">AMUW2mU9RNiWP5IVwobB5nT8AncYoZfrjnup1i0M/WLLauQlNrc+roLazoe93MUXsx7JMLajaOPcCMIr096iknFTF7kUBd3v3DUNhDsqLvQvuZptGXuW1VA=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2022-12-18T17:12:00Z</dcterms:created>
  <dc:creator>Alex Nunes Rodrigues</dc:creator>
</cp:coreProperties>
</file>