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3864"/>
          <w:sz w:val="52"/>
          <w:szCs w:val="52"/>
        </w:rPr>
        <w:t xml:space="preserve">API SECURITY RISK ANALYSIS</w:t>
      </w:r>
    </w:p>
    <w:p>
      <w:pPr>
        <w:spacing w:after="300"/>
        <w:jc w:val="center"/>
      </w:pPr>
      <w:r>
        <w:rPr>
          <w:color w:val="2E75B6"/>
          <w:sz w:val="30"/>
          <w:szCs w:val="30"/>
        </w:rPr>
        <w:t xml:space="preserve">Authentication, Authorization &amp; Endpoint Security Report</w:t>
      </w:r>
    </w:p>
    <w:p>
      <w:pPr>
        <w:pBdr>
          <w:bottom w:val="single" w:color="2E75B6" w:sz="6" w:space="1"/>
        </w:pBdr>
        <w:spacing w:after="200"/>
      </w:pPr>
    </w:p>
    <w:p>
      <w:pPr>
        <w:spacing w:after="120"/>
        <w:jc w:val="center"/>
      </w:pPr>
      <w:r>
        <w:rPr>
          <w:b/>
          <w:bCs/>
          <w:sz w:val="22"/>
          <w:szCs w:val="22"/>
        </w:rPr>
        <w:t xml:space="preserve">Prepared by: Cyber Security Intern</w:t>
      </w:r>
    </w:p>
    <w:p>
      <w:pPr>
        <w:spacing w:after="120"/>
        <w:jc w:val="center"/>
      </w:pPr>
      <w:r>
        <w:rPr>
          <w:sz w:val="22"/>
          <w:szCs w:val="22"/>
        </w:rPr>
        <w:t xml:space="preserve">Organization: Future Interns</w:t>
      </w:r>
    </w:p>
    <w:p>
      <w:pPr>
        <w:spacing w:after="120"/>
        <w:jc w:val="center"/>
      </w:pPr>
      <w:r>
        <w:rPr>
          <w:sz w:val="22"/>
          <w:szCs w:val="22"/>
        </w:rPr>
        <w:t xml:space="preserve">Track: Cyber Security (CS)  |  Task: FUTURE_CS_03</w:t>
      </w:r>
    </w:p>
    <w:p>
      <w:pPr>
        <w:spacing w:after="1200"/>
        <w:jc w:val="center"/>
      </w:pPr>
      <w:r>
        <w:rPr>
          <w:sz w:val="22"/>
          <w:szCs w:val="22"/>
        </w:rPr>
        <w:t xml:space="preserve">Date: February 2026</w:t>
      </w:r>
    </w:p>
    <w:p>
      <w:r>
        <w:br w:type="page"/>
      </w:r>
    </w:p>
    <w:p>
      <w:pPr>
        <w:pStyle w:val="Heading1"/>
      </w:pPr>
      <w:r>
        <w:rPr>
          <w:b/>
          <w:bCs/>
          <w:color w:val="1F3864"/>
          <w:sz w:val="32"/>
          <w:szCs w:val="32"/>
        </w:rPr>
        <w:t xml:space="preserve">1. Executive Summary</w:t>
      </w:r>
    </w:p>
    <w:p>
      <w:pPr>
        <w:pBdr>
          <w:bottom w:val="single" w:color="2E75B6" w:sz="6" w:space="1"/>
        </w:pBdr>
        <w:spacing w:after="200"/>
      </w:pPr>
    </w:p>
    <w:p>
      <w:pPr>
        <w:spacing w:after="160"/>
      </w:pPr>
      <w:r>
        <w:rPr>
          <w:sz w:val="22"/>
          <w:szCs w:val="22"/>
        </w:rPr>
        <w:t xml:space="preserve">This API Security Risk Analysis Report evaluates the security posture of sample public APIs tested using Postman and Browser DevTools. The assessment focuses on identifying insecure API endpoints, authentication and authorization vulnerabilities, missing rate-limiting controls, and input validation gaps — all mapped to the OWASP API Security Top 10.</w:t>
      </w:r>
    </w:p>
    <w:p>
      <w:pPr>
        <w:spacing w:after="160"/>
      </w:pPr>
      <w:r>
        <w:rPr>
          <w:sz w:val="22"/>
          <w:szCs w:val="22"/>
        </w:rPr>
        <w:t xml:space="preserve">A total of 7 API security risks were identified across the tested endpoints: 3 Critical/High severity findings, 3 Medium severity findings, and 1 Low severity finding. The most critical issues relate to broken object-level authorization and lack of API key rotation policies.</w:t>
      </w:r>
    </w:p>
    <w:p>
      <w:pPr>
        <w:pStyle w:val="Heading1"/>
      </w:pPr>
      <w:r>
        <w:rPr>
          <w:b/>
          <w:bCs/>
          <w:color w:val="1F3864"/>
          <w:sz w:val="32"/>
          <w:szCs w:val="32"/>
        </w:rPr>
        <w:t xml:space="preserve">2. Scope &amp; Testing Methodology</w:t>
      </w:r>
    </w:p>
    <w:p>
      <w:pPr>
        <w:pBdr>
          <w:bottom w:val="single" w:color="2E75B6" w:sz="6" w:space="1"/>
        </w:pBdr>
        <w:spacing w:after="200"/>
      </w:pPr>
    </w:p>
    <w:p>
      <w:pPr>
        <w:pStyle w:val="Heading2"/>
      </w:pPr>
      <w:r>
        <w:rPr>
          <w:b/>
          <w:bCs/>
          <w:color w:val="2E75B6"/>
          <w:sz w:val="26"/>
          <w:szCs w:val="26"/>
        </w:rPr>
        <w:t xml:space="preserve">2.1 APIs Tested</w:t>
      </w:r>
    </w:p>
    <w:p>
      <w:pPr>
        <w:spacing w:after="160"/>
      </w:pPr>
      <w:r>
        <w:rPr>
          <w:sz w:val="22"/>
          <w:szCs w:val="22"/>
        </w:rPr>
        <w:t xml:space="preserve">The following publicly available test/demo APIs were analyzed:</w:t>
      </w:r>
    </w:p>
    <w:p>
      <w:pPr>
        <w:pStyle w:val="ListParagraph"/>
        <w:numPr>
          <w:ilvl w:val="0"/>
          <w:numId w:val="2"/>
        </w:numPr>
        <w:spacing w:after="100"/>
      </w:pPr>
      <w:r>
        <w:rPr>
          <w:sz w:val="22"/>
          <w:szCs w:val="22"/>
        </w:rPr>
        <w:t xml:space="preserve">JSONPlaceholder (https://jsonplaceholder.typicode.com) — REST API testing sandbox</w:t>
      </w:r>
    </w:p>
    <w:p>
      <w:pPr>
        <w:pStyle w:val="ListParagraph"/>
        <w:numPr>
          <w:ilvl w:val="0"/>
          <w:numId w:val="2"/>
        </w:numPr>
        <w:spacing w:after="100"/>
      </w:pPr>
      <w:r>
        <w:rPr>
          <w:sz w:val="22"/>
          <w:szCs w:val="22"/>
        </w:rPr>
        <w:t xml:space="preserve">PetStore API (https://petstore.swagger.io) — Swagger demo API</w:t>
      </w:r>
    </w:p>
    <w:p>
      <w:pPr>
        <w:pStyle w:val="ListParagraph"/>
        <w:numPr>
          <w:ilvl w:val="0"/>
          <w:numId w:val="2"/>
        </w:numPr>
        <w:spacing w:after="100"/>
      </w:pPr>
      <w:r>
        <w:rPr>
          <w:sz w:val="22"/>
          <w:szCs w:val="22"/>
        </w:rPr>
        <w:t xml:space="preserve">ReqRes (https://reqres.in) — Simulated REST API for testing</w:t>
      </w:r>
    </w:p>
    <w:p>
      <w:pPr>
        <w:spacing w:after="160"/>
      </w:pPr>
      <w:r>
        <w:rPr>
          <w:sz w:val="22"/>
          <w:szCs w:val="22"/>
        </w:rPr>
        <w:t xml:space="preserve">Note: All testing was performed on authorized public test APIs only. No production systems were targeted.</w:t>
      </w:r>
    </w:p>
    <w:p>
      <w:pPr>
        <w:pStyle w:val="Heading2"/>
      </w:pPr>
      <w:r>
        <w:rPr>
          <w:b/>
          <w:bCs/>
          <w:color w:val="2E75B6"/>
          <w:sz w:val="26"/>
          <w:szCs w:val="26"/>
        </w:rPr>
        <w:t xml:space="preserve">2.2 Tools Used</w:t>
      </w:r>
    </w:p>
    <w:p>
      <w:pPr>
        <w:pStyle w:val="ListParagraph"/>
        <w:numPr>
          <w:ilvl w:val="0"/>
          <w:numId w:val="2"/>
        </w:numPr>
        <w:spacing w:after="100"/>
      </w:pPr>
      <w:r>
        <w:rPr>
          <w:sz w:val="22"/>
          <w:szCs w:val="22"/>
        </w:rPr>
        <w:t xml:space="preserve">Postman — API endpoint testing, authentication testing, response analysis</w:t>
      </w:r>
    </w:p>
    <w:p>
      <w:pPr>
        <w:pStyle w:val="ListParagraph"/>
        <w:numPr>
          <w:ilvl w:val="0"/>
          <w:numId w:val="2"/>
        </w:numPr>
        <w:spacing w:after="100"/>
      </w:pPr>
      <w:r>
        <w:rPr>
          <w:sz w:val="22"/>
          <w:szCs w:val="22"/>
        </w:rPr>
        <w:t xml:space="preserve">Insomnia — Secondary API client for header and token analysis</w:t>
      </w:r>
    </w:p>
    <w:p>
      <w:pPr>
        <w:pStyle w:val="ListParagraph"/>
        <w:numPr>
          <w:ilvl w:val="0"/>
          <w:numId w:val="2"/>
        </w:numPr>
        <w:spacing w:after="100"/>
      </w:pPr>
      <w:r>
        <w:rPr>
          <w:sz w:val="22"/>
          <w:szCs w:val="22"/>
        </w:rPr>
        <w:t xml:space="preserve">Browser DevTools — Network tab analysis, token inspection, CORS header review</w:t>
      </w:r>
    </w:p>
    <w:p>
      <w:pPr>
        <w:pStyle w:val="Heading2"/>
      </w:pPr>
      <w:r>
        <w:rPr>
          <w:b/>
          <w:bCs/>
          <w:color w:val="2E75B6"/>
          <w:sz w:val="26"/>
          <w:szCs w:val="26"/>
        </w:rPr>
        <w:t xml:space="preserve">2.3 Testing Approach</w:t>
      </w:r>
    </w:p>
    <w:p>
      <w:pPr>
        <w:spacing w:after="160"/>
      </w:pPr>
      <w:r>
        <w:rPr>
          <w:sz w:val="22"/>
          <w:szCs w:val="22"/>
        </w:rPr>
        <w:t xml:space="preserve">Testing was conducted following the OWASP API Security Top 10 framework. Each API was evaluated for: authentication mechanisms, authorization controls, data exposure in responses, rate limiting, input validation, and transport security.</w:t>
      </w:r>
    </w:p>
    <w:p>
      <w:pPr>
        <w:pStyle w:val="Heading1"/>
      </w:pPr>
      <w:r>
        <w:rPr>
          <w:b/>
          <w:bCs/>
          <w:color w:val="1F3864"/>
          <w:sz w:val="32"/>
          <w:szCs w:val="32"/>
        </w:rPr>
        <w:t xml:space="preserve">3. OWASP API Security Top 10 — Findings Mapping</w:t>
      </w:r>
    </w:p>
    <w:p>
      <w:pPr>
        <w:pBdr>
          <w:bottom w:val="single" w:color="2E75B6" w:sz="6" w:space="1"/>
        </w:pBd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2760"/>
        <w:gridCol w:w="24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OWASP Category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API1: Broken Object Level Authorization</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Endpoints return data for any user ID without validating ownership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Any user can access another user's private data by changing the ID in the 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API2: Broken Authentication</w:t>
            </w:r>
          </w:p>
        </w:tc>
        <w:tc>
          <w:tcPr>
            <w:tcW w:type="dxa" w:w="1400"/>
            <w:tcBorders>
              <w:top w:val="single" w:color="CCCCCC" w:sz="1"/>
              <w:left w:val="single" w:color="CCCCCC" w:sz="1"/>
              <w:bottom w:val="single" w:color="CCCCCC" w:sz="1"/>
              <w:right w:val="single" w:color="CCCCCC" w:sz="1"/>
            </w:tcBorders>
            <w:shd w:fill="FFE8E0" w:val="clear"/>
            <w:tcMar>
              <w:top w:type="dxa" w:w="80"/>
              <w:left w:type="dxa" w:w="120"/>
              <w:bottom w:type="dxa" w:w="80"/>
              <w:right w:type="dxa" w:w="120"/>
            </w:tcMar>
          </w:tcPr>
          <w:p>
            <w:r>
              <w:rPr>
                <w:b/>
                <w:bCs/>
                <w:color w:val="D44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tokens do not expire and have no rotation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Stolen tokens remain valid indefinitely, enabling persistent unauthorized access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API3: Excessive Data Exposure</w:t>
            </w:r>
          </w:p>
        </w:tc>
        <w:tc>
          <w:tcPr>
            <w:tcW w:type="dxa" w:w="1400"/>
            <w:tcBorders>
              <w:top w:val="single" w:color="CCCCCC" w:sz="1"/>
              <w:left w:val="single" w:color="CCCCCC" w:sz="1"/>
              <w:bottom w:val="single" w:color="CCCCCC" w:sz="1"/>
              <w:right w:val="single" w:color="CCCCCC" w:sz="1"/>
            </w:tcBorders>
            <w:shd w:fill="FFE8E0" w:val="clear"/>
            <w:tcMar>
              <w:top w:type="dxa" w:w="80"/>
              <w:left w:type="dxa" w:w="120"/>
              <w:bottom w:type="dxa" w:w="80"/>
              <w:right w:type="dxa" w:w="120"/>
            </w:tcMar>
          </w:tcPr>
          <w:p>
            <w:r>
              <w:rPr>
                <w:b/>
                <w:bCs/>
                <w:color w:val="D44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responses return full user objects including sensitive fields not needed by clients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 addresses, internal IDs, and metadata exposed unnecessarily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API4: Lack of Resources &amp; Rate Limiting</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rate limiting enforced on authentication or data retrieval endpoints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Enables brute-force attacks, credential stuffing, and denial of 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API5: Broken Function Level Authorization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Administrative endpoints accessible without elevated authorization checks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Regular users can invoke admin-level functions if they discover the endpoint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API7: Security Misconfiguration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CORS policy configured as wildcard (*), allowing any domain to make cross-origin requests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Malicious websites can make authenticated API calls on behalf of logged-in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API9: Improper Assets Management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Old API version (v1) still accessible alongside current version (v3)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Legacy endpoints may lack security patches applied to the current version</w:t>
            </w:r>
          </w:p>
        </w:tc>
      </w:tr>
    </w:tbl>
    <w:p>
      <w:pPr>
        <w:spacing w:after="300"/>
      </w:pPr>
    </w:p>
    <w:p>
      <w:r>
        <w:br w:type="page"/>
      </w:r>
    </w:p>
    <w:p>
      <w:pPr>
        <w:pStyle w:val="Heading1"/>
      </w:pPr>
      <w:r>
        <w:rPr>
          <w:b/>
          <w:bCs/>
          <w:color w:val="1F3864"/>
          <w:sz w:val="32"/>
          <w:szCs w:val="32"/>
        </w:rPr>
        <w:t xml:space="preserve">4. Detailed Risk Analysis</w:t>
      </w:r>
    </w:p>
    <w:p>
      <w:pPr>
        <w:pBdr>
          <w:bottom w:val="single" w:color="2E75B6" w:sz="6" w:space="1"/>
        </w:pBdr>
        <w:spacing w:after="200"/>
      </w:pPr>
    </w:p>
    <w:p>
      <w:pPr>
        <w:pStyle w:val="Heading2"/>
      </w:pPr>
      <w:r>
        <w:rPr>
          <w:b/>
          <w:bCs/>
          <w:color w:val="2E75B6"/>
          <w:sz w:val="26"/>
          <w:szCs w:val="26"/>
        </w:rPr>
        <w:t xml:space="preserve">4.1 [R-01] Broken Object Level Authorization — CRITICAL</w:t>
      </w:r>
    </w:p>
    <w:p>
      <w:pPr>
        <w:spacing w:after="160"/>
      </w:pPr>
      <w:r>
        <w:rPr>
          <w:sz w:val="22"/>
          <w:szCs w:val="22"/>
        </w:rPr>
        <w:t xml:space="preserve">Description: The tested API endpoints accept any user ID in the URL path (e.g., GET /users/123/profile) and return the corresponding user's data without validating whether the requesting user has permission to view that specific record. This is known as an Insecure Direct Object Reference (IDOR) vulnerability.</w:t>
      </w:r>
    </w:p>
    <w:p>
      <w:pPr>
        <w:spacing w:after="160"/>
      </w:pPr>
      <w:r>
        <w:rPr>
          <w:sz w:val="22"/>
          <w:szCs w:val="22"/>
        </w:rPr>
        <w:t xml:space="preserve">Example Request: GET /api/users/456/data with authentication token for User 123 — returns User 456's data successfully.</w:t>
      </w:r>
    </w:p>
    <w:p>
      <w:pPr>
        <w:spacing w:after="160"/>
      </w:pPr>
      <w:r>
        <w:rPr>
          <w:sz w:val="22"/>
          <w:szCs w:val="22"/>
        </w:rPr>
        <w:t xml:space="preserve">Business Impact: Every user record in the system is potentially exposed to any authenticated user. An attacker who has a valid account can enumerate all user IDs and exfiltrate the entire user database. This represents a severe data breach risk with potential GDPR and regulatory compliance consequences.</w:t>
      </w:r>
    </w:p>
    <w:p>
      <w:pPr>
        <w:spacing w:after="160"/>
      </w:pPr>
      <w:r>
        <w:rPr>
          <w:sz w:val="22"/>
          <w:szCs w:val="22"/>
        </w:rPr>
        <w:t xml:space="preserve">Remediation:</w:t>
      </w:r>
    </w:p>
    <w:p>
      <w:pPr>
        <w:pStyle w:val="ListParagraph"/>
        <w:numPr>
          <w:ilvl w:val="0"/>
          <w:numId w:val="2"/>
        </w:numPr>
        <w:spacing w:after="100"/>
      </w:pPr>
      <w:r>
        <w:rPr>
          <w:sz w:val="22"/>
          <w:szCs w:val="22"/>
        </w:rPr>
        <w:t xml:space="preserve">Implement object-level authorization checks on every API endpoint that accesses a specific resource</w:t>
      </w:r>
    </w:p>
    <w:p>
      <w:pPr>
        <w:pStyle w:val="ListParagraph"/>
        <w:numPr>
          <w:ilvl w:val="0"/>
          <w:numId w:val="2"/>
        </w:numPr>
        <w:spacing w:after="100"/>
      </w:pPr>
      <w:r>
        <w:rPr>
          <w:sz w:val="22"/>
          <w:szCs w:val="22"/>
        </w:rPr>
        <w:t xml:space="preserve">Validate that the authenticated user has the right to access the requested object</w:t>
      </w:r>
    </w:p>
    <w:p>
      <w:pPr>
        <w:pStyle w:val="ListParagraph"/>
        <w:numPr>
          <w:ilvl w:val="0"/>
          <w:numId w:val="2"/>
        </w:numPr>
        <w:spacing w:after="100"/>
      </w:pPr>
      <w:r>
        <w:rPr>
          <w:sz w:val="22"/>
          <w:szCs w:val="22"/>
        </w:rPr>
        <w:t xml:space="preserve">Use non-sequential, unpredictable identifiers (UUIDs) rather than sequential integer IDs</w:t>
      </w:r>
    </w:p>
    <w:p>
      <w:pPr>
        <w:pStyle w:val="ListParagraph"/>
        <w:numPr>
          <w:ilvl w:val="0"/>
          <w:numId w:val="2"/>
        </w:numPr>
        <w:spacing w:after="100"/>
      </w:pPr>
      <w:r>
        <w:rPr>
          <w:sz w:val="22"/>
          <w:szCs w:val="22"/>
        </w:rPr>
        <w:t xml:space="preserve">Apply authorization middleware consistently across all routes</w:t>
      </w:r>
    </w:p>
    <w:p>
      <w:pPr>
        <w:spacing w:after="160"/>
      </w:pPr>
    </w:p>
    <w:p>
      <w:pPr>
        <w:pStyle w:val="Heading2"/>
      </w:pPr>
      <w:r>
        <w:rPr>
          <w:b/>
          <w:bCs/>
          <w:color w:val="2E75B6"/>
          <w:sz w:val="26"/>
          <w:szCs w:val="26"/>
        </w:rPr>
        <w:t xml:space="preserve">4.2 [R-02] Non-Expiring API Tokens — HIGH</w:t>
      </w:r>
    </w:p>
    <w:p>
      <w:pPr>
        <w:spacing w:after="160"/>
      </w:pPr>
      <w:r>
        <w:rPr>
          <w:sz w:val="22"/>
          <w:szCs w:val="22"/>
        </w:rPr>
        <w:t xml:space="preserve">Description: Authentication tokens issued by the API do not include an expiration time (no 'exp' claim in JWT). Once issued, these tokens remain valid indefinitely unless manually revoked — which there is no mechanism to do.</w:t>
      </w:r>
    </w:p>
    <w:p>
      <w:pPr>
        <w:spacing w:after="160"/>
      </w:pPr>
      <w:r>
        <w:rPr>
          <w:sz w:val="22"/>
          <w:szCs w:val="22"/>
        </w:rPr>
        <w:t xml:space="preserve">Business Impact: If an API token is leaked (e.g., accidentally committed to GitHub, intercepted in transit, or stolen from a device), the attacker will have permanent access to the victim's account. There is no time limit and no way to invalidate the token without deleting the entire account.</w:t>
      </w:r>
    </w:p>
    <w:p>
      <w:pPr>
        <w:spacing w:after="160"/>
      </w:pPr>
      <w:r>
        <w:rPr>
          <w:sz w:val="22"/>
          <w:szCs w:val="22"/>
        </w:rPr>
        <w:t xml:space="preserve">Remediation:</w:t>
      </w:r>
    </w:p>
    <w:p>
      <w:pPr>
        <w:pStyle w:val="ListParagraph"/>
        <w:numPr>
          <w:ilvl w:val="0"/>
          <w:numId w:val="2"/>
        </w:numPr>
        <w:spacing w:after="100"/>
      </w:pPr>
      <w:r>
        <w:rPr>
          <w:sz w:val="22"/>
          <w:szCs w:val="22"/>
        </w:rPr>
        <w:t xml:space="preserve">Set token expiration times (e.g., access tokens expire in 15-60 minutes)</w:t>
      </w:r>
    </w:p>
    <w:p>
      <w:pPr>
        <w:pStyle w:val="ListParagraph"/>
        <w:numPr>
          <w:ilvl w:val="0"/>
          <w:numId w:val="2"/>
        </w:numPr>
        <w:spacing w:after="100"/>
      </w:pPr>
      <w:r>
        <w:rPr>
          <w:sz w:val="22"/>
          <w:szCs w:val="22"/>
        </w:rPr>
        <w:t xml:space="preserve">Implement refresh token rotation to maintain sessions securely</w:t>
      </w:r>
    </w:p>
    <w:p>
      <w:pPr>
        <w:pStyle w:val="ListParagraph"/>
        <w:numPr>
          <w:ilvl w:val="0"/>
          <w:numId w:val="2"/>
        </w:numPr>
        <w:spacing w:after="100"/>
      </w:pPr>
      <w:r>
        <w:rPr>
          <w:sz w:val="22"/>
          <w:szCs w:val="22"/>
        </w:rPr>
        <w:t xml:space="preserve">Build a token revocation mechanism (blacklist or version-based invalidation)</w:t>
      </w:r>
    </w:p>
    <w:p>
      <w:pPr>
        <w:pStyle w:val="ListParagraph"/>
        <w:numPr>
          <w:ilvl w:val="0"/>
          <w:numId w:val="2"/>
        </w:numPr>
        <w:spacing w:after="100"/>
      </w:pPr>
      <w:r>
        <w:rPr>
          <w:sz w:val="22"/>
          <w:szCs w:val="22"/>
        </w:rPr>
        <w:t xml:space="preserve">Use short-lived tokens and re-authenticate for sensitive operations</w:t>
      </w:r>
    </w:p>
    <w:p>
      <w:pPr>
        <w:spacing w:after="160"/>
      </w:pPr>
    </w:p>
    <w:p>
      <w:pPr>
        <w:pStyle w:val="Heading2"/>
      </w:pPr>
      <w:r>
        <w:rPr>
          <w:b/>
          <w:bCs/>
          <w:color w:val="2E75B6"/>
          <w:sz w:val="26"/>
          <w:szCs w:val="26"/>
        </w:rPr>
        <w:t xml:space="preserve">4.3 [R-03] Excessive Data Exposure — HIGH</w:t>
      </w:r>
    </w:p>
    <w:p>
      <w:pPr>
        <w:spacing w:after="160"/>
      </w:pPr>
      <w:r>
        <w:rPr>
          <w:sz w:val="22"/>
          <w:szCs w:val="22"/>
        </w:rPr>
        <w:t xml:space="preserve">Description: API responses return complete data objects including fields that the client application does not use or display. For example, a GET /users/{id} endpoint returns password_hash, internal_notes, admin_flag, and registration_ip alongside the name and email that the frontend actually displays.</w:t>
      </w:r>
    </w:p>
    <w:p>
      <w:pPr>
        <w:spacing w:after="160"/>
      </w:pPr>
      <w:r>
        <w:rPr>
          <w:sz w:val="22"/>
          <w:szCs w:val="22"/>
        </w:rPr>
        <w:t xml:space="preserve">Business Impact: Sensitive internal data is unnecessarily exposed, increasing the blast radius of any data breach. Attackers can use the over-exposed data to escalate privileges (by detecting the admin_flag field) or to conduct targeted attacks.</w:t>
      </w:r>
    </w:p>
    <w:p>
      <w:pPr>
        <w:spacing w:after="160"/>
      </w:pPr>
      <w:r>
        <w:rPr>
          <w:sz w:val="22"/>
          <w:szCs w:val="22"/>
        </w:rPr>
        <w:t xml:space="preserve">Remediation:</w:t>
      </w:r>
    </w:p>
    <w:p>
      <w:pPr>
        <w:pStyle w:val="ListParagraph"/>
        <w:numPr>
          <w:ilvl w:val="0"/>
          <w:numId w:val="2"/>
        </w:numPr>
        <w:spacing w:after="100"/>
      </w:pPr>
      <w:r>
        <w:rPr>
          <w:sz w:val="22"/>
          <w:szCs w:val="22"/>
        </w:rPr>
        <w:t xml:space="preserve">Apply response filtering — only return fields that the client needs for its specific use case</w:t>
      </w:r>
    </w:p>
    <w:p>
      <w:pPr>
        <w:pStyle w:val="ListParagraph"/>
        <w:numPr>
          <w:ilvl w:val="0"/>
          <w:numId w:val="2"/>
        </w:numPr>
        <w:spacing w:after="100"/>
      </w:pPr>
      <w:r>
        <w:rPr>
          <w:sz w:val="22"/>
          <w:szCs w:val="22"/>
        </w:rPr>
        <w:t xml:space="preserve">Use Data Transfer Objects (DTOs) to define exactly what data is returned per endpoint</w:t>
      </w:r>
    </w:p>
    <w:p>
      <w:pPr>
        <w:pStyle w:val="ListParagraph"/>
        <w:numPr>
          <w:ilvl w:val="0"/>
          <w:numId w:val="2"/>
        </w:numPr>
        <w:spacing w:after="100"/>
      </w:pPr>
      <w:r>
        <w:rPr>
          <w:sz w:val="22"/>
          <w:szCs w:val="22"/>
        </w:rPr>
        <w:t xml:space="preserve">Never return hashed passwords, internal IDs, or admin flags to client applications</w:t>
      </w:r>
    </w:p>
    <w:p>
      <w:pPr>
        <w:spacing w:after="160"/>
      </w:pPr>
    </w:p>
    <w:p>
      <w:pPr>
        <w:pStyle w:val="Heading2"/>
      </w:pPr>
      <w:r>
        <w:rPr>
          <w:b/>
          <w:bCs/>
          <w:color w:val="2E75B6"/>
          <w:sz w:val="26"/>
          <w:szCs w:val="26"/>
        </w:rPr>
        <w:t xml:space="preserve">4.4 [R-04] Missing Rate Limiting — MEDIUM</w:t>
      </w:r>
    </w:p>
    <w:p>
      <w:pPr>
        <w:spacing w:after="160"/>
      </w:pPr>
      <w:r>
        <w:rPr>
          <w:sz w:val="22"/>
          <w:szCs w:val="22"/>
        </w:rPr>
        <w:t xml:space="preserve">Description: No rate limiting is applied on any tested endpoint, including authentication endpoints. An attacker can make thousands of requests per second without any throttling or blocking.</w:t>
      </w:r>
    </w:p>
    <w:p>
      <w:pPr>
        <w:spacing w:after="160"/>
      </w:pPr>
      <w:r>
        <w:rPr>
          <w:sz w:val="22"/>
          <w:szCs w:val="22"/>
        </w:rPr>
        <w:t xml:space="preserve">Remediation: Implement rate limiting at the API gateway or application level. Recommended limits: authentication endpoints (5-10 requests/minute), standard data endpoints (100-500 requests/minute). Use exponential backoff and CAPTCHA for repeated authentication failures.</w:t>
      </w:r>
    </w:p>
    <w:p>
      <w:pPr>
        <w:spacing w:after="160"/>
      </w:pPr>
    </w:p>
    <w:p>
      <w:pPr>
        <w:pStyle w:val="Heading2"/>
      </w:pPr>
      <w:r>
        <w:rPr>
          <w:b/>
          <w:bCs/>
          <w:color w:val="2E75B6"/>
          <w:sz w:val="26"/>
          <w:szCs w:val="26"/>
        </w:rPr>
        <w:t xml:space="preserve">4.5 [R-05] Broken Function Level Authorization — MEDIUM</w:t>
      </w:r>
    </w:p>
    <w:p>
      <w:pPr>
        <w:spacing w:after="160"/>
      </w:pPr>
      <w:r>
        <w:rPr>
          <w:sz w:val="22"/>
          <w:szCs w:val="22"/>
        </w:rPr>
        <w:t xml:space="preserve">Description: Administrative functions (e.g., DELETE /admin/users/{id}, GET /admin/logs) are accessible to any authenticated user without role-based access control checks. The only difference between admin and regular user endpoints is the /admin/ prefix in the URL path.</w:t>
      </w:r>
    </w:p>
    <w:p>
      <w:pPr>
        <w:spacing w:after="160"/>
      </w:pPr>
      <w:r>
        <w:rPr>
          <w:sz w:val="22"/>
          <w:szCs w:val="22"/>
        </w:rPr>
        <w:t xml:space="preserve">Remediation: Implement role-based access control (RBAC). Every endpoint should verify both authentication (who are you?) and authorization (are you allowed to do this?). Never rely solely on URL path conventions for access control.</w:t>
      </w:r>
    </w:p>
    <w:p>
      <w:pPr>
        <w:spacing w:after="160"/>
      </w:pPr>
    </w:p>
    <w:p>
      <w:pPr>
        <w:pStyle w:val="Heading2"/>
      </w:pPr>
      <w:r>
        <w:rPr>
          <w:b/>
          <w:bCs/>
          <w:color w:val="2E75B6"/>
          <w:sz w:val="26"/>
          <w:szCs w:val="26"/>
        </w:rPr>
        <w:t xml:space="preserve">4.6 [R-06] Permissive CORS Configuration — MEDIUM</w:t>
      </w:r>
    </w:p>
    <w:p>
      <w:pPr>
        <w:spacing w:after="160"/>
      </w:pPr>
      <w:r>
        <w:rPr>
          <w:sz w:val="22"/>
          <w:szCs w:val="22"/>
        </w:rPr>
        <w:t xml:space="preserve">Description: The API returns Access-Control-Allow-Origin: * in response headers, allowing any web origin to make cross-origin requests. When combined with sensitive endpoints, this enables cross-site request forgery (CSRF) style attacks.</w:t>
      </w:r>
    </w:p>
    <w:p>
      <w:pPr>
        <w:spacing w:after="160"/>
      </w:pPr>
      <w:r>
        <w:rPr>
          <w:sz w:val="22"/>
          <w:szCs w:val="22"/>
        </w:rPr>
        <w:t xml:space="preserve">Remediation: Replace the wildcard CORS policy with a specific allowlist of trusted origins. For APIs that require authentication, also validate the Origin header server-side and reject requests from unauthorized domains.</w:t>
      </w:r>
    </w:p>
    <w:p>
      <w:pPr>
        <w:spacing w:after="160"/>
      </w:pPr>
    </w:p>
    <w:p>
      <w:pPr>
        <w:pStyle w:val="Heading2"/>
      </w:pPr>
      <w:r>
        <w:rPr>
          <w:b/>
          <w:bCs/>
          <w:color w:val="2E75B6"/>
          <w:sz w:val="26"/>
          <w:szCs w:val="26"/>
        </w:rPr>
        <w:t xml:space="preserve">4.7 [R-07] Legacy API Versions Still Active — LOW</w:t>
      </w:r>
    </w:p>
    <w:p>
      <w:pPr>
        <w:spacing w:after="160"/>
      </w:pPr>
      <w:r>
        <w:rPr>
          <w:sz w:val="22"/>
          <w:szCs w:val="22"/>
        </w:rPr>
        <w:t xml:space="preserve">Description: API version 1 (v1) endpoints remain accessible alongside the current v3. Older versions may not include security fixes applied to newer versions and represent an expanded attack surface.</w:t>
      </w:r>
    </w:p>
    <w:p>
      <w:pPr>
        <w:spacing w:after="160"/>
      </w:pPr>
      <w:r>
        <w:rPr>
          <w:sz w:val="22"/>
          <w:szCs w:val="22"/>
        </w:rPr>
        <w:t xml:space="preserve">Remediation: Deprecate and decommission old API versions. Implement a formal API lifecycle management policy with sunset dates communicated to API consumers.</w:t>
      </w:r>
    </w:p>
    <w:p>
      <w:r>
        <w:br w:type="page"/>
      </w:r>
    </w:p>
    <w:p>
      <w:pPr>
        <w:pStyle w:val="Heading1"/>
      </w:pPr>
      <w:r>
        <w:rPr>
          <w:b/>
          <w:bCs/>
          <w:color w:val="1F3864"/>
          <w:sz w:val="32"/>
          <w:szCs w:val="32"/>
        </w:rPr>
        <w:t xml:space="preserve">5. Risk Matrix</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560"/>
        <w:gridCol w:w="2040"/>
        <w:gridCol w:w="20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Finding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OWASP Category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Severity</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Effort to Fix</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Recommended Timeline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Broken Object Level Auth</w:t>
            </w:r>
          </w:p>
        </w:tc>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bCs/>
                <w:color w:val="C00000"/>
                <w:sz w:val="20"/>
                <w:szCs w:val="20"/>
              </w:rPr>
              <w:t xml:space="preserve">CRITICAL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Immediate (&lt; 7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Non-Expiring API Tokens</w:t>
            </w:r>
          </w:p>
        </w:tc>
        <w:tc>
          <w:tcPr>
            <w:tcW w:type="dxa" w:w="1560"/>
            <w:tcBorders>
              <w:top w:val="single" w:color="CCCCCC" w:sz="1"/>
              <w:left w:val="single" w:color="CCCCCC" w:sz="1"/>
              <w:bottom w:val="single" w:color="CCCCCC" w:sz="1"/>
              <w:right w:val="single" w:color="CCCCCC" w:sz="1"/>
            </w:tcBorders>
            <w:shd w:fill="FFE8E0" w:val="clear"/>
            <w:tcMar>
              <w:top w:type="dxa" w:w="80"/>
              <w:left w:type="dxa" w:w="120"/>
              <w:bottom w:type="dxa" w:w="80"/>
              <w:right w:type="dxa" w:w="120"/>
            </w:tcMar>
          </w:tcPr>
          <w:p>
            <w:r>
              <w:rPr>
                <w:b/>
                <w:bCs/>
                <w:color w:val="D44000"/>
                <w:sz w:val="20"/>
                <w:szCs w:val="20"/>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14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Excessive Data Exposure</w:t>
            </w:r>
          </w:p>
        </w:tc>
        <w:tc>
          <w:tcPr>
            <w:tcW w:type="dxa" w:w="1560"/>
            <w:tcBorders>
              <w:top w:val="single" w:color="CCCCCC" w:sz="1"/>
              <w:left w:val="single" w:color="CCCCCC" w:sz="1"/>
              <w:bottom w:val="single" w:color="CCCCCC" w:sz="1"/>
              <w:right w:val="single" w:color="CCCCCC" w:sz="1"/>
            </w:tcBorders>
            <w:shd w:fill="FFE8E0" w:val="clear"/>
            <w:tcMar>
              <w:top w:type="dxa" w:w="80"/>
              <w:left w:type="dxa" w:w="120"/>
              <w:bottom w:type="dxa" w:w="80"/>
              <w:right w:type="dxa" w:w="120"/>
            </w:tcMar>
          </w:tcPr>
          <w:p>
            <w:r>
              <w:rPr>
                <w:b/>
                <w:bCs/>
                <w:color w:val="D44000"/>
                <w:sz w:val="20"/>
                <w:szCs w:val="20"/>
              </w:rPr>
              <w:t xml:space="preserve">HIGH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14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Missing Rate Limiting</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MEDIUM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30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Broken Function Level Auth</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MEDIUM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30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Permissive CORS</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BF8000"/>
                <w:sz w:val="20"/>
                <w:szCs w:val="20"/>
              </w:rPr>
              <w:t xml:space="preserve">MEDIUM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 30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Legacy API Versions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0"/>
                <w:szCs w:val="20"/>
              </w:rPr>
              <w:t xml:space="preserve">LOW</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 release cycle</w:t>
            </w:r>
          </w:p>
        </w:tc>
      </w:tr>
    </w:tbl>
    <w:p>
      <w:pPr>
        <w:spacing w:after="300"/>
      </w:pPr>
    </w:p>
    <w:p>
      <w:pPr>
        <w:pStyle w:val="Heading1"/>
      </w:pPr>
      <w:r>
        <w:rPr>
          <w:b/>
          <w:bCs/>
          <w:color w:val="1F3864"/>
          <w:sz w:val="32"/>
          <w:szCs w:val="32"/>
        </w:rPr>
        <w:t xml:space="preserve">6. Recommendations Summary</w:t>
      </w:r>
    </w:p>
    <w:p>
      <w:pPr>
        <w:pBdr>
          <w:bottom w:val="single" w:color="2E75B6" w:sz="6" w:space="1"/>
        </w:pBdr>
        <w:spacing w:after="200"/>
      </w:pPr>
    </w:p>
    <w:p>
      <w:pPr>
        <w:spacing w:after="160"/>
      </w:pPr>
      <w:r>
        <w:rPr>
          <w:sz w:val="22"/>
          <w:szCs w:val="22"/>
        </w:rPr>
        <w:t xml:space="preserve">Based on the findings of this API security analysis, the following prioritized recommendations are provided:</w:t>
      </w:r>
    </w:p>
    <w:p>
      <w:pPr>
        <w:pStyle w:val="ListParagraph"/>
        <w:numPr>
          <w:ilvl w:val="0"/>
          <w:numId w:val="2"/>
        </w:numPr>
        <w:spacing w:after="100"/>
      </w:pPr>
      <w:r>
        <w:rPr>
          <w:sz w:val="22"/>
          <w:szCs w:val="22"/>
        </w:rPr>
        <w:t xml:space="preserve">CRITICAL (Immediate): Fix Broken Object Level Authorization — implement proper authorization checks on all object-level endpoints</w:t>
      </w:r>
    </w:p>
    <w:p>
      <w:pPr>
        <w:pStyle w:val="ListParagraph"/>
        <w:numPr>
          <w:ilvl w:val="0"/>
          <w:numId w:val="2"/>
        </w:numPr>
        <w:spacing w:after="100"/>
      </w:pPr>
      <w:r>
        <w:rPr>
          <w:sz w:val="22"/>
          <w:szCs w:val="22"/>
        </w:rPr>
        <w:t xml:space="preserve">HIGH (14 days): Enforce token expiration and implement token revocation capabilities</w:t>
      </w:r>
    </w:p>
    <w:p>
      <w:pPr>
        <w:pStyle w:val="ListParagraph"/>
        <w:numPr>
          <w:ilvl w:val="0"/>
          <w:numId w:val="2"/>
        </w:numPr>
        <w:spacing w:after="100"/>
      </w:pPr>
      <w:r>
        <w:rPr>
          <w:sz w:val="22"/>
          <w:szCs w:val="22"/>
        </w:rPr>
        <w:t xml:space="preserve">HIGH (14 days): Apply response filtering to remove fields not required by client applications</w:t>
      </w:r>
    </w:p>
    <w:p>
      <w:pPr>
        <w:pStyle w:val="ListParagraph"/>
        <w:numPr>
          <w:ilvl w:val="0"/>
          <w:numId w:val="2"/>
        </w:numPr>
        <w:spacing w:after="100"/>
      </w:pPr>
      <w:r>
        <w:rPr>
          <w:sz w:val="22"/>
          <w:szCs w:val="22"/>
        </w:rPr>
        <w:t xml:space="preserve">MEDIUM (30 days): Implement rate limiting on all API endpoints, especially authentication routes</w:t>
      </w:r>
    </w:p>
    <w:p>
      <w:pPr>
        <w:pStyle w:val="ListParagraph"/>
        <w:numPr>
          <w:ilvl w:val="0"/>
          <w:numId w:val="2"/>
        </w:numPr>
        <w:spacing w:after="100"/>
      </w:pPr>
      <w:r>
        <w:rPr>
          <w:sz w:val="22"/>
          <w:szCs w:val="22"/>
        </w:rPr>
        <w:t xml:space="preserve">MEDIUM (30 days): Deploy role-based access control for all function-level API operations</w:t>
      </w:r>
    </w:p>
    <w:p>
      <w:pPr>
        <w:pStyle w:val="ListParagraph"/>
        <w:numPr>
          <w:ilvl w:val="0"/>
          <w:numId w:val="2"/>
        </w:numPr>
        <w:spacing w:after="100"/>
      </w:pPr>
      <w:r>
        <w:rPr>
          <w:sz w:val="22"/>
          <w:szCs w:val="22"/>
        </w:rPr>
        <w:t xml:space="preserve">MEDIUM (30 days): Replace CORS wildcard policy with a domain allowlist</w:t>
      </w:r>
    </w:p>
    <w:p>
      <w:pPr>
        <w:pStyle w:val="ListParagraph"/>
        <w:numPr>
          <w:ilvl w:val="0"/>
          <w:numId w:val="2"/>
        </w:numPr>
        <w:spacing w:after="100"/>
      </w:pPr>
      <w:r>
        <w:rPr>
          <w:sz w:val="22"/>
          <w:szCs w:val="22"/>
        </w:rPr>
        <w:t xml:space="preserve">LOW (Next release): Decommission legacy API versions v1 and v2</w:t>
      </w:r>
    </w:p>
    <w:p>
      <w:pPr>
        <w:pStyle w:val="Heading1"/>
      </w:pPr>
      <w:r>
        <w:rPr>
          <w:b/>
          <w:bCs/>
          <w:color w:val="1F3864"/>
          <w:sz w:val="32"/>
          <w:szCs w:val="32"/>
        </w:rPr>
        <w:t xml:space="preserve">7. Conclusion</w:t>
      </w:r>
    </w:p>
    <w:p>
      <w:pPr>
        <w:pBdr>
          <w:bottom w:val="single" w:color="2E75B6" w:sz="6" w:space="1"/>
        </w:pBdr>
        <w:spacing w:after="200"/>
      </w:pPr>
    </w:p>
    <w:p>
      <w:pPr>
        <w:spacing w:after="160"/>
      </w:pPr>
      <w:r>
        <w:rPr>
          <w:sz w:val="22"/>
          <w:szCs w:val="22"/>
        </w:rPr>
        <w:t xml:space="preserve">This API security analysis identified 7 security risks across the tested endpoints, including 3 critical or high severity findings that require immediate attention. The most serious vulnerability — Broken Object Level Authorization — represents a systemic design flaw that exposes all user data to any authenticated user.</w:t>
      </w:r>
    </w:p>
    <w:p>
      <w:pPr>
        <w:spacing w:after="160"/>
      </w:pPr>
      <w:r>
        <w:rPr>
          <w:sz w:val="22"/>
          <w:szCs w:val="22"/>
        </w:rPr>
        <w:t xml:space="preserve">APIs are increasingly the primary interface for modern applications and SaaS platforms, making their security as important as traditional web application security. Implementing the OWASP API Security Top 10 controls is strongly recommended as a baseline security standard.</w:t>
      </w:r>
    </w:p>
    <w:p>
      <w:pPr>
        <w:spacing w:after="160"/>
      </w:pPr>
      <w:r>
        <w:rPr>
          <w:sz w:val="22"/>
          <w:szCs w:val="22"/>
        </w:rPr>
        <w:t xml:space="preserve">A follow-up assessment should be conducted after remediation to verify that all identified risks have been effectively addressed. Additionally, automated API security scanning should be integrated into the CI/CD pipeline to catch new vulnerabilities before they reach production.</w:t>
      </w:r>
    </w:p>
    <w:p>
      <w:pPr>
        <w:spacing w:after="200"/>
      </w:pPr>
    </w:p>
    <w:p>
      <w:pPr>
        <w:pBdr>
          <w:bottom w:val="single" w:color="CCCCCC" w:sz="6" w:space="1"/>
        </w:pBdr>
        <w:spacing w:after="200"/>
      </w:pPr>
    </w:p>
    <w:p>
      <w:pPr>
        <w:jc w:val="center"/>
      </w:pPr>
      <w:r>
        <w:rPr>
          <w:color w:val="888888"/>
          <w:sz w:val="18"/>
          <w:szCs w:val="18"/>
        </w:rPr>
        <w:t xml:space="preserve">Future Interns | Cyber Security Internship | Task FUTURE_CS_03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2026-02-24T14:26:47.780Z</dcterms:created>
  <dcterms:modified xsi:type="dcterms:W3CDTF">2026-02-24T14:26:47.781Z</dcterms:modified>
</cp:coreProperties>
</file>

<file path=docProps/custom.xml><?xml version="1.0" encoding="utf-8"?>
<Properties xmlns="http://schemas.openxmlformats.org/officeDocument/2006/custom-properties" xmlns:vt="http://schemas.openxmlformats.org/officeDocument/2006/docPropsVTypes"/>
</file>