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D3762" w14:textId="77777777" w:rsidR="00033B5C" w:rsidRPr="00033B5C" w:rsidRDefault="00033B5C" w:rsidP="00033B5C">
      <w:pPr>
        <w:rPr>
          <w:b/>
          <w:bCs/>
        </w:rPr>
      </w:pPr>
      <w:r w:rsidRPr="00033B5C">
        <w:rPr>
          <w:b/>
          <w:bCs/>
        </w:rPr>
        <w:t>WEF: New Vision for Education 2016 vs. Education 4.0 (2020–2024)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3515"/>
        <w:gridCol w:w="4609"/>
      </w:tblGrid>
      <w:tr w:rsidR="00033B5C" w:rsidRPr="00033B5C" w14:paraId="1104D3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2704A" w14:textId="77777777" w:rsidR="00033B5C" w:rsidRPr="00033B5C" w:rsidRDefault="00033B5C" w:rsidP="00033B5C"/>
        </w:tc>
        <w:tc>
          <w:tcPr>
            <w:tcW w:w="0" w:type="auto"/>
            <w:vAlign w:val="center"/>
            <w:hideMark/>
          </w:tcPr>
          <w:p w14:paraId="42FA7783" w14:textId="77777777" w:rsidR="00033B5C" w:rsidRPr="00033B5C" w:rsidRDefault="00033B5C" w:rsidP="00033B5C">
            <w:pPr>
              <w:rPr>
                <w:b/>
                <w:bCs/>
              </w:rPr>
            </w:pPr>
            <w:r w:rsidRPr="00033B5C">
              <w:rPr>
                <w:b/>
                <w:bCs/>
              </w:rPr>
              <w:t>WEF 2016 (New Vision for Education)</w:t>
            </w:r>
          </w:p>
        </w:tc>
        <w:tc>
          <w:tcPr>
            <w:tcW w:w="0" w:type="auto"/>
            <w:vAlign w:val="center"/>
            <w:hideMark/>
          </w:tcPr>
          <w:p w14:paraId="1DC7B203" w14:textId="77777777" w:rsidR="00033B5C" w:rsidRPr="00033B5C" w:rsidRDefault="00033B5C" w:rsidP="00033B5C">
            <w:pPr>
              <w:rPr>
                <w:b/>
                <w:bCs/>
              </w:rPr>
            </w:pPr>
            <w:r w:rsidRPr="00033B5C">
              <w:rPr>
                <w:b/>
                <w:bCs/>
              </w:rPr>
              <w:t>WEF Education 4.0 (2020–2024)</w:t>
            </w:r>
          </w:p>
        </w:tc>
      </w:tr>
      <w:tr w:rsidR="00033B5C" w:rsidRPr="00033B5C" w14:paraId="566B4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997B2" w14:textId="77777777" w:rsidR="00033B5C" w:rsidRPr="00033B5C" w:rsidRDefault="00033B5C" w:rsidP="00033B5C">
            <w:r w:rsidRPr="00033B5C">
              <w:rPr>
                <w:b/>
                <w:bCs/>
              </w:rPr>
              <w:t>Skills structure</w:t>
            </w:r>
          </w:p>
        </w:tc>
        <w:tc>
          <w:tcPr>
            <w:tcW w:w="0" w:type="auto"/>
            <w:vAlign w:val="center"/>
            <w:hideMark/>
          </w:tcPr>
          <w:p w14:paraId="33AD3FC9" w14:textId="77777777" w:rsidR="00033B5C" w:rsidRPr="00033B5C" w:rsidRDefault="00033B5C" w:rsidP="00033B5C">
            <w:r w:rsidRPr="00033B5C">
              <w:t xml:space="preserve">16 skills in three categories: Foundational Literacies, Competencies, and Character Qualities </w:t>
            </w:r>
            <w:hyperlink r:id="rId4" w:tgtFrame="_blank" w:history="1">
              <w:r w:rsidRPr="00033B5C">
                <w:rPr>
                  <w:rStyle w:val="Hyperlink"/>
                </w:rPr>
                <w:t>World Economic Forum</w:t>
              </w:r>
            </w:hyperlink>
          </w:p>
        </w:tc>
        <w:tc>
          <w:tcPr>
            <w:tcW w:w="0" w:type="auto"/>
            <w:vAlign w:val="center"/>
            <w:hideMark/>
          </w:tcPr>
          <w:p w14:paraId="1874DDBC" w14:textId="77777777" w:rsidR="00033B5C" w:rsidRPr="00033B5C" w:rsidRDefault="00033B5C" w:rsidP="00033B5C">
            <w:r w:rsidRPr="00033B5C">
              <w:rPr>
                <w:b/>
                <w:bCs/>
              </w:rPr>
              <w:t>Different structure</w:t>
            </w:r>
            <w:r w:rsidRPr="00033B5C">
              <w:t xml:space="preserve"> — Education 4.0 uses three aptitudes: Abilities &amp; Skills, Attitudes &amp; Values, and Knowledge &amp; Information</w:t>
            </w:r>
          </w:p>
        </w:tc>
      </w:tr>
      <w:tr w:rsidR="00033B5C" w:rsidRPr="00033B5C" w14:paraId="72D94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2C05" w14:textId="77777777" w:rsidR="00033B5C" w:rsidRPr="00033B5C" w:rsidRDefault="00033B5C" w:rsidP="00033B5C">
            <w:r w:rsidRPr="00033B5C">
              <w:rPr>
                <w:b/>
                <w:bCs/>
              </w:rPr>
              <w:t>Specific skills</w:t>
            </w:r>
          </w:p>
        </w:tc>
        <w:tc>
          <w:tcPr>
            <w:tcW w:w="0" w:type="auto"/>
            <w:vAlign w:val="center"/>
            <w:hideMark/>
          </w:tcPr>
          <w:p w14:paraId="1439BA26" w14:textId="77777777" w:rsidR="00033B5C" w:rsidRPr="00033B5C" w:rsidRDefault="00033B5C" w:rsidP="00033B5C">
            <w:r w:rsidRPr="00033B5C">
              <w:t>16 named skills (Literacy, Numeracy, ICT, Critical Thinking, Creativity, Collaboration, Grit, Leadership, etc.)</w:t>
            </w:r>
          </w:p>
        </w:tc>
        <w:tc>
          <w:tcPr>
            <w:tcW w:w="0" w:type="auto"/>
            <w:vAlign w:val="center"/>
            <w:hideMark/>
          </w:tcPr>
          <w:p w14:paraId="05A700E0" w14:textId="77777777" w:rsidR="00033B5C" w:rsidRPr="00033B5C" w:rsidRDefault="00033B5C" w:rsidP="00033B5C">
            <w:r w:rsidRPr="00033B5C">
              <w:t xml:space="preserve">Does not use the same 16-skill list — </w:t>
            </w:r>
            <w:proofErr w:type="spellStart"/>
            <w:r w:rsidRPr="00033B5C">
              <w:t>organises</w:t>
            </w:r>
            <w:proofErr w:type="spellEnd"/>
            <w:r w:rsidRPr="00033B5C">
              <w:t xml:space="preserve"> into cognitive, interpersonal, and physical skills sub-categories</w:t>
            </w:r>
          </w:p>
        </w:tc>
      </w:tr>
      <w:tr w:rsidR="00033B5C" w:rsidRPr="00033B5C" w14:paraId="32DFA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9CE6A" w14:textId="77777777" w:rsidR="00033B5C" w:rsidRPr="00033B5C" w:rsidRDefault="00033B5C" w:rsidP="00033B5C">
            <w:r w:rsidRPr="00033B5C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A206A09" w14:textId="77777777" w:rsidR="00033B5C" w:rsidRPr="00033B5C" w:rsidRDefault="00033B5C" w:rsidP="00033B5C">
            <w:r w:rsidRPr="00033B5C">
              <w:t>Skills gap and technology's role in closing it</w:t>
            </w:r>
          </w:p>
        </w:tc>
        <w:tc>
          <w:tcPr>
            <w:tcW w:w="0" w:type="auto"/>
            <w:vAlign w:val="center"/>
            <w:hideMark/>
          </w:tcPr>
          <w:p w14:paraId="0890B796" w14:textId="77777777" w:rsidR="00033B5C" w:rsidRPr="00033B5C" w:rsidRDefault="00033B5C" w:rsidP="00033B5C">
            <w:r w:rsidRPr="00033B5C">
              <w:t>Transformation of learning experiences and pedagogical methods — broader than just skills</w:t>
            </w:r>
          </w:p>
        </w:tc>
      </w:tr>
      <w:tr w:rsidR="00033B5C" w:rsidRPr="00033B5C" w14:paraId="1A8AC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01240" w14:textId="77777777" w:rsidR="00033B5C" w:rsidRPr="00033B5C" w:rsidRDefault="00033B5C" w:rsidP="00033B5C">
            <w:r w:rsidRPr="00033B5C">
              <w:rPr>
                <w:b/>
                <w:bCs/>
              </w:rPr>
              <w:t>AI/digital literacy</w:t>
            </w:r>
          </w:p>
        </w:tc>
        <w:tc>
          <w:tcPr>
            <w:tcW w:w="0" w:type="auto"/>
            <w:vAlign w:val="center"/>
            <w:hideMark/>
          </w:tcPr>
          <w:p w14:paraId="1168FBD7" w14:textId="77777777" w:rsidR="00033B5C" w:rsidRPr="00033B5C" w:rsidRDefault="00033B5C" w:rsidP="00033B5C">
            <w:r w:rsidRPr="00033B5C">
              <w:t>ICT Literacy as one of 16 skills</w:t>
            </w:r>
          </w:p>
        </w:tc>
        <w:tc>
          <w:tcPr>
            <w:tcW w:w="0" w:type="auto"/>
            <w:vAlign w:val="center"/>
            <w:hideMark/>
          </w:tcPr>
          <w:p w14:paraId="039231BD" w14:textId="77777777" w:rsidR="00033B5C" w:rsidRPr="00033B5C" w:rsidRDefault="00033B5C" w:rsidP="00033B5C">
            <w:r w:rsidRPr="00033B5C">
              <w:t xml:space="preserve">AI literacy is explicitly central, including knowing how AI tools operate, their shortcomings, and how to govern them ethically </w:t>
            </w:r>
            <w:hyperlink r:id="rId5" w:tgtFrame="_blank" w:history="1">
              <w:r w:rsidRPr="00033B5C">
                <w:rPr>
                  <w:rStyle w:val="Hyperlink"/>
                </w:rPr>
                <w:t>World Economic Forum</w:t>
              </w:r>
            </w:hyperlink>
            <w:r w:rsidRPr="00033B5C">
              <w:t xml:space="preserve"> — much more prominent</w:t>
            </w:r>
          </w:p>
        </w:tc>
      </w:tr>
      <w:tr w:rsidR="00033B5C" w:rsidRPr="00033B5C" w14:paraId="40D8B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43D13" w14:textId="77777777" w:rsidR="00033B5C" w:rsidRPr="00033B5C" w:rsidRDefault="00033B5C" w:rsidP="00033B5C">
            <w:r w:rsidRPr="00033B5C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CB7F72A" w14:textId="77777777" w:rsidR="00033B5C" w:rsidRPr="00033B5C" w:rsidRDefault="00033B5C" w:rsidP="00033B5C">
            <w:r w:rsidRPr="00033B5C">
              <w:t>Skills taxonomy only</w:t>
            </w:r>
          </w:p>
        </w:tc>
        <w:tc>
          <w:tcPr>
            <w:tcW w:w="0" w:type="auto"/>
            <w:vAlign w:val="center"/>
            <w:hideMark/>
          </w:tcPr>
          <w:p w14:paraId="6891EA5C" w14:textId="77777777" w:rsidR="00033B5C" w:rsidRPr="00033B5C" w:rsidRDefault="00033B5C" w:rsidP="00033B5C">
            <w:r w:rsidRPr="00033B5C">
              <w:t>Covers 8 learning experience transformations beyond just skills</w:t>
            </w:r>
          </w:p>
        </w:tc>
      </w:tr>
    </w:tbl>
    <w:p w14:paraId="5625A086" w14:textId="77777777" w:rsidR="00033B5C" w:rsidRPr="00033B5C" w:rsidRDefault="00033B5C" w:rsidP="00033B5C">
      <w:r w:rsidRPr="00033B5C">
        <w:rPr>
          <w:b/>
          <w:bCs/>
        </w:rPr>
        <w:t>Impact on Future Pathways:</w:t>
      </w:r>
      <w:r w:rsidRPr="00033B5C">
        <w:t xml:space="preserve"> The platform is built on the </w:t>
      </w:r>
      <w:r w:rsidRPr="00033B5C">
        <w:rPr>
          <w:b/>
          <w:bCs/>
        </w:rPr>
        <w:t>specific 16-skill list</w:t>
      </w:r>
      <w:r w:rsidRPr="00033B5C">
        <w:t xml:space="preserve"> (the three-category structure: 6 Foundational Literacies, 6 Competencies, 4 Character Qualities). This exact taxonomy — distilling research into 16 skills across those three categories — comes from the 2016 New Vision for Education report. </w:t>
      </w:r>
      <w:hyperlink r:id="rId6" w:tgtFrame="_blank" w:history="1">
        <w:r w:rsidRPr="00033B5C">
          <w:rPr>
            <w:rStyle w:val="Hyperlink"/>
          </w:rPr>
          <w:t>World Economic Forum</w:t>
        </w:r>
      </w:hyperlink>
      <w:r w:rsidRPr="00033B5C">
        <w:t xml:space="preserve"> The Education 4.0 framework does </w:t>
      </w:r>
      <w:r w:rsidRPr="00033B5C">
        <w:rPr>
          <w:b/>
          <w:bCs/>
        </w:rPr>
        <w:t>not</w:t>
      </w:r>
      <w:r w:rsidRPr="00033B5C">
        <w:t xml:space="preserve"> use this 16-skill structure — it uses a completely different taxonomy. </w:t>
      </w:r>
      <w:proofErr w:type="gramStart"/>
      <w:r w:rsidRPr="00033B5C">
        <w:t>So</w:t>
      </w:r>
      <w:proofErr w:type="gramEnd"/>
      <w:r w:rsidRPr="00033B5C">
        <w:t xml:space="preserve"> swapping the citation to the 2024 report would be </w:t>
      </w:r>
      <w:r w:rsidRPr="00033B5C">
        <w:rPr>
          <w:b/>
          <w:bCs/>
        </w:rPr>
        <w:t>inaccurate</w:t>
      </w:r>
      <w:r w:rsidRPr="00033B5C">
        <w:t xml:space="preserve"> because the system is not built on Education 4.0's framework.</w:t>
      </w:r>
    </w:p>
    <w:p w14:paraId="6D1C9796" w14:textId="77777777" w:rsidR="00114F3F" w:rsidRDefault="00114F3F"/>
    <w:p w14:paraId="6370D7DC" w14:textId="77777777" w:rsidR="00033B5C" w:rsidRDefault="00033B5C"/>
    <w:p w14:paraId="26F4A330" w14:textId="77777777" w:rsidR="00033B5C" w:rsidRPr="00033B5C" w:rsidRDefault="00033B5C" w:rsidP="00033B5C">
      <w:pPr>
        <w:rPr>
          <w:b/>
          <w:bCs/>
        </w:rPr>
      </w:pPr>
      <w:r w:rsidRPr="00033B5C">
        <w:rPr>
          <w:b/>
          <w:bCs/>
        </w:rPr>
        <w:t>Kolb: 1984 (1st Ed.) vs. 2015 (2nd Ed.)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2529"/>
        <w:gridCol w:w="5013"/>
      </w:tblGrid>
      <w:tr w:rsidR="00033B5C" w:rsidRPr="00033B5C" w14:paraId="171F5C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535B1" w14:textId="77777777" w:rsidR="00033B5C" w:rsidRPr="00033B5C" w:rsidRDefault="00033B5C" w:rsidP="00033B5C"/>
        </w:tc>
        <w:tc>
          <w:tcPr>
            <w:tcW w:w="0" w:type="auto"/>
            <w:vAlign w:val="center"/>
            <w:hideMark/>
          </w:tcPr>
          <w:p w14:paraId="38898531" w14:textId="77777777" w:rsidR="00033B5C" w:rsidRPr="00033B5C" w:rsidRDefault="00033B5C" w:rsidP="00033B5C">
            <w:pPr>
              <w:rPr>
                <w:b/>
                <w:bCs/>
              </w:rPr>
            </w:pPr>
            <w:r w:rsidRPr="00033B5C">
              <w:rPr>
                <w:b/>
                <w:bCs/>
              </w:rPr>
              <w:t>Kolb 1984</w:t>
            </w:r>
          </w:p>
        </w:tc>
        <w:tc>
          <w:tcPr>
            <w:tcW w:w="0" w:type="auto"/>
            <w:vAlign w:val="center"/>
            <w:hideMark/>
          </w:tcPr>
          <w:p w14:paraId="0EC783FE" w14:textId="77777777" w:rsidR="00033B5C" w:rsidRPr="00033B5C" w:rsidRDefault="00033B5C" w:rsidP="00033B5C">
            <w:pPr>
              <w:rPr>
                <w:b/>
                <w:bCs/>
              </w:rPr>
            </w:pPr>
            <w:r w:rsidRPr="00033B5C">
              <w:rPr>
                <w:b/>
                <w:bCs/>
              </w:rPr>
              <w:t>Kolb 2015</w:t>
            </w:r>
          </w:p>
        </w:tc>
      </w:tr>
      <w:tr w:rsidR="00033B5C" w:rsidRPr="00033B5C" w14:paraId="16A90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CA5AC" w14:textId="77777777" w:rsidR="00033B5C" w:rsidRPr="00033B5C" w:rsidRDefault="00033B5C" w:rsidP="00033B5C">
            <w:r w:rsidRPr="00033B5C">
              <w:rPr>
                <w:b/>
                <w:bCs/>
              </w:rPr>
              <w:t>Core theory</w:t>
            </w:r>
          </w:p>
        </w:tc>
        <w:tc>
          <w:tcPr>
            <w:tcW w:w="0" w:type="auto"/>
            <w:vAlign w:val="center"/>
            <w:hideMark/>
          </w:tcPr>
          <w:p w14:paraId="16AC8C75" w14:textId="77777777" w:rsidR="00033B5C" w:rsidRPr="00033B5C" w:rsidRDefault="00033B5C" w:rsidP="00033B5C">
            <w:r w:rsidRPr="00033B5C">
              <w:t>Four-stage learning cycle (CE, RO, AC, AE)</w:t>
            </w:r>
          </w:p>
        </w:tc>
        <w:tc>
          <w:tcPr>
            <w:tcW w:w="0" w:type="auto"/>
            <w:vAlign w:val="center"/>
            <w:hideMark/>
          </w:tcPr>
          <w:p w14:paraId="7495173A" w14:textId="77777777" w:rsidR="00033B5C" w:rsidRPr="00033B5C" w:rsidRDefault="00033B5C" w:rsidP="00033B5C">
            <w:r w:rsidRPr="00033B5C">
              <w:t>Identical — unchanged</w:t>
            </w:r>
          </w:p>
        </w:tc>
      </w:tr>
      <w:tr w:rsidR="00033B5C" w:rsidRPr="00033B5C" w14:paraId="7CA09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D8D0A" w14:textId="77777777" w:rsidR="00033B5C" w:rsidRPr="00033B5C" w:rsidRDefault="00033B5C" w:rsidP="00033B5C">
            <w:r w:rsidRPr="00033B5C">
              <w:rPr>
                <w:b/>
                <w:bCs/>
              </w:rPr>
              <w:t>Four dimensions</w:t>
            </w:r>
          </w:p>
        </w:tc>
        <w:tc>
          <w:tcPr>
            <w:tcW w:w="0" w:type="auto"/>
            <w:vAlign w:val="center"/>
            <w:hideMark/>
          </w:tcPr>
          <w:p w14:paraId="7EB8A979" w14:textId="77777777" w:rsidR="00033B5C" w:rsidRPr="00033B5C" w:rsidRDefault="00033B5C" w:rsidP="00033B5C">
            <w:r w:rsidRPr="00033B5C">
              <w:t>CE, RO, AC, AE</w:t>
            </w:r>
          </w:p>
        </w:tc>
        <w:tc>
          <w:tcPr>
            <w:tcW w:w="0" w:type="auto"/>
            <w:vAlign w:val="center"/>
            <w:hideMark/>
          </w:tcPr>
          <w:p w14:paraId="0D4A7614" w14:textId="77777777" w:rsidR="00033B5C" w:rsidRPr="00033B5C" w:rsidRDefault="00033B5C" w:rsidP="00033B5C">
            <w:r w:rsidRPr="00033B5C">
              <w:t>Identical — unchanged</w:t>
            </w:r>
          </w:p>
        </w:tc>
      </w:tr>
      <w:tr w:rsidR="00033B5C" w:rsidRPr="00033B5C" w14:paraId="15954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581DE" w14:textId="77777777" w:rsidR="00033B5C" w:rsidRPr="00033B5C" w:rsidRDefault="00033B5C" w:rsidP="00033B5C">
            <w:r w:rsidRPr="00033B5C">
              <w:rPr>
                <w:b/>
                <w:bCs/>
              </w:rPr>
              <w:t>Derived styles</w:t>
            </w:r>
          </w:p>
        </w:tc>
        <w:tc>
          <w:tcPr>
            <w:tcW w:w="0" w:type="auto"/>
            <w:vAlign w:val="center"/>
            <w:hideMark/>
          </w:tcPr>
          <w:p w14:paraId="2353E336" w14:textId="77777777" w:rsidR="00033B5C" w:rsidRPr="00033B5C" w:rsidRDefault="00033B5C" w:rsidP="00033B5C">
            <w:r w:rsidRPr="00033B5C">
              <w:t xml:space="preserve">4 styles: </w:t>
            </w:r>
            <w:proofErr w:type="spellStart"/>
            <w:r w:rsidRPr="00033B5C">
              <w:t>Diverger</w:t>
            </w:r>
            <w:proofErr w:type="spellEnd"/>
            <w:r w:rsidRPr="00033B5C">
              <w:t xml:space="preserve">, Assimilator, </w:t>
            </w:r>
            <w:proofErr w:type="spellStart"/>
            <w:r w:rsidRPr="00033B5C">
              <w:t>Converger</w:t>
            </w:r>
            <w:proofErr w:type="spellEnd"/>
            <w:r w:rsidRPr="00033B5C">
              <w:t>, Accommodator</w:t>
            </w:r>
          </w:p>
        </w:tc>
        <w:tc>
          <w:tcPr>
            <w:tcW w:w="0" w:type="auto"/>
            <w:vAlign w:val="center"/>
            <w:hideMark/>
          </w:tcPr>
          <w:p w14:paraId="644065FB" w14:textId="77777777" w:rsidR="00033B5C" w:rsidRPr="00033B5C" w:rsidRDefault="00033B5C" w:rsidP="00033B5C">
            <w:r w:rsidRPr="00033B5C">
              <w:t>Still includes the same 4 styles, BUT also introduces 5 additional styles (9 total via KLSI 4.0): Imagining, Experiencing, Reflecting, Analyzing, Thinking, Deciding, Acting, Balancing, Initiating</w:t>
            </w:r>
          </w:p>
        </w:tc>
      </w:tr>
      <w:tr w:rsidR="00033B5C" w:rsidRPr="00033B5C" w14:paraId="5909F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C4B59" w14:textId="77777777" w:rsidR="00033B5C" w:rsidRPr="00033B5C" w:rsidRDefault="00033B5C" w:rsidP="00033B5C">
            <w:r w:rsidRPr="00033B5C">
              <w:rPr>
                <w:b/>
                <w:bCs/>
              </w:rPr>
              <w:t>Learning Style Inventory</w:t>
            </w:r>
          </w:p>
        </w:tc>
        <w:tc>
          <w:tcPr>
            <w:tcW w:w="0" w:type="auto"/>
            <w:vAlign w:val="center"/>
            <w:hideMark/>
          </w:tcPr>
          <w:p w14:paraId="44A35732" w14:textId="77777777" w:rsidR="00033B5C" w:rsidRPr="00033B5C" w:rsidRDefault="00033B5C" w:rsidP="00033B5C">
            <w:r w:rsidRPr="00033B5C">
              <w:t>Original LSI (4 types)</w:t>
            </w:r>
          </w:p>
        </w:tc>
        <w:tc>
          <w:tcPr>
            <w:tcW w:w="0" w:type="auto"/>
            <w:vAlign w:val="center"/>
            <w:hideMark/>
          </w:tcPr>
          <w:p w14:paraId="4954E60A" w14:textId="77777777" w:rsidR="00033B5C" w:rsidRPr="00033B5C" w:rsidRDefault="00033B5C" w:rsidP="00033B5C">
            <w:r w:rsidRPr="00033B5C">
              <w:t>KLSI 4.0 — expanded to 9 styles, adds "learning flexibility" concept</w:t>
            </w:r>
          </w:p>
        </w:tc>
      </w:tr>
      <w:tr w:rsidR="00033B5C" w:rsidRPr="00033B5C" w14:paraId="220B5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88692" w14:textId="77777777" w:rsidR="00033B5C" w:rsidRPr="00033B5C" w:rsidRDefault="00033B5C" w:rsidP="00033B5C">
            <w:r w:rsidRPr="00033B5C">
              <w:rPr>
                <w:b/>
                <w:bCs/>
              </w:rPr>
              <w:t>Neuroscience links</w:t>
            </w:r>
          </w:p>
        </w:tc>
        <w:tc>
          <w:tcPr>
            <w:tcW w:w="0" w:type="auto"/>
            <w:vAlign w:val="center"/>
            <w:hideMark/>
          </w:tcPr>
          <w:p w14:paraId="3DEF8F8B" w14:textId="77777777" w:rsidR="00033B5C" w:rsidRPr="00033B5C" w:rsidRDefault="00033B5C" w:rsidP="00033B5C">
            <w:r w:rsidRPr="00033B5C">
              <w:t>None</w:t>
            </w:r>
          </w:p>
        </w:tc>
        <w:tc>
          <w:tcPr>
            <w:tcW w:w="0" w:type="auto"/>
            <w:vAlign w:val="center"/>
            <w:hideMark/>
          </w:tcPr>
          <w:p w14:paraId="2A628EC1" w14:textId="77777777" w:rsidR="00033B5C" w:rsidRPr="00033B5C" w:rsidRDefault="00033B5C" w:rsidP="00033B5C">
            <w:r w:rsidRPr="00033B5C">
              <w:t>New connections to neuroscience and physiology research</w:t>
            </w:r>
          </w:p>
        </w:tc>
      </w:tr>
      <w:tr w:rsidR="00033B5C" w:rsidRPr="00033B5C" w14:paraId="6489A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2284" w14:textId="77777777" w:rsidR="00033B5C" w:rsidRPr="00033B5C" w:rsidRDefault="00033B5C" w:rsidP="00033B5C">
            <w:r w:rsidRPr="00033B5C">
              <w:rPr>
                <w:b/>
                <w:bCs/>
              </w:rPr>
              <w:t>Key addition</w:t>
            </w:r>
          </w:p>
        </w:tc>
        <w:tc>
          <w:tcPr>
            <w:tcW w:w="0" w:type="auto"/>
            <w:vAlign w:val="center"/>
            <w:hideMark/>
          </w:tcPr>
          <w:p w14:paraId="0819DFFF" w14:textId="77777777" w:rsidR="00033B5C" w:rsidRPr="00033B5C" w:rsidRDefault="00033B5C" w:rsidP="00033B5C">
            <w:r w:rsidRPr="00033B5C">
              <w:t>—</w:t>
            </w:r>
          </w:p>
        </w:tc>
        <w:tc>
          <w:tcPr>
            <w:tcW w:w="0" w:type="auto"/>
            <w:vAlign w:val="center"/>
            <w:hideMark/>
          </w:tcPr>
          <w:p w14:paraId="63B2FC65" w14:textId="77777777" w:rsidR="00033B5C" w:rsidRPr="00033B5C" w:rsidRDefault="00033B5C" w:rsidP="00033B5C">
            <w:r w:rsidRPr="00033B5C">
              <w:t>Learning Flexibility Index — measures how adaptable a learner is across styles</w:t>
            </w:r>
          </w:p>
        </w:tc>
      </w:tr>
    </w:tbl>
    <w:p w14:paraId="101E8358" w14:textId="77777777" w:rsidR="00033B5C" w:rsidRPr="00033B5C" w:rsidRDefault="00033B5C" w:rsidP="00033B5C">
      <w:r w:rsidRPr="00033B5C">
        <w:rPr>
          <w:b/>
          <w:bCs/>
        </w:rPr>
        <w:t>Impact on Future Pathways:</w:t>
      </w:r>
      <w:r w:rsidRPr="00033B5C">
        <w:t xml:space="preserve"> The white paper describes using 24 Likert-scale items across four dimensions (CE, RO, AC, AE) to yield one of four learning styles (</w:t>
      </w:r>
      <w:proofErr w:type="spellStart"/>
      <w:r w:rsidRPr="00033B5C">
        <w:t>Diverger</w:t>
      </w:r>
      <w:proofErr w:type="spellEnd"/>
      <w:r w:rsidRPr="00033B5C">
        <w:t xml:space="preserve">, Assimilator, </w:t>
      </w:r>
      <w:proofErr w:type="spellStart"/>
      <w:r w:rsidRPr="00033B5C">
        <w:t>Converger</w:t>
      </w:r>
      <w:proofErr w:type="spellEnd"/>
      <w:r w:rsidRPr="00033B5C">
        <w:t xml:space="preserve">, Accommodator). </w:t>
      </w:r>
      <w:r w:rsidRPr="00033B5C">
        <w:rPr>
          <w:b/>
          <w:bCs/>
        </w:rPr>
        <w:t>This is the 1984 four-style model, not the 2015 nine-style model.</w:t>
      </w:r>
      <w:r w:rsidRPr="00033B5C">
        <w:t xml:space="preserve"> The system is specifically built on the original four-type output. </w:t>
      </w:r>
      <w:proofErr w:type="gramStart"/>
      <w:r w:rsidRPr="00033B5C">
        <w:t>So</w:t>
      </w:r>
      <w:proofErr w:type="gramEnd"/>
      <w:r w:rsidRPr="00033B5C">
        <w:t xml:space="preserve"> the 2015 reference would be accurate only for the underlying theory and cycle — but the inventory implementation being described matches the pre-2015 design.</w:t>
      </w:r>
    </w:p>
    <w:p w14:paraId="1467D829" w14:textId="77777777" w:rsidR="00033B5C" w:rsidRDefault="00033B5C"/>
    <w:sectPr w:rsidR="00033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B5C"/>
    <w:rsid w:val="00033B5C"/>
    <w:rsid w:val="00114F3F"/>
    <w:rsid w:val="00A32A98"/>
    <w:rsid w:val="00D41844"/>
    <w:rsid w:val="00E6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1DEED"/>
  <w15:chartTrackingRefBased/>
  <w15:docId w15:val="{119AB8EA-90B8-466F-8A50-932E25168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B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3B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B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idgets.weforum.org/nve-2015/chapter1.html" TargetMode="External"/><Relationship Id="rId5" Type="http://schemas.openxmlformats.org/officeDocument/2006/relationships/hyperlink" Target="https://www.weforum.org/stories/2024/04/future-learning-ai-revolutionizing-education-4-0/" TargetMode="External"/><Relationship Id="rId4" Type="http://schemas.openxmlformats.org/officeDocument/2006/relationships/hyperlink" Target="https://widgets.weforum.org/nve-2015/chapter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e1c5235-23fc-43dc-a60e-9ba5e777df86}" enabled="1" method="Standard" siteId="{226a070b-e0bb-4475-89ef-9ff30d6a35b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456</Words>
  <Characters>2749</Characters>
  <Application>Microsoft Office Word</Application>
  <DocSecurity>0</DocSecurity>
  <Lines>98</Lines>
  <Paragraphs>42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Al-Ali</dc:creator>
  <cp:keywords/>
  <dc:description/>
  <cp:lastModifiedBy>Nasser Al-Ali</cp:lastModifiedBy>
  <cp:revision>1</cp:revision>
  <dcterms:created xsi:type="dcterms:W3CDTF">2026-04-03T06:29:00Z</dcterms:created>
  <dcterms:modified xsi:type="dcterms:W3CDTF">2026-04-03T06:30:00Z</dcterms:modified>
</cp:coreProperties>
</file>