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Future</w:t>
      </w:r>
      <w:r>
        <w:t xml:space="preserve"> </w:t>
      </w:r>
      <w:r>
        <w:t xml:space="preserve">Pathways</w:t>
      </w:r>
      <w:r>
        <w:t xml:space="preserve"> </w:t>
      </w:r>
      <w:r>
        <w:t xml:space="preserve">—</w:t>
      </w:r>
      <w:r>
        <w:t xml:space="preserve"> </w:t>
      </w:r>
      <w:r>
        <w:t xml:space="preserve">White</w:t>
      </w:r>
      <w:r>
        <w:t xml:space="preserve"> </w:t>
      </w:r>
      <w:r>
        <w:t xml:space="preserve">Paper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Future Pathways — Career Guidance System</w:t>
      </w:r>
    </w:p>
    <w:p>
      <w:pPr>
        <w:pStyle w:val="BodyText"/>
      </w:pPr>
      <w:r>
        <w:t xml:space="preserve">White Paper — 2026</w:t>
      </w:r>
    </w:p>
    <w:bookmarkStart w:id="20" w:name="Xcaa494dd2c33d27c3055a0cb41f44491fad5148"/>
    <w:p>
      <w:pPr>
        <w:pStyle w:val="Heading1"/>
      </w:pPr>
      <w:r>
        <w:t xml:space="preserve">Empowering</w:t>
      </w:r>
      <w:r>
        <w:t xml:space="preserve"> </w:t>
      </w:r>
      <w:r>
        <w:t xml:space="preserve">UAE Students</w:t>
      </w:r>
      <w:r>
        <w:t xml:space="preserve"> </w:t>
      </w:r>
      <w:r>
        <w:t xml:space="preserve">to Navigate Their Career Future</w:t>
      </w:r>
    </w:p>
    <w:p>
      <w:pPr>
        <w:pStyle w:val="FirstParagraph"/>
      </w:pPr>
      <w:r>
        <w:t xml:space="preserve">A science-backed, culturally aligned career guidance platform for secondary school students</w:t>
      </w:r>
      <w:r>
        <w:t xml:space="preserve"> </w:t>
      </w:r>
      <w:r>
        <w:t xml:space="preserve">aged 13–18, designed in support of the UAE's 2030 and 2071 national visions.</w:t>
      </w:r>
    </w:p>
    <w:p>
      <w:pPr>
        <w:pStyle w:val="DefinitionTerm"/>
      </w:pPr>
      <w:r>
        <w:t xml:space="preserve">Publication Date</w:t>
      </w:r>
    </w:p>
    <w:p>
      <w:pPr>
        <w:pStyle w:val="Definition"/>
      </w:pPr>
      <w:r>
        <w:t xml:space="preserve">May 2026</w:t>
      </w:r>
    </w:p>
    <w:p>
      <w:pPr>
        <w:pStyle w:val="DefinitionTerm"/>
      </w:pPr>
      <w:r>
        <w:t xml:space="preserve">Version</w:t>
      </w:r>
    </w:p>
    <w:p>
      <w:pPr>
        <w:pStyle w:val="Definition"/>
      </w:pPr>
      <w:r>
        <w:t xml:space="preserve">1.1</w:t>
      </w:r>
    </w:p>
    <w:p>
      <w:pPr>
        <w:pStyle w:val="DefinitionTerm"/>
      </w:pPr>
      <w:r>
        <w:t xml:space="preserve">Target Audience</w:t>
      </w:r>
    </w:p>
    <w:p>
      <w:pPr>
        <w:pStyle w:val="Definition"/>
      </w:pPr>
      <w:r>
        <w:t xml:space="preserve">Educators, School Leaders, Policy Makers</w:t>
      </w:r>
    </w:p>
    <w:p>
      <w:pPr>
        <w:pStyle w:val="DefinitionTerm"/>
      </w:pPr>
      <w:r>
        <w:t xml:space="preserve">Classification</w:t>
      </w:r>
    </w:p>
    <w:p>
      <w:pPr>
        <w:pStyle w:val="Definition"/>
      </w:pPr>
      <w:r>
        <w:t xml:space="preserve">Public</w:t>
      </w:r>
    </w:p>
    <w:bookmarkEnd w:id="20"/>
    <w:p>
      <w:pPr>
        <w:pStyle w:val="FirstParagraph"/>
      </w:pPr>
      <w:r>
        <w:t xml:space="preserve">Future Pathways © 2026. All rights reserved.</w:t>
      </w:r>
    </w:p>
    <w:p>
      <w:pPr>
        <w:pStyle w:val="BodyText"/>
      </w:pPr>
      <w:r>
        <w:t xml:space="preserve">futurepathways.ae</w:t>
      </w:r>
    </w:p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1.</w:t>
      </w: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2.</w:t>
      </w:r>
      <w:r>
        <w:t xml:space="preserve">The Career Guidance Challenge in UAE Schools</w:t>
      </w:r>
    </w:p>
    <w:p>
      <w:pPr>
        <w:pStyle w:val="Compact"/>
        <w:numPr>
          <w:ilvl w:val="0"/>
          <w:numId w:val="1001"/>
        </w:numPr>
      </w:pPr>
      <w:r>
        <w:t xml:space="preserve">3.</w:t>
      </w:r>
      <w:r>
        <w:t xml:space="preserve">Platform Overview &amp; Tiered Access Model</w:t>
      </w:r>
    </w:p>
    <w:p>
      <w:pPr>
        <w:pStyle w:val="Compact"/>
        <w:numPr>
          <w:ilvl w:val="0"/>
          <w:numId w:val="1001"/>
        </w:numPr>
      </w:pPr>
      <w:r>
        <w:t xml:space="preserve">4.</w:t>
      </w:r>
      <w:r>
        <w:t xml:space="preserve">Assessment Framework</w:t>
      </w:r>
    </w:p>
    <w:p>
      <w:pPr>
        <w:pStyle w:val="Compact"/>
        <w:numPr>
          <w:ilvl w:val="0"/>
          <w:numId w:val="1001"/>
        </w:numPr>
      </w:pPr>
      <w:r>
        <w:t xml:space="preserve">5.</w:t>
      </w:r>
      <w:r>
        <w:t xml:space="preserve">The Career Personality Assessment (RIASEC / Holland Codes)</w:t>
      </w:r>
    </w:p>
    <w:p>
      <w:pPr>
        <w:pStyle w:val="Compact"/>
        <w:numPr>
          <w:ilvl w:val="0"/>
          <w:numId w:val="1001"/>
        </w:numPr>
      </w:pPr>
      <w:r>
        <w:t xml:space="preserve">6.</w:t>
      </w:r>
      <w:r>
        <w:t xml:space="preserve">The Personal Values Assessment (CVQ)</w:t>
      </w:r>
    </w:p>
    <w:p>
      <w:pPr>
        <w:pStyle w:val="Compact"/>
        <w:numPr>
          <w:ilvl w:val="0"/>
          <w:numId w:val="1001"/>
        </w:numPr>
      </w:pPr>
      <w:r>
        <w:t xml:space="preserve">7.</w:t>
      </w:r>
      <w:r>
        <w:t xml:space="preserve">The WEF 16 Skills Framework Integration</w:t>
      </w:r>
    </w:p>
    <w:p>
      <w:pPr>
        <w:pStyle w:val="Compact"/>
        <w:numPr>
          <w:ilvl w:val="0"/>
          <w:numId w:val="1001"/>
        </w:numPr>
      </w:pPr>
      <w:r>
        <w:t xml:space="preserve">8.</w:t>
      </w:r>
      <w:r>
        <w:t xml:space="preserve">Career Matching Methodology</w:t>
      </w:r>
    </w:p>
    <w:p>
      <w:pPr>
        <w:pStyle w:val="Compact"/>
        <w:numPr>
          <w:ilvl w:val="0"/>
          <w:numId w:val="1001"/>
        </w:numPr>
      </w:pPr>
      <w:r>
        <w:t xml:space="preserve">9.</w:t>
      </w:r>
      <w:r>
        <w:t xml:space="preserve">UAE Vision Alignment</w:t>
      </w:r>
    </w:p>
    <w:p>
      <w:pPr>
        <w:pStyle w:val="Compact"/>
        <w:numPr>
          <w:ilvl w:val="0"/>
          <w:numId w:val="1001"/>
        </w:numPr>
      </w:pPr>
      <w:r>
        <w:t xml:space="preserve">10.</w:t>
      </w:r>
      <w:r>
        <w:t xml:space="preserve">Reporting &amp; Outputs</w:t>
      </w:r>
    </w:p>
    <w:p>
      <w:pPr>
        <w:pStyle w:val="Compact"/>
        <w:numPr>
          <w:ilvl w:val="0"/>
          <w:numId w:val="1001"/>
        </w:numPr>
      </w:pPr>
      <w:r>
        <w:t xml:space="preserve">11.</w:t>
      </w:r>
      <w:r>
        <w:t xml:space="preserve">Privacy, Security &amp; Data Governance</w:t>
      </w:r>
    </w:p>
    <w:p>
      <w:pPr>
        <w:pStyle w:val="Compact"/>
        <w:numPr>
          <w:ilvl w:val="0"/>
          <w:numId w:val="1001"/>
        </w:numPr>
      </w:pPr>
      <w:r>
        <w:t xml:space="preserve">12.</w:t>
      </w:r>
      <w:r>
        <w:t xml:space="preserve">Conclusion &amp; Recommendations</w:t>
      </w:r>
    </w:p>
    <w:p>
      <w:pPr>
        <w:pStyle w:val="Compact"/>
        <w:numPr>
          <w:ilvl w:val="0"/>
          <w:numId w:val="1001"/>
        </w:numPr>
      </w:pPr>
      <w:r>
        <w:t xml:space="preserve">13.</w:t>
      </w:r>
      <w:r>
        <w:t xml:space="preserve">References</w:t>
      </w:r>
    </w:p>
    <w:bookmarkEnd w:id="21"/>
    <w:p>
      <w:pPr>
        <w:pStyle w:val="FirstParagraph"/>
      </w:pPr>
      <w:r>
        <w:t xml:space="preserve">Section 1</w:t>
      </w:r>
    </w:p>
    <w:bookmarkStart w:id="22" w:name="executive-summary"/>
    <w:p>
      <w:pPr>
        <w:pStyle w:val="Heading2"/>
      </w:pPr>
      <w:r>
        <w:t xml:space="preserve">Executive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Pathways is a digital career guidance system purpose-built for secondary school students</w:t>
      </w:r>
      <w:r>
        <w:t xml:space="preserve"> </w:t>
      </w:r>
      <w:r>
        <w:t xml:space="preserve">in the United Arab Emirates. The platform bridges the gap between a student's emerging identity —</w:t>
      </w:r>
      <w:r>
        <w:t xml:space="preserve"> </w:t>
      </w:r>
      <w:r>
        <w:t xml:space="preserve">their interests, values, and academic strengths — and the rapidly changing landscape</w:t>
      </w:r>
      <w:r>
        <w:t xml:space="preserve"> </w:t>
      </w:r>
      <w:r>
        <w:t xml:space="preserve">of careers, nationally and globally.</w:t>
      </w:r>
    </w:p>
    <w:p>
      <w:pPr>
        <w:pStyle w:val="BodyText"/>
      </w:pPr>
      <w:r>
        <w:t xml:space="preserve">Unlike generic career quizzes, Future Pathways integrates two internationally validated</w:t>
      </w:r>
      <w:r>
        <w:t xml:space="preserve"> </w:t>
      </w:r>
      <w:r>
        <w:t xml:space="preserve">psychometric instruments into a single, engaging experience:</w:t>
      </w:r>
      <w:r>
        <w:t xml:space="preserve"> </w:t>
      </w:r>
      <w:r>
        <w:rPr>
          <w:b/>
          <w:bCs/>
        </w:rPr>
        <w:t xml:space="preserve">Holland's RIASEC model</w:t>
      </w:r>
      <w:r>
        <w:t xml:space="preserve"> </w:t>
      </w:r>
      <w:r>
        <w:t xml:space="preserve">for career</w:t>
      </w:r>
      <w:r>
        <w:t xml:space="preserve"> </w:t>
      </w:r>
      <w:r>
        <w:t xml:space="preserve">personality, and a</w:t>
      </w:r>
      <w:r>
        <w:t xml:space="preserve"> </w:t>
      </w:r>
      <w:r>
        <w:rPr>
          <w:b/>
          <w:bCs/>
        </w:rPr>
        <w:t xml:space="preserve">Career Values Questionnaire (CVQ)</w:t>
      </w:r>
      <w:r>
        <w:t xml:space="preserve"> </w:t>
      </w:r>
      <w:r>
        <w:t xml:space="preserve">grounded in Schwartz's</w:t>
      </w:r>
      <w:r>
        <w:t xml:space="preserve"> </w:t>
      </w:r>
      <w:r>
        <w:t xml:space="preserve">Theory of Basic Human Values. These instruments are supplemented by a UAE curriculum-aligned</w:t>
      </w:r>
      <w:r>
        <w:t xml:space="preserve"> </w:t>
      </w:r>
      <w:r>
        <w:t xml:space="preserve">subject competency quiz and an interest mapping survey.</w:t>
      </w:r>
    </w:p>
    <w:p>
      <w:pPr>
        <w:pStyle w:val="BodyText"/>
      </w:pPr>
      <w:r>
        <w:t xml:space="preserve">The result is a personalised career profile and ranked career recommendations that account for</w:t>
      </w:r>
      <w:r>
        <w:t xml:space="preserve"> </w:t>
      </w:r>
      <w:r>
        <w:t xml:space="preserve">who the student is, how they learn, what they value, what the UAE economy needs, and what the</w:t>
      </w:r>
      <w:r>
        <w:t xml:space="preserve"> </w:t>
      </w:r>
      <w:r>
        <w:t xml:space="preserve">future of work demands — all presented in a student-friendly, visually engaging format.</w:t>
      </w:r>
    </w:p>
    <w:p>
      <w:pPr>
        <w:pStyle w:val="BodyText"/>
      </w:pPr>
      <w:r>
        <w:rPr>
          <w:b/>
          <w:bCs/>
        </w:rPr>
        <w:t xml:space="preserve">Key proposition:</w:t>
      </w:r>
      <w:r>
        <w:t xml:space="preserve"> </w:t>
      </w:r>
      <w:r>
        <w:t xml:space="preserve">Future Pathways gives every UAE student — whether using the</w:t>
      </w:r>
      <w:r>
        <w:t xml:space="preserve"> </w:t>
      </w:r>
      <w:r>
        <w:t xml:space="preserve">free tier independently or the premium/school tier through their institution — a rigorous,</w:t>
      </w:r>
      <w:r>
        <w:t xml:space="preserve"> </w:t>
      </w:r>
      <w:r>
        <w:t xml:space="preserve">evidence-based starting point for career exploration that is culturally relevant,</w:t>
      </w:r>
      <w:r>
        <w:t xml:space="preserve"> </w:t>
      </w:r>
      <w:r>
        <w:t xml:space="preserve">fully bilingual (Arabic and English), and future-focused.</w:t>
      </w:r>
    </w:p>
    <w:bookmarkEnd w:id="22"/>
    <w:p>
      <w:pPr>
        <w:pStyle w:val="BodyText"/>
      </w:pPr>
      <w:r>
        <w:t xml:space="preserve">Section 2</w:t>
      </w:r>
    </w:p>
    <w:bookmarkStart w:id="24" w:name="X3860808796c636fb8c4a4161a323bda2fe67476"/>
    <w:p>
      <w:pPr>
        <w:pStyle w:val="Heading2"/>
      </w:pPr>
      <w:r>
        <w:t xml:space="preserve">The Career Guidance Challenge in UAE Schools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UAE's ambitious national vision programmes —</w:t>
      </w:r>
      <w:r>
        <w:t xml:space="preserve"> </w:t>
      </w:r>
      <w:r>
        <w:rPr>
          <w:i/>
          <w:iCs/>
        </w:rPr>
        <w:t xml:space="preserve">UAE Centennial</w:t>
      </w:r>
      <w:r>
        <w:rPr>
          <w:i/>
          <w:iCs/>
        </w:rPr>
        <w:t xml:space="preserve"> </w:t>
      </w:r>
      <w:r>
        <w:rPr>
          <w:i/>
          <w:iCs/>
        </w:rPr>
        <w:t xml:space="preserve">2071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We the UAE 2031</w:t>
      </w:r>
      <w:r>
        <w:t xml:space="preserve"> </w:t>
      </w:r>
      <w:r>
        <w:t xml:space="preserve">— all depend on a skilled, future-ready national</w:t>
      </w:r>
      <w:r>
        <w:t xml:space="preserve"> </w:t>
      </w:r>
      <w:r>
        <w:t xml:space="preserve">workforce. Yet many secondary school students lack structured, evidence-based guidance to help</w:t>
      </w:r>
      <w:r>
        <w:t xml:space="preserve"> </w:t>
      </w:r>
      <w:r>
        <w:t xml:space="preserve">them translate their interests and strengths into informed career decisions.</w:t>
      </w:r>
    </w:p>
    <w:p>
      <w:pPr>
        <w:pStyle w:val="BodyText"/>
      </w:pPr>
      <w:r>
        <w:t xml:space="preserve">Research consistently shows that early career awareness is one of the strongest predictors of</w:t>
      </w:r>
      <w:r>
        <w:t xml:space="preserve"> </w:t>
      </w:r>
      <w:r>
        <w:t xml:space="preserve">academic engagement, subject choice, and ultimate career satisfaction. Despite this, formal</w:t>
      </w:r>
      <w:r>
        <w:t xml:space="preserve"> </w:t>
      </w:r>
      <w:r>
        <w:t xml:space="preserve">career counselling resources in schools are often limited in capacity, and the tools that do</w:t>
      </w:r>
      <w:r>
        <w:t xml:space="preserve"> </w:t>
      </w:r>
      <w:r>
        <w:t xml:space="preserve">exist are typically designed for Western contexts and do not reflect the UAE's unique sectoral</w:t>
      </w:r>
      <w:r>
        <w:t xml:space="preserve"> </w:t>
      </w:r>
      <w:r>
        <w:t xml:space="preserve">priorities, cultural context, or emerging labour market.</w:t>
      </w:r>
    </w:p>
    <w:bookmarkStart w:id="23" w:name="key-challenges-addressed"/>
    <w:p>
      <w:pPr>
        <w:pStyle w:val="Heading4"/>
      </w:pPr>
      <w:r>
        <w:t xml:space="preserve">Key challenges addressed</w:t>
      </w:r>
    </w:p>
    <w:p>
      <w:pPr>
        <w:pStyle w:val="Compact"/>
        <w:numPr>
          <w:ilvl w:val="0"/>
          <w:numId w:val="1002"/>
        </w:numPr>
      </w:pPr>
      <w:r>
        <w:t xml:space="preserve">Lack of scalable, data-driven career guidance tools aligned to the UAE curriculum</w:t>
      </w:r>
    </w:p>
    <w:p>
      <w:pPr>
        <w:pStyle w:val="Compact"/>
        <w:numPr>
          <w:ilvl w:val="0"/>
          <w:numId w:val="1002"/>
        </w:numPr>
      </w:pPr>
      <w:r>
        <w:t xml:space="preserve">Absence of psychometrically validated assessments adapted for adolescent students aged 13–18</w:t>
      </w:r>
    </w:p>
    <w:p>
      <w:pPr>
        <w:pStyle w:val="Compact"/>
        <w:numPr>
          <w:ilvl w:val="0"/>
          <w:numId w:val="1002"/>
        </w:numPr>
      </w:pPr>
      <w:r>
        <w:t xml:space="preserve">Disconnection between student interests and UAE national priority sectors</w:t>
      </w:r>
    </w:p>
    <w:p>
      <w:pPr>
        <w:pStyle w:val="Compact"/>
        <w:numPr>
          <w:ilvl w:val="0"/>
          <w:numId w:val="1002"/>
        </w:numPr>
      </w:pPr>
      <w:r>
        <w:t xml:space="preserve">Limited visibility for school administrators into cohort-level career trends</w:t>
      </w:r>
    </w:p>
    <w:p>
      <w:pPr>
        <w:pStyle w:val="Compact"/>
        <w:numPr>
          <w:ilvl w:val="0"/>
          <w:numId w:val="1002"/>
        </w:numPr>
      </w:pPr>
      <w:r>
        <w:t xml:space="preserve">No structured linkage between assessment data and UAE university/pathway options</w:t>
      </w:r>
    </w:p>
    <w:bookmarkEnd w:id="23"/>
    <w:p>
      <w:pPr>
        <w:pStyle w:val="FirstParagraph"/>
      </w:pPr>
      <w:r>
        <w:t xml:space="preserve">Future Pathways is designed as a direct response to these gaps. It is built by practitioners</w:t>
      </w:r>
      <w:r>
        <w:t xml:space="preserve"> </w:t>
      </w:r>
      <w:r>
        <w:t xml:space="preserve">with direct experience in UAE education, grounded in peer-reviewed science, and tailored to</w:t>
      </w:r>
      <w:r>
        <w:t xml:space="preserve"> </w:t>
      </w:r>
      <w:r>
        <w:t xml:space="preserve">the economic and cultural context of the Emirates.</w:t>
      </w:r>
    </w:p>
    <w:bookmarkEnd w:id="24"/>
    <w:p>
      <w:pPr>
        <w:pStyle w:val="BodyText"/>
      </w:pPr>
      <w:r>
        <w:t xml:space="preserve">Section 3</w:t>
      </w:r>
    </w:p>
    <w:bookmarkStart w:id="25" w:name="platform-overview-tiered-access-model"/>
    <w:p>
      <w:pPr>
        <w:pStyle w:val="Heading2"/>
      </w:pPr>
      <w:r>
        <w:t xml:space="preserve">Platform Overview &amp; Tiered Access Model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Pathways is a web-based platform accessible on any device. It offers three tiers of</w:t>
      </w:r>
      <w:r>
        <w:t xml:space="preserve"> </w:t>
      </w:r>
      <w:r>
        <w:t xml:space="preserve">access, ensuring that students at every level — from those exploring independently at home to</w:t>
      </w:r>
      <w:r>
        <w:t xml:space="preserve"> </w:t>
      </w:r>
      <w:r>
        <w:t xml:space="preserve">those whose school has subscribed — can benefit from career guidance.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Demographic profiling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mapping (8 domains)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competency quiz (UAE curriculum)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Career recommendations (top matches)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Career Personality Assessment (RIASEC)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Values Assessment (CVQ)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Personalised narrative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career report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pathways (UAE universities)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Multi-grade progress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 admin dashboard &amp;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student account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 &amp; PDF cohort data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Arabic language interface (EN/AR)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Guest access is available for the free tier, allowing students to complete an assessment</w:t>
      </w:r>
      <w:r>
        <w:t xml:space="preserve"> </w:t>
      </w:r>
      <w:r>
        <w:t xml:space="preserve">without registering. Results are preserved in the session and can be migrated to a registered</w:t>
      </w:r>
      <w:r>
        <w:t xml:space="preserve"> </w:t>
      </w:r>
      <w:r>
        <w:t xml:space="preserve">account at any point, ensuring no student loses their progress.</w:t>
      </w:r>
    </w:p>
    <w:p>
      <w:pPr>
        <w:pStyle w:val="BodyText"/>
      </w:pPr>
      <w:r>
        <w:rPr>
          <w:b/>
          <w:bCs/>
        </w:rPr>
        <w:t xml:space="preserve">Bilingual platform:</w:t>
      </w:r>
      <w:r>
        <w:t xml:space="preserve"> </w:t>
      </w:r>
      <w:r>
        <w:t xml:space="preserve">Future Pathways is available in both English and Arabic.</w:t>
      </w:r>
      <w:r>
        <w:t xml:space="preserve"> </w:t>
      </w:r>
      <w:r>
        <w:t xml:space="preserve">Students can switch languages at any time via a toggle in the navigation header. All interface</w:t>
      </w:r>
      <w:r>
        <w:t xml:space="preserve"> </w:t>
      </w:r>
      <w:r>
        <w:t xml:space="preserve">elements, assessment questions, and career descriptions are fully translated, with right-to-left</w:t>
      </w:r>
      <w:r>
        <w:t xml:space="preserve"> </w:t>
      </w:r>
      <w:r>
        <w:t xml:space="preserve">(RTL) layout applied automatically when Arabic is selected. This makes the platform equally</w:t>
      </w:r>
      <w:r>
        <w:t xml:space="preserve"> </w:t>
      </w:r>
      <w:r>
        <w:t xml:space="preserve">accessible to Arabic-speaking students and families across the UAE.</w:t>
      </w:r>
    </w:p>
    <w:bookmarkEnd w:id="25"/>
    <w:p>
      <w:pPr>
        <w:pStyle w:val="BodyText"/>
      </w:pPr>
      <w:r>
        <w:t xml:space="preserve">Section 4</w:t>
      </w:r>
    </w:p>
    <w:bookmarkStart w:id="26" w:name="assessment-framework"/>
    <w:p>
      <w:pPr>
        <w:pStyle w:val="Heading2"/>
      </w:pPr>
      <w:r>
        <w:t xml:space="preserve">Assessment Framework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Future Pathways assessment is a five-layer instrument. Each layer contributes a distinct</w:t>
      </w:r>
      <w:r>
        <w:t xml:space="preserve"> </w:t>
      </w:r>
      <w:r>
        <w:t xml:space="preserve">dimension of the student's profile, and the results are combined by the career matching engine</w:t>
      </w:r>
      <w:r>
        <w:t xml:space="preserve"> </w:t>
      </w:r>
      <w:r>
        <w:t xml:space="preserve">to generate ranked career recommendations. The premium and school tiers include two additional</w:t>
      </w:r>
      <w:r>
        <w:t xml:space="preserve"> </w:t>
      </w:r>
      <w:r>
        <w:t xml:space="preserve">scientifically validated instruments — described fully in Sections 5 and 6.</w:t>
      </w:r>
    </w:p>
    <w:p>
      <w:pPr>
        <w:pStyle w:val="BodyText"/>
      </w:pPr>
      <w:r>
        <w:t xml:space="preserve">Layer 1 — Interests</w:t>
      </w:r>
    </w:p>
    <w:p>
      <w:pPr>
        <w:pStyle w:val="BodyText"/>
      </w:pPr>
      <w:r>
        <w:rPr>
          <w:b/>
          <w:bCs/>
        </w:rPr>
        <w:t xml:space="preserve">8 interest domains</w:t>
      </w:r>
      <w:r>
        <w:br/>
      </w:r>
      <w:r>
        <w:t xml:space="preserve">Technology, Creative Arts, Helping Others, Problem Solving, Physical Activities,</w:t>
      </w:r>
      <w:r>
        <w:t xml:space="preserve"> </w:t>
      </w:r>
      <w:r>
        <w:t xml:space="preserve">Research, Leadership, Business &amp; Finance.</w:t>
      </w:r>
    </w:p>
    <w:p>
      <w:pPr>
        <w:pStyle w:val="BodyText"/>
      </w:pPr>
      <w:r>
        <w:t xml:space="preserve">Layer 2 — Subject Strengths</w:t>
      </w:r>
    </w:p>
    <w:p>
      <w:pPr>
        <w:pStyle w:val="BodyText"/>
      </w:pPr>
      <w:r>
        <w:rPr>
          <w:b/>
          <w:bCs/>
        </w:rPr>
        <w:t xml:space="preserve">UAE Ministry of Education curriculum</w:t>
      </w:r>
      <w:r>
        <w:br/>
      </w:r>
      <w:r>
        <w:t xml:space="preserve">Competency quizzes across Mathematics, Science, English, Arabic, Social Studies,</w:t>
      </w:r>
      <w:r>
        <w:t xml:space="preserve"> </w:t>
      </w:r>
      <w:r>
        <w:t xml:space="preserve">and Computer Science — grade-differentiated (Grades 8–12).</w:t>
      </w:r>
    </w:p>
    <w:p>
      <w:pPr>
        <w:pStyle w:val="BodyText"/>
      </w:pPr>
      <w:r>
        <w:t xml:space="preserve">Layer 3 — Career Personality (Premium)</w:t>
      </w:r>
    </w:p>
    <w:p>
      <w:pPr>
        <w:pStyle w:val="BodyText"/>
      </w:pPr>
      <w:r>
        <w:rPr>
          <w:b/>
          <w:bCs/>
        </w:rPr>
        <w:t xml:space="preserve">RIASEC — 30 items</w:t>
      </w:r>
      <w:r>
        <w:br/>
      </w:r>
      <w:r>
        <w:t xml:space="preserve">Maps the student's vocational personality across Holland's six types, producing a</w:t>
      </w:r>
      <w:r>
        <w:t xml:space="preserve"> </w:t>
      </w:r>
      <w:r>
        <w:t xml:space="preserve">three-letter type code.</w:t>
      </w:r>
    </w:p>
    <w:p>
      <w:pPr>
        <w:pStyle w:val="BodyText"/>
      </w:pPr>
      <w:r>
        <w:t xml:space="preserve">Layer 4 — Personal Values (Premium)</w:t>
      </w:r>
    </w:p>
    <w:p>
      <w:pPr>
        <w:pStyle w:val="BodyText"/>
      </w:pPr>
      <w:r>
        <w:rPr>
          <w:b/>
          <w:bCs/>
        </w:rPr>
        <w:t xml:space="preserve">CVQ — 21 items</w:t>
      </w:r>
      <w:r>
        <w:br/>
      </w:r>
      <w:r>
        <w:t xml:space="preserve">Assesses motivational values across seven domains derived from Schwartz's universal</w:t>
      </w:r>
      <w:r>
        <w:t xml:space="preserve"> </w:t>
      </w:r>
      <w:r>
        <w:t xml:space="preserve">values theory.</w:t>
      </w:r>
    </w:p>
    <w:p>
      <w:pPr>
        <w:pStyle w:val="BodyText"/>
      </w:pPr>
      <w:r>
        <w:t xml:space="preserve">Layer 5 — Country Aspiration</w:t>
      </w:r>
    </w:p>
    <w:p>
      <w:pPr>
        <w:pStyle w:val="BodyText"/>
      </w:pPr>
      <w:r>
        <w:rPr>
          <w:b/>
          <w:bCs/>
        </w:rPr>
        <w:t xml:space="preserve">UAE Vision Alignment</w:t>
      </w:r>
      <w:r>
        <w:br/>
      </w:r>
      <w:r>
        <w:t xml:space="preserve">Students select priority sectors aligned to UAE 2030/2071 goals, informing vision</w:t>
      </w:r>
      <w:r>
        <w:t xml:space="preserve"> </w:t>
      </w:r>
      <w:r>
        <w:t xml:space="preserve">weighting in the matching engine.</w:t>
      </w:r>
    </w:p>
    <w:bookmarkEnd w:id="26"/>
    <w:p>
      <w:pPr>
        <w:pStyle w:val="BodyText"/>
      </w:pPr>
      <w:r>
        <w:t xml:space="preserve">Section 5</w:t>
      </w:r>
    </w:p>
    <w:bookmarkStart w:id="30" w:name="Xdc439f8a990acd01b6e87f00bdec291e659554d"/>
    <w:p>
      <w:pPr>
        <w:pStyle w:val="Heading2"/>
      </w:pPr>
      <w:r>
        <w:t xml:space="preserve">The Career Personality Assessment (RIASEC / Holland Codes)</w:t>
      </w:r>
    </w:p>
    <w:p>
      <w:r>
        <w:pict>
          <v:rect style="width:0;height:1.5pt" o:hralign="center" o:hrstd="t" o:hr="t"/>
        </w:pict>
      </w:r>
    </w:p>
    <w:bookmarkStart w:id="27" w:name="theoretical-basis"/>
    <w:p>
      <w:pPr>
        <w:pStyle w:val="Heading3"/>
      </w:pPr>
      <w:r>
        <w:t xml:space="preserve">Theoretical Basis</w:t>
      </w:r>
    </w:p>
    <w:p>
      <w:pPr>
        <w:pStyle w:val="FirstParagraph"/>
      </w:pPr>
      <w:r>
        <w:t xml:space="preserve">John L. Holland's Theory of Vocational Personalities and Work Environments (Holland, 1959;</w:t>
      </w:r>
      <w:r>
        <w:t xml:space="preserve"> </w:t>
      </w:r>
      <w:r>
        <w:t xml:space="preserve">1997) is the most empirically supported framework in career psychology. Holland proposed</w:t>
      </w:r>
      <w:r>
        <w:t xml:space="preserve"> </w:t>
      </w:r>
      <w:r>
        <w:t xml:space="preserve">that both people and work environments can be described using six vocational personality</w:t>
      </w:r>
      <w:r>
        <w:t xml:space="preserve"> </w:t>
      </w:r>
      <w:r>
        <w:t xml:space="preserve">types, commonly arranged in a hexagonal model (the</w:t>
      </w:r>
      <w:r>
        <w:t xml:space="preserve"> </w:t>
      </w:r>
      <w:r>
        <w:rPr>
          <w:i/>
          <w:iCs/>
        </w:rPr>
        <w:t xml:space="preserve">RIASEC hexagon</w:t>
      </w:r>
      <w:r>
        <w:t xml:space="preserve">). Career</w:t>
      </w:r>
      <w:r>
        <w:t xml:space="preserve"> </w:t>
      </w:r>
      <w:r>
        <w:t xml:space="preserve">satisfaction and success are strongly predicted by the congruence between a person's type</w:t>
      </w:r>
      <w:r>
        <w:t xml:space="preserve"> </w:t>
      </w:r>
      <w:r>
        <w:t xml:space="preserve">and their occupational environment.</w:t>
      </w:r>
    </w:p>
    <w:p>
      <w:pPr>
        <w:pStyle w:val="BodyText"/>
      </w:pPr>
      <w:r>
        <w:t xml:space="preserve">The RIASEC framework underpins numerous well-known instruments (including the Strong Interest</w:t>
      </w:r>
      <w:r>
        <w:t xml:space="preserve"> </w:t>
      </w:r>
      <w:r>
        <w:t xml:space="preserve">Inventory and the Self-Directed Search), and the six types are embedded in the O*NET</w:t>
      </w:r>
      <w:r>
        <w:t xml:space="preserve"> </w:t>
      </w:r>
      <w:r>
        <w:t xml:space="preserve">occupational database used by labour ministries worldwide.</w:t>
      </w:r>
    </w:p>
    <w:bookmarkEnd w:id="27"/>
    <w:bookmarkStart w:id="28" w:name="the-six-vocational-types"/>
    <w:p>
      <w:pPr>
        <w:pStyle w:val="Heading3"/>
      </w:pPr>
      <w:r>
        <w:t xml:space="preserve">The Six Vocational Types</w:t>
      </w:r>
    </w:p>
    <w:p>
      <w:pPr>
        <w:pStyle w:val="FirstParagraph"/>
      </w:pPr>
      <w:r>
        <w:t xml:space="preserve">R</w:t>
      </w:r>
    </w:p>
    <w:p>
      <w:pPr>
        <w:pStyle w:val="BodyText"/>
      </w:pPr>
      <w:r>
        <w:t xml:space="preserve">Realistic</w:t>
      </w:r>
    </w:p>
    <w:p>
      <w:pPr>
        <w:pStyle w:val="BodyText"/>
      </w:pPr>
      <w:r>
        <w:t xml:space="preserve">Hands-on, practical, tools, outdoor work, technical systems. Values tradition and common sense.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Investigative</w:t>
      </w:r>
    </w:p>
    <w:p>
      <w:pPr>
        <w:pStyle w:val="BodyText"/>
      </w:pPr>
      <w:r>
        <w:t xml:space="preserve">Scientific, analytical, research-driven. Values independence, curiosity, and rigorous inquiry.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Artistic</w:t>
      </w:r>
    </w:p>
    <w:p>
      <w:pPr>
        <w:pStyle w:val="BodyText"/>
      </w:pPr>
      <w:r>
        <w:t xml:space="preserve">Creative expression, design, storytelling, aesthetics. Values originality and freedom from structure.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Social</w:t>
      </w:r>
    </w:p>
    <w:p>
      <w:pPr>
        <w:pStyle w:val="BodyText"/>
      </w:pPr>
      <w:r>
        <w:t xml:space="preserve">Helping, teaching, counselling, community service. Values cooperation, empathy, and service to others.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Enterprising</w:t>
      </w:r>
    </w:p>
    <w:p>
      <w:pPr>
        <w:pStyle w:val="BodyText"/>
      </w:pPr>
      <w:r>
        <w:t xml:space="preserve">Leadership, persuasion, business, entrepreneurship. Values status, influence, and risk-taking.</w:t>
      </w:r>
    </w:p>
    <w:p>
      <w:pPr>
        <w:pStyle w:val="BodyText"/>
      </w:pPr>
      <w:r>
        <w:t xml:space="preserve">C</w:t>
      </w:r>
    </w:p>
    <w:p>
      <w:pPr>
        <w:pStyle w:val="BodyText"/>
      </w:pPr>
      <w:r>
        <w:t xml:space="preserve">Conventional</w:t>
      </w:r>
    </w:p>
    <w:p>
      <w:pPr>
        <w:pStyle w:val="BodyText"/>
      </w:pPr>
      <w:r>
        <w:t xml:space="preserve">Order, data management, systems, accounting. Values accuracy, efficiency, and stability.</w:t>
      </w:r>
    </w:p>
    <w:bookmarkEnd w:id="28"/>
    <w:bookmarkStart w:id="29" w:name="implementation-in-future-pathways"/>
    <w:p>
      <w:pPr>
        <w:pStyle w:val="Heading3"/>
      </w:pPr>
      <w:r>
        <w:t xml:space="preserve">Implementation in Future Pathways</w:t>
      </w:r>
    </w:p>
    <w:p>
      <w:pPr>
        <w:pStyle w:val="FirstParagraph"/>
      </w:pPr>
      <w:r>
        <w:t xml:space="preserve">The platform administers</w:t>
      </w:r>
      <w:r>
        <w:t xml:space="preserve"> </w:t>
      </w:r>
      <w:r>
        <w:rPr>
          <w:b/>
          <w:bCs/>
        </w:rPr>
        <w:t xml:space="preserve">30 original items</w:t>
      </w:r>
      <w:r>
        <w:t xml:space="preserve"> </w:t>
      </w:r>
      <w:r>
        <w:t xml:space="preserve">(5 per type) using a five-point</w:t>
      </w:r>
      <w:r>
        <w:t xml:space="preserve"> </w:t>
      </w:r>
      <w:r>
        <w:t xml:space="preserve">Likert scale. Each type score is normalised to a 0–100 scale. The student's top three types</w:t>
      </w:r>
      <w:r>
        <w:t xml:space="preserve"> </w:t>
      </w:r>
      <w:r>
        <w:t xml:space="preserve">are combined to form a three-letter</w:t>
      </w:r>
      <w:r>
        <w:t xml:space="preserve"> </w:t>
      </w:r>
      <w:r>
        <w:rPr>
          <w:i/>
          <w:iCs/>
        </w:rPr>
        <w:t xml:space="preserve">Holland Code</w:t>
      </w:r>
      <w:r>
        <w:t xml:space="preserve"> </w:t>
      </w:r>
      <w:r>
        <w:t xml:space="preserve">(e.g., "ISA", "ECR") which is</w:t>
      </w:r>
      <w:r>
        <w:t xml:space="preserve"> </w:t>
      </w:r>
      <w:r>
        <w:t xml:space="preserve">matched against the Holland Code affinity scores pre-configured for each of the 36 careers</w:t>
      </w:r>
      <w:r>
        <w:t xml:space="preserve"> </w:t>
      </w:r>
      <w:r>
        <w:t xml:space="preserve">in the platform's catalogue.</w:t>
      </w:r>
    </w:p>
    <w:p>
      <w:pPr>
        <w:pStyle w:val="BodyText"/>
      </w:pPr>
      <w:r>
        <w:rPr>
          <w:b/>
          <w:bCs/>
        </w:rPr>
        <w:t xml:space="preserve">Important distinction:</w:t>
      </w:r>
      <w:r>
        <w:t xml:space="preserve"> </w:t>
      </w:r>
      <w:r>
        <w:t xml:space="preserve">Future Pathways uses the academic RIASEC framework</w:t>
      </w:r>
      <w:r>
        <w:t xml:space="preserve"> </w:t>
      </w:r>
      <w:r>
        <w:t xml:space="preserve">(Holland, 1997) — the open, peer-reviewed theory that underpins the career psychology field.</w:t>
      </w:r>
      <w:r>
        <w:t xml:space="preserve"> </w:t>
      </w:r>
      <w:r>
        <w:t xml:space="preserve">This is distinct from the commercially licensed</w:t>
      </w:r>
      <w:r>
        <w:t xml:space="preserve"> </w:t>
      </w:r>
      <w:r>
        <w:rPr>
          <w:i/>
          <w:iCs/>
        </w:rPr>
        <w:t xml:space="preserve">Strong Interest Inventory</w:t>
      </w:r>
      <w:r>
        <w:t xml:space="preserve"> </w:t>
      </w:r>
      <w:r>
        <w:t xml:space="preserve">instrument</w:t>
      </w:r>
      <w:r>
        <w:t xml:space="preserve"> </w:t>
      </w:r>
      <w:r>
        <w:t xml:space="preserve">(CPP Inc.), which builds upon the same underlying theory.</w:t>
      </w:r>
    </w:p>
    <w:bookmarkEnd w:id="29"/>
    <w:bookmarkEnd w:id="30"/>
    <w:p>
      <w:pPr>
        <w:pStyle w:val="BodyText"/>
      </w:pPr>
      <w:r>
        <w:t xml:space="preserve">Section 6</w:t>
      </w:r>
    </w:p>
    <w:bookmarkStart w:id="33" w:name="the-personal-values-assessment-cvq"/>
    <w:p>
      <w:pPr>
        <w:pStyle w:val="Heading2"/>
      </w:pPr>
      <w:r>
        <w:t xml:space="preserve">The Personal Values Assessment (CVQ)</w:t>
      </w:r>
    </w:p>
    <w:p>
      <w:r>
        <w:pict>
          <v:rect style="width:0;height:1.5pt" o:hralign="center" o:hrstd="t" o:hr="t"/>
        </w:pict>
      </w:r>
    </w:p>
    <w:bookmarkStart w:id="31" w:name="theoretical-basis-1"/>
    <w:p>
      <w:pPr>
        <w:pStyle w:val="Heading3"/>
      </w:pPr>
      <w:r>
        <w:t xml:space="preserve">Theoretical Basis</w:t>
      </w:r>
    </w:p>
    <w:p>
      <w:pPr>
        <w:pStyle w:val="FirstParagraph"/>
      </w:pPr>
      <w:r>
        <w:t xml:space="preserve">The Career Values Questionnaire (CVQ) used in Future Pathways is grounded in Shalom H.</w:t>
      </w:r>
      <w:r>
        <w:t xml:space="preserve"> </w:t>
      </w:r>
      <w:r>
        <w:t xml:space="preserve">Schwartz's Theory of Basic Human Values (Schwartz, 1992; 2012), the most widely validated</w:t>
      </w:r>
      <w:r>
        <w:t xml:space="preserve"> </w:t>
      </w:r>
      <w:r>
        <w:t xml:space="preserve">cross-cultural framework for understanding human motivation. Schwartz identified ten universal</w:t>
      </w:r>
      <w:r>
        <w:t xml:space="preserve"> </w:t>
      </w:r>
      <w:r>
        <w:t xml:space="preserve">value types that are hierarchically organised and circumplex in structure — meaning adjacent</w:t>
      </w:r>
      <w:r>
        <w:t xml:space="preserve"> </w:t>
      </w:r>
      <w:r>
        <w:t xml:space="preserve">values are compatible and opposing values are in motivational conflict.</w:t>
      </w:r>
    </w:p>
    <w:p>
      <w:pPr>
        <w:pStyle w:val="BodyText"/>
      </w:pPr>
      <w:r>
        <w:t xml:space="preserve">Research consistently demonstrates that work values are a significant predictor of career</w:t>
      </w:r>
      <w:r>
        <w:t xml:space="preserve"> </w:t>
      </w:r>
      <w:r>
        <w:t xml:space="preserve">commitment, job satisfaction, and identity development in adolescents (Hirschi, 2010), making</w:t>
      </w:r>
      <w:r>
        <w:t xml:space="preserve"> </w:t>
      </w:r>
      <w:r>
        <w:t xml:space="preserve">values assessment a powerful complement to interest and personality instruments for a student</w:t>
      </w:r>
      <w:r>
        <w:t xml:space="preserve"> </w:t>
      </w:r>
      <w:r>
        <w:t xml:space="preserve">population.</w:t>
      </w:r>
    </w:p>
    <w:bookmarkEnd w:id="31"/>
    <w:bookmarkStart w:id="32" w:name="the-seven-value-domains"/>
    <w:p>
      <w:pPr>
        <w:pStyle w:val="Heading3"/>
      </w:pPr>
      <w:r>
        <w:t xml:space="preserve">The Seven Value Domains</w:t>
      </w:r>
    </w:p>
    <w:p>
      <w:pPr>
        <w:pStyle w:val="FirstParagraph"/>
      </w:pPr>
      <w:r>
        <w:t xml:space="preserve">The Future Pathways CVQ measures seven value domains across</w:t>
      </w:r>
      <w:r>
        <w:t xml:space="preserve"> </w:t>
      </w:r>
      <w:r>
        <w:rPr>
          <w:b/>
          <w:bCs/>
        </w:rPr>
        <w:t xml:space="preserve">21 items</w:t>
      </w:r>
      <w:r>
        <w:t xml:space="preserve"> </w:t>
      </w:r>
      <w:r>
        <w:t xml:space="preserve">(3 per</w:t>
      </w:r>
      <w:r>
        <w:t xml:space="preserve"> </w:t>
      </w:r>
      <w:r>
        <w:t xml:space="preserve">domain), rated on a five-point scale (1 = Not Like Me to 5 = Very Much Like Me). Certain</w:t>
      </w:r>
      <w:r>
        <w:t xml:space="preserve"> </w:t>
      </w:r>
      <w:r>
        <w:t xml:space="preserve">items are reverse-scored to reduce acquiescence bias.</w:t>
      </w:r>
    </w:p>
    <w:p>
      <w:pPr>
        <w:pStyle w:val="BodyText"/>
      </w:pPr>
      <w:r>
        <w:t xml:space="preserve">Achievement </w:t>
      </w:r>
      <w:r>
        <w:t xml:space="preserve"> </w:t>
      </w:r>
      <w:r>
        <w:t xml:space="preserve">— Success, competence, recognition, ambition</w:t>
      </w:r>
    </w:p>
    <w:p>
      <w:pPr>
        <w:pStyle w:val="BodyText"/>
      </w:pPr>
      <w:r>
        <w:t xml:space="preserve">Benevolence </w:t>
      </w:r>
      <w:r>
        <w:t xml:space="preserve"> </w:t>
      </w:r>
      <w:r>
        <w:t xml:space="preserve">— Caring for others, helpfulness, loyalty</w:t>
      </w:r>
    </w:p>
    <w:p>
      <w:pPr>
        <w:pStyle w:val="BodyText"/>
      </w:pPr>
      <w:r>
        <w:t xml:space="preserve">Universalism </w:t>
      </w:r>
      <w:r>
        <w:t xml:space="preserve"> </w:t>
      </w:r>
      <w:r>
        <w:t xml:space="preserve">— Fairness, equality, justice, protecting the environment</w:t>
      </w:r>
    </w:p>
    <w:p>
      <w:pPr>
        <w:pStyle w:val="BodyText"/>
      </w:pPr>
      <w:r>
        <w:t xml:space="preserve">Self-Direction </w:t>
      </w:r>
      <w:r>
        <w:t xml:space="preserve"> </w:t>
      </w:r>
      <w:r>
        <w:t xml:space="preserve">— Independence, creativity, freedom of thought</w:t>
      </w:r>
    </w:p>
    <w:p>
      <w:pPr>
        <w:pStyle w:val="BodyText"/>
      </w:pPr>
      <w:r>
        <w:t xml:space="preserve">Security </w:t>
      </w:r>
      <w:r>
        <w:t xml:space="preserve"> </w:t>
      </w:r>
      <w:r>
        <w:t xml:space="preserve">— Safety, stability, social order, harmony</w:t>
      </w:r>
    </w:p>
    <w:p>
      <w:pPr>
        <w:pStyle w:val="BodyText"/>
      </w:pPr>
      <w:r>
        <w:t xml:space="preserve">Power </w:t>
      </w:r>
      <w:r>
        <w:t xml:space="preserve"> </w:t>
      </w:r>
      <w:r>
        <w:t xml:space="preserve">— Authority, wealth, social influence, prestige</w:t>
      </w:r>
    </w:p>
    <w:p>
      <w:pPr>
        <w:pStyle w:val="BodyText"/>
      </w:pPr>
      <w:r>
        <w:t xml:space="preserve">Hedonism </w:t>
      </w:r>
      <w:r>
        <w:t xml:space="preserve"> </w:t>
      </w:r>
      <w:r>
        <w:t xml:space="preserve">— Pleasure, enjoyment, self-indulgence</w:t>
      </w:r>
    </w:p>
    <w:p>
      <w:pPr>
        <w:pStyle w:val="BodyText"/>
      </w:pPr>
      <w:r>
        <w:t xml:space="preserve">The domain scores are used in career matching to boost careers that align with the student's</w:t>
      </w:r>
      <w:r>
        <w:t xml:space="preserve"> </w:t>
      </w:r>
      <w:r>
        <w:t xml:space="preserve">dominant values. For example, a student with high Benevolence and Universalism scores will</w:t>
      </w:r>
      <w:r>
        <w:t xml:space="preserve"> </w:t>
      </w:r>
      <w:r>
        <w:t xml:space="preserve">see healthcare, education, and environmental science careers promoted in their results.</w:t>
      </w:r>
    </w:p>
    <w:bookmarkEnd w:id="32"/>
    <w:bookmarkEnd w:id="33"/>
    <w:p>
      <w:pPr>
        <w:pStyle w:val="BodyText"/>
      </w:pPr>
      <w:r>
        <w:t xml:space="preserve">Section 7</w:t>
      </w:r>
    </w:p>
    <w:bookmarkStart w:id="34" w:name="the-wef-16-skills-framework-integration"/>
    <w:p>
      <w:pPr>
        <w:pStyle w:val="Heading2"/>
      </w:pPr>
      <w:r>
        <w:t xml:space="preserve">The WEF 16 Skills Framework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World Economic Forum's</w:t>
      </w:r>
      <w:r>
        <w:t xml:space="preserve"> </w:t>
      </w:r>
      <w:r>
        <w:rPr>
          <w:i/>
          <w:iCs/>
        </w:rPr>
        <w:t xml:space="preserve">New Vision for Education: Unlocking the Potential of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Technology</w:t>
      </w:r>
      <w:r>
        <w:t xml:space="preserve"> </w:t>
      </w:r>
      <w:r>
        <w:t xml:space="preserve">(WEF, 2016) and the</w:t>
      </w:r>
      <w:r>
        <w:t xml:space="preserve"> </w:t>
      </w:r>
      <w:r>
        <w:rPr>
          <w:i/>
          <w:iCs/>
        </w:rPr>
        <w:t xml:space="preserve">Future of Jobs Report 2025</w:t>
      </w:r>
      <w:r>
        <w:t xml:space="preserve"> </w:t>
      </w:r>
      <w:r>
        <w:t xml:space="preserve">define 16 critical</w:t>
      </w:r>
      <w:r>
        <w:t xml:space="preserve"> </w:t>
      </w:r>
      <w:r>
        <w:t xml:space="preserve">skills that will underpin 21st-century employability. Future Pathways maps all 36 careers</w:t>
      </w:r>
      <w:r>
        <w:t xml:space="preserve"> </w:t>
      </w:r>
      <w:r>
        <w:t xml:space="preserve">in its catalogue against this framework, ensuring that career recommendations explicitly</w:t>
      </w:r>
      <w:r>
        <w:t xml:space="preserve"> </w:t>
      </w:r>
      <w:r>
        <w:t xml:space="preserve">link to future-of-work relevance.</w:t>
      </w:r>
    </w:p>
    <w:p>
      <w:pPr>
        <w:pStyle w:val="BodyText"/>
      </w:pPr>
      <w:r>
        <w:t xml:space="preserve">Foundational Literacies (6 skills)</w:t>
      </w:r>
    </w:p>
    <w:p>
      <w:pPr>
        <w:pStyle w:val="BodyText"/>
      </w:pPr>
      <w:r>
        <w:t xml:space="preserve">Literacy · Numeracy · Scientific Literacy · ICT Literacy · Financial Literacy · Cultural &amp; Civic Literacy</w:t>
      </w:r>
    </w:p>
    <w:p>
      <w:pPr>
        <w:pStyle w:val="BodyText"/>
      </w:pPr>
      <w:r>
        <w:t xml:space="preserve">Competencies (6 skills)</w:t>
      </w:r>
    </w:p>
    <w:p>
      <w:pPr>
        <w:pStyle w:val="BodyText"/>
      </w:pPr>
      <w:r>
        <w:t xml:space="preserve">Critical Thinking &amp; Problem Solving · Creativity · Communication · Collaboration · Curiosity · Initiative</w:t>
      </w:r>
    </w:p>
    <w:p>
      <w:pPr>
        <w:pStyle w:val="BodyText"/>
      </w:pPr>
      <w:r>
        <w:t xml:space="preserve">Character Qualities (4 skills)</w:t>
      </w:r>
    </w:p>
    <w:p>
      <w:pPr>
        <w:pStyle w:val="BodyText"/>
      </w:pPr>
      <w:r>
        <w:t xml:space="preserve">Persistence &amp; Grit · Adaptability · Leadership · Social &amp; Cultural Awareness</w:t>
      </w:r>
    </w:p>
    <w:p>
      <w:pPr>
        <w:pStyle w:val="BodyText"/>
      </w:pPr>
      <w:r>
        <w:t xml:space="preserve">Each career in the platform is associated with a weighted set of WEF skill affinities</w:t>
      </w:r>
      <w:r>
        <w:t xml:space="preserve"> </w:t>
      </w:r>
      <w:r>
        <w:t xml:space="preserve">(576 career-skill pairings across 36 careers and 16 skills). Premium users see which WEF</w:t>
      </w:r>
      <w:r>
        <w:t xml:space="preserve"> </w:t>
      </w:r>
      <w:r>
        <w:t xml:space="preserve">skills their recommended careers demand, helping students and parents understand not just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careers suit them, but</w:t>
      </w:r>
      <w:r>
        <w:t xml:space="preserve"> </w:t>
      </w:r>
      <w:r>
        <w:rPr>
          <w:i/>
          <w:iCs/>
        </w:rPr>
        <w:t xml:space="preserve">what skills they will need to develop</w:t>
      </w:r>
      <w:r>
        <w:t xml:space="preserve">.</w:t>
      </w:r>
    </w:p>
    <w:bookmarkEnd w:id="34"/>
    <w:p>
      <w:pPr>
        <w:pStyle w:val="BodyText"/>
      </w:pPr>
      <w:r>
        <w:t xml:space="preserve">Section 8</w:t>
      </w:r>
    </w:p>
    <w:bookmarkStart w:id="38" w:name="career-matching-methodology"/>
    <w:p>
      <w:pPr>
        <w:pStyle w:val="Heading2"/>
      </w:pPr>
      <w:r>
        <w:t xml:space="preserve">Career Matching Methodology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Pathways uses a modular, configurable scoring engine. Each career in the catalogue</w:t>
      </w:r>
      <w:r>
        <w:t xml:space="preserve"> </w:t>
      </w:r>
      <w:r>
        <w:t xml:space="preserve">receives a composite score based on multiple weighted dimensions. Superadministrators can</w:t>
      </w:r>
      <w:r>
        <w:t xml:space="preserve"> </w:t>
      </w:r>
      <w:r>
        <w:t xml:space="preserve">adjust the weights for each assessment tier; the default configuration is shown below.</w:t>
      </w:r>
    </w:p>
    <w:bookmarkStart w:id="35" w:name="free-tier-default-scoring-weights"/>
    <w:p>
      <w:pPr>
        <w:pStyle w:val="Heading3"/>
      </w:pPr>
      <w:r>
        <w:t xml:space="preserve">Free Tier — Default Scoring Weights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Competency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/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/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Vision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/>
        </w:tc>
      </w:tr>
    </w:tbl>
    <w:bookmarkEnd w:id="35"/>
    <w:bookmarkStart w:id="36" w:name="premium-tier-default-scoring-weights"/>
    <w:p>
      <w:pPr>
        <w:pStyle w:val="Heading3"/>
      </w:pPr>
      <w:r>
        <w:t xml:space="preserve">Premium Tier — Default Scoring Weights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RIASEC (Holland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/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Competency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/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Vision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/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Values (CVQ)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/>
        </w:tc>
      </w:tr>
    </w:tbl>
    <w:p>
      <w:pPr>
        <w:pStyle w:val="BodyText"/>
      </w:pPr>
      <w:r>
        <w:rPr>
          <w:b/>
          <w:bCs/>
        </w:rPr>
        <w:t xml:space="preserve">Note on weights:</w:t>
      </w:r>
      <w:r>
        <w:t xml:space="preserve"> </w:t>
      </w:r>
      <w:r>
        <w:t xml:space="preserve">In the Premium tier, the Interest Match dimension is replaced</w:t>
      </w:r>
      <w:r>
        <w:t xml:space="preserve"> </w:t>
      </w:r>
      <w:r>
        <w:t xml:space="preserve">by the scientifically validated RIASEC personality assessment, which provides a richer signal.</w:t>
      </w:r>
      <w:r>
        <w:t xml:space="preserve"> </w:t>
      </w:r>
      <w:r>
        <w:t xml:space="preserve">RIASEC leads at 35%, Personal Values (CVQ) at 25%, with Subject Competency and Country Vision</w:t>
      </w:r>
      <w:r>
        <w:t xml:space="preserve"> </w:t>
      </w:r>
      <w:r>
        <w:t xml:space="preserve">Alignment each at 20%. All dimensions sum to 100%. The configurable architecture allows the</w:t>
      </w:r>
      <w:r>
        <w:t xml:space="preserve"> </w:t>
      </w:r>
      <w:r>
        <w:t xml:space="preserve">platform superadmin to tune weights for specific institutional priorities without code changes.</w:t>
      </w:r>
    </w:p>
    <w:bookmarkEnd w:id="36"/>
    <w:bookmarkStart w:id="37" w:name="career-catalogue"/>
    <w:p>
      <w:pPr>
        <w:pStyle w:val="Heading3"/>
      </w:pPr>
      <w:r>
        <w:t xml:space="preserve">Career Catalogue</w:t>
      </w:r>
    </w:p>
    <w:p>
      <w:pPr>
        <w:pStyle w:val="FirstParagraph"/>
      </w:pPr>
      <w:r>
        <w:t xml:space="preserve">The platform currently includes</w:t>
      </w:r>
      <w:r>
        <w:t xml:space="preserve"> </w:t>
      </w:r>
      <w:r>
        <w:rPr>
          <w:b/>
          <w:bCs/>
        </w:rPr>
        <w:t xml:space="preserve">36 careers</w:t>
      </w:r>
      <w:r>
        <w:t xml:space="preserve"> </w:t>
      </w:r>
      <w:r>
        <w:t xml:space="preserve">spanning the UAE's key economic</w:t>
      </w:r>
      <w:r>
        <w:t xml:space="preserve"> </w:t>
      </w:r>
      <w:r>
        <w:t xml:space="preserve">sectors: Technology &amp; AI, Healthcare, Engineering, Finance, Creative Industries,</w:t>
      </w:r>
      <w:r>
        <w:t xml:space="preserve"> </w:t>
      </w:r>
      <w:r>
        <w:t xml:space="preserve">Education, Environmental Sciences, Business, Legal, and more. Each career entry includes:</w:t>
      </w:r>
    </w:p>
    <w:p>
      <w:pPr>
        <w:pStyle w:val="Compact"/>
        <w:numPr>
          <w:ilvl w:val="0"/>
          <w:numId w:val="1003"/>
        </w:numPr>
      </w:pPr>
      <w:r>
        <w:t xml:space="preserve">Career description and UAE job market outlook</w:t>
      </w:r>
    </w:p>
    <w:p>
      <w:pPr>
        <w:pStyle w:val="Compact"/>
        <w:numPr>
          <w:ilvl w:val="0"/>
          <w:numId w:val="1003"/>
        </w:numPr>
      </w:pPr>
      <w:r>
        <w:t xml:space="preserve">Required subject strengths and education pathway</w:t>
      </w:r>
    </w:p>
    <w:p>
      <w:pPr>
        <w:pStyle w:val="Compact"/>
        <w:numPr>
          <w:ilvl w:val="0"/>
          <w:numId w:val="1003"/>
        </w:numPr>
      </w:pPr>
      <w:r>
        <w:t xml:space="preserve">Holland Code affinity scores (R, I, A, S, E, C)</w:t>
      </w:r>
    </w:p>
    <w:p>
      <w:pPr>
        <w:pStyle w:val="Compact"/>
        <w:numPr>
          <w:ilvl w:val="0"/>
          <w:numId w:val="1003"/>
        </w:numPr>
      </w:pPr>
      <w:r>
        <w:t xml:space="preserve">WEF skill affinities (weighted relevance across 16 skills)</w:t>
      </w:r>
    </w:p>
    <w:p>
      <w:pPr>
        <w:pStyle w:val="Compact"/>
        <w:numPr>
          <w:ilvl w:val="0"/>
          <w:numId w:val="1003"/>
        </w:numPr>
      </w:pPr>
      <w:r>
        <w:t xml:space="preserve">UAE Vision 2030/2071 alignment indicators</w:t>
      </w:r>
    </w:p>
    <w:bookmarkEnd w:id="37"/>
    <w:bookmarkEnd w:id="38"/>
    <w:p>
      <w:pPr>
        <w:pStyle w:val="FirstParagraph"/>
      </w:pPr>
      <w:r>
        <w:t xml:space="preserve">Section 9</w:t>
      </w:r>
    </w:p>
    <w:bookmarkStart w:id="40" w:name="uae-vision-alignment"/>
    <w:p>
      <w:pPr>
        <w:pStyle w:val="Heading2"/>
      </w:pPr>
      <w:r>
        <w:t xml:space="preserve">UAE Vision Alignment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distinguishing feature of Future Pathways is its explicit integration of UAE national</w:t>
      </w:r>
      <w:r>
        <w:t xml:space="preserve"> </w:t>
      </w:r>
      <w:r>
        <w:t xml:space="preserve">strategic priorities. During the assessment, students are invited to express which sectors</w:t>
      </w:r>
      <w:r>
        <w:t xml:space="preserve"> </w:t>
      </w:r>
      <w:r>
        <w:t xml:space="preserve">of national importance resonate with them. These choices are mapped to the platform's</w:t>
      </w:r>
      <w:r>
        <w:t xml:space="preserve"> </w:t>
      </w:r>
      <w:r>
        <w:t xml:space="preserve">Country Vision Alignment scoring dimension.</w:t>
      </w:r>
    </w:p>
    <w:p>
      <w:pPr>
        <w:pStyle w:val="BodyText"/>
      </w:pPr>
      <w:r>
        <w:t xml:space="preserve">The platform's career catalogue is tagged against the UAE's priority development sectors,</w:t>
      </w:r>
      <w:r>
        <w:t xml:space="preserve"> </w:t>
      </w:r>
      <w:r>
        <w:t xml:space="preserve">which include:</w:t>
      </w:r>
    </w:p>
    <w:bookmarkStart w:id="39" w:name="uae-priority-sectors-2030-2071-vision"/>
    <w:p>
      <w:pPr>
        <w:pStyle w:val="Heading4"/>
      </w:pPr>
      <w:r>
        <w:t xml:space="preserve">UAE Priority Sectors (2030 &amp; 2071 Vision)</w:t>
      </w:r>
    </w:p>
    <w:p>
      <w:pPr>
        <w:pStyle w:val="FirstParagraph"/>
      </w:pPr>
      <w:r>
        <w:t xml:space="preserve">Advanced Technology &amp; AI</w:t>
      </w:r>
    </w:p>
    <w:p>
      <w:pPr>
        <w:pStyle w:val="BodyText"/>
      </w:pPr>
      <w:r>
        <w:t xml:space="preserve">Space &amp; Future Sciences</w:t>
      </w:r>
    </w:p>
    <w:p>
      <w:pPr>
        <w:pStyle w:val="BodyText"/>
      </w:pPr>
      <w:r>
        <w:t xml:space="preserve">Renewable Energy &amp; Sustainability</w:t>
      </w:r>
    </w:p>
    <w:p>
      <w:pPr>
        <w:pStyle w:val="BodyText"/>
      </w:pPr>
      <w:r>
        <w:t xml:space="preserve">Healthcare &amp; Life Sciences</w:t>
      </w:r>
    </w:p>
    <w:p>
      <w:pPr>
        <w:pStyle w:val="BodyText"/>
      </w:pPr>
      <w:r>
        <w:t xml:space="preserve">Financial Services &amp; FinTech</w:t>
      </w:r>
    </w:p>
    <w:p>
      <w:pPr>
        <w:pStyle w:val="BodyText"/>
      </w:pPr>
      <w:r>
        <w:t xml:space="preserve">Education &amp; Human Capital</w:t>
      </w:r>
    </w:p>
    <w:p>
      <w:pPr>
        <w:pStyle w:val="BodyText"/>
      </w:pPr>
      <w:r>
        <w:t xml:space="preserve">Tourism &amp; Hospitality</w:t>
      </w:r>
    </w:p>
    <w:p>
      <w:pPr>
        <w:pStyle w:val="BodyText"/>
      </w:pPr>
      <w:r>
        <w:t xml:space="preserve">Advanced Manufacturing</w:t>
      </w:r>
    </w:p>
    <w:p>
      <w:pPr>
        <w:pStyle w:val="BodyText"/>
      </w:pPr>
      <w:r>
        <w:t xml:space="preserve">Creative Industries &amp; Media</w:t>
      </w:r>
    </w:p>
    <w:p>
      <w:pPr>
        <w:pStyle w:val="BodyText"/>
      </w:pPr>
      <w:r>
        <w:t xml:space="preserve">Food Security &amp; Agriculture</w:t>
      </w:r>
    </w:p>
    <w:bookmarkEnd w:id="39"/>
    <w:p>
      <w:pPr>
        <w:pStyle w:val="BodyText"/>
      </w:pPr>
      <w:r>
        <w:t xml:space="preserve">This ensures that career recommendations are not only personally relevant to the student</w:t>
      </w:r>
      <w:r>
        <w:t xml:space="preserve"> </w:t>
      </w:r>
      <w:r>
        <w:t xml:space="preserve">but also economically relevant to the country — supporting the UAE's strategic objective</w:t>
      </w:r>
      <w:r>
        <w:t xml:space="preserve"> </w:t>
      </w:r>
      <w:r>
        <w:t xml:space="preserve">of developing a skilled, diversified national talent pipeline.</w:t>
      </w:r>
    </w:p>
    <w:bookmarkEnd w:id="40"/>
    <w:p>
      <w:pPr>
        <w:pStyle w:val="BodyText"/>
      </w:pPr>
      <w:r>
        <w:t xml:space="preserve">Section 10</w:t>
      </w:r>
    </w:p>
    <w:bookmarkStart w:id="53" w:name="reporting-outputs"/>
    <w:p>
      <w:pPr>
        <w:pStyle w:val="Heading2"/>
      </w:pPr>
      <w:r>
        <w:t xml:space="preserve">Reporting &amp; Outputs</w:t>
      </w:r>
    </w:p>
    <w:p>
      <w:r>
        <w:pict>
          <v:rect style="width:0;height:1.5pt" o:hralign="center" o:hrstd="t" o:hr="t"/>
        </w:pict>
      </w:r>
    </w:p>
    <w:bookmarkStart w:id="44" w:name="student-career-report-premium"/>
    <w:p>
      <w:pPr>
        <w:pStyle w:val="Heading3"/>
      </w:pPr>
      <w:r>
        <w:t xml:space="preserve">Student Career Report (Premium)</w:t>
      </w:r>
    </w:p>
    <w:p>
      <w:pPr>
        <w:pStyle w:val="FirstParagraph"/>
      </w:pPr>
      <w:r>
        <w:t xml:space="preserve">Premium users receive a personalised PDF career report containing: a ranked list of career</w:t>
      </w:r>
      <w:r>
        <w:t xml:space="preserve"> </w:t>
      </w:r>
      <w:r>
        <w:t xml:space="preserve">matches with match scores, a narrative explaining the student's personality and values</w:t>
      </w:r>
      <w:r>
        <w:t xml:space="preserve"> </w:t>
      </w:r>
      <w:r>
        <w:t xml:space="preserve">profile, UAE university and programme recommendations</w:t>
      </w:r>
      <w:r>
        <w:t xml:space="preserve"> </w:t>
      </w:r>
      <w:r>
        <w:t xml:space="preserve">(sourced from the UAE Commission for Academic Accreditation), and actionable next steps.</w:t>
      </w:r>
    </w:p>
    <w:p>
      <w:pPr>
        <w:pStyle w:val="CaptionedFigure"/>
      </w:pPr>
      <w:r>
        <w:drawing>
          <wp:inline>
            <wp:extent cx="5334000" cy="5708849"/>
            <wp:effectExtent b="0" l="0" r="0" t="0"/>
            <wp:docPr descr="Career report showing subject strengths, career matches and premium upgrade prompt" title="" id="42" name="Picture"/>
            <a:graphic>
              <a:graphicData uri="http://schemas.openxmlformats.org/drawingml/2006/picture">
                <pic:pic>
                  <pic:nvPicPr>
                    <pic:cNvPr descr="client/public/wp-repor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8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 — The career report page, displaying subject competency scores, ranked career matches with weighted scoring breakdowns, and the premium upgrade pathway for deeper psychometric insights.</w:t>
      </w:r>
    </w:p>
    <w:bookmarkEnd w:id="44"/>
    <w:bookmarkStart w:id="48" w:name="X6edfe01e0e872777a623b75edad8682c6b9cec4"/>
    <w:p>
      <w:pPr>
        <w:pStyle w:val="Heading3"/>
      </w:pPr>
      <w:r>
        <w:t xml:space="preserve">Multi-Grade Progress Tracking (School Tier)</w:t>
      </w:r>
    </w:p>
    <w:p>
      <w:pPr>
        <w:pStyle w:val="FirstParagraph"/>
      </w:pPr>
      <w:r>
        <w:t xml:space="preserve">For school-enrolled students who complete assessments across multiple academic years, the</w:t>
      </w:r>
      <w:r>
        <w:t xml:space="preserve"> </w:t>
      </w:r>
      <w:r>
        <w:t xml:space="preserve">platform generates a progress view showing how career preferences and psychometric profiles</w:t>
      </w:r>
      <w:r>
        <w:t xml:space="preserve"> </w:t>
      </w:r>
      <w:r>
        <w:t xml:space="preserve">evolve between Grades 8 and 12. This longitudinal view is valuable for school counsellors</w:t>
      </w:r>
      <w:r>
        <w:t xml:space="preserve"> </w:t>
      </w:r>
      <w:r>
        <w:t xml:space="preserve">monitoring student development.</w:t>
      </w:r>
    </w:p>
    <w:p>
      <w:pPr>
        <w:pStyle w:val="CaptionedFigure"/>
      </w:pPr>
      <w:r>
        <w:drawing>
          <wp:inline>
            <wp:extent cx="5334000" cy="4774756"/>
            <wp:effectExtent b="0" l="0" r="0" t="0"/>
            <wp:docPr descr="School administrator dashboard with student roster and license management" title="" id="46" name="Picture"/>
            <a:graphic>
              <a:graphicData uri="http://schemas.openxmlformats.org/drawingml/2006/picture">
                <pic:pic>
                  <pic:nvPicPr>
                    <pic:cNvPr descr="client/public/wp-school-admi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4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 — The school administrator dashboard, showing license utilisation (10 total / 1 used / 9 available), the student roster with role and status badges, and bulk export controls for reports and data.</w:t>
      </w:r>
    </w:p>
    <w:bookmarkEnd w:id="48"/>
    <w:bookmarkStart w:id="52" w:name="school-admin-dashboard"/>
    <w:p>
      <w:pPr>
        <w:pStyle w:val="Heading3"/>
      </w:pPr>
      <w:r>
        <w:t xml:space="preserve">School Admin Dashboard</w:t>
      </w:r>
    </w:p>
    <w:p>
      <w:pPr>
        <w:pStyle w:val="FirstParagraph"/>
      </w:pPr>
      <w:r>
        <w:t xml:space="preserve">Organisation administrators have access to a secure dashboard providing cohort-level analytics:</w:t>
      </w:r>
      <w:r>
        <w:t xml:space="preserve"> </w:t>
      </w:r>
      <w:r>
        <w:t xml:space="preserve">top career trends by grade, skill distribution heatmaps, assessment completion rates,</w:t>
      </w:r>
      <w:r>
        <w:t xml:space="preserve"> </w:t>
      </w:r>
      <w:r>
        <w:t xml:space="preserve">and the ability to export student data in CSV and PDF formats for reporting and audit purposes.</w:t>
      </w:r>
    </w:p>
    <w:p>
      <w:pPr>
        <w:pStyle w:val="CaptionedFigure"/>
      </w:pPr>
      <w:r>
        <w:drawing>
          <wp:inline>
            <wp:extent cx="5334000" cy="3779676"/>
            <wp:effectExtent b="0" l="0" r="0" t="0"/>
            <wp:docPr descr="Super Admin dashboard with nationwide school and student management" title="" id="50" name="Picture"/>
            <a:graphic>
              <a:graphicData uri="http://schemas.openxmlformats.org/drawingml/2006/picture">
                <pic:pic>
                  <pic:nvPicPr>
                    <pic:cNvPr descr="client/public/wp-super-admi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9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 — The Super Admin dashboard, providing nationwide visibility across all 12 schools, 440 licences, and 8 students, with tabs for school management, student roster, announcements, career catalogue, scoring configuration, and contribution tracking.</w:t>
      </w:r>
    </w:p>
    <w:bookmarkEnd w:id="52"/>
    <w:bookmarkEnd w:id="53"/>
    <w:p>
      <w:pPr>
        <w:pStyle w:val="BodyText"/>
      </w:pPr>
      <w:r>
        <w:t xml:space="preserve">Section 11</w:t>
      </w:r>
    </w:p>
    <w:bookmarkStart w:id="54" w:name="privacy-security-data-governance"/>
    <w:p>
      <w:pPr>
        <w:pStyle w:val="Heading2"/>
      </w:pPr>
      <w:r>
        <w:t xml:space="preserve">Privacy, Security &amp; Data Governance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Pathways is built with data protection as a foundational design principle, in</w:t>
      </w:r>
      <w:r>
        <w:t xml:space="preserve"> </w:t>
      </w:r>
      <w:r>
        <w:t xml:space="preserve">compliance with applicable data protection frameworks including the UAE Personal Data</w:t>
      </w:r>
      <w:r>
        <w:t xml:space="preserve"> </w:t>
      </w:r>
      <w:r>
        <w:t xml:space="preserve">Protection Law (Federal Decree-Law No. 45 of 2021).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Multi-provider OAuth (Google, Microsoft) and email/password with secure hashing. Role-based access control for students, school administrators, and superadmins.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Session management:</w:t>
      </w:r>
      <w:r>
        <w:t xml:space="preserve"> </w:t>
      </w:r>
      <w:r>
        <w:t xml:space="preserve">PostgreSQL-backed sessions with 24-hour expiry. Cryptographically secure guest tokens for unauthenticated assessments.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minimisation:</w:t>
      </w:r>
      <w:r>
        <w:t xml:space="preserve"> </w:t>
      </w:r>
      <w:r>
        <w:t xml:space="preserve">Only assessment-relevant data is collected. No social media scraping or behavioural tracking beyond platform usage.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Parental consent:</w:t>
      </w:r>
      <w:r>
        <w:t xml:space="preserve"> </w:t>
      </w:r>
      <w:r>
        <w:t xml:space="preserve">Registration for users under 18 includes consent acknowledgement.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Students and administrators can request full data export or account deletion in compliance with GDPR-equivalent principles.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 infrastructure:</w:t>
      </w:r>
      <w:r>
        <w:t xml:space="preserve"> </w:t>
      </w:r>
      <w:r>
        <w:t xml:space="preserve">Helmet security headers, rate limiting, CSRF protection, input sanitisation (DOMPurify), and N+1 query elimination.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PostgreSQL (Neon serverless) with encrypted connections.</w:t>
      </w:r>
    </w:p>
    <w:bookmarkEnd w:id="54"/>
    <w:p>
      <w:pPr>
        <w:pStyle w:val="FirstParagraph"/>
      </w:pPr>
      <w:r>
        <w:t xml:space="preserve">Section 12</w:t>
      </w:r>
    </w:p>
    <w:bookmarkStart w:id="55" w:name="conclusion-recommendations"/>
    <w:p>
      <w:pPr>
        <w:pStyle w:val="Heading2"/>
      </w:pPr>
      <w:r>
        <w:t xml:space="preserve">Conclusion &amp; Recommendations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Pathways represents a significant step forward in evidence-based, culturally aligned</w:t>
      </w:r>
      <w:r>
        <w:t xml:space="preserve"> </w:t>
      </w:r>
      <w:r>
        <w:t xml:space="preserve">career guidance for UAE secondary school students. By combining three internationally</w:t>
      </w:r>
      <w:r>
        <w:t xml:space="preserve"> </w:t>
      </w:r>
      <w:r>
        <w:t xml:space="preserve">validated psychometric instruments with UAE curriculum data, national vision priorities,</w:t>
      </w:r>
      <w:r>
        <w:t xml:space="preserve"> </w:t>
      </w:r>
      <w:r>
        <w:t xml:space="preserve">and WEF future-skills intelligence, the platform delivers a career guidance experience that</w:t>
      </w:r>
      <w:r>
        <w:t xml:space="preserve"> </w:t>
      </w:r>
      <w:r>
        <w:t xml:space="preserve">is simultaneously rigorous and accessible.</w:t>
      </w:r>
    </w:p>
    <w:p>
      <w:pPr>
        <w:pStyle w:val="BodyText"/>
      </w:pPr>
      <w:r>
        <w:t xml:space="preserve">The following recommendations are offered to schools and education authorities considering</w:t>
      </w:r>
      <w:r>
        <w:t xml:space="preserve"> </w:t>
      </w:r>
      <w:r>
        <w:t xml:space="preserve">adoption: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 at Grade 9:</w:t>
      </w:r>
      <w:r>
        <w:t xml:space="preserve"> </w:t>
      </w:r>
      <w:r>
        <w:t xml:space="preserve">Early assessment enables time for reflection,</w:t>
      </w:r>
      <w:r>
        <w:t xml:space="preserve"> </w:t>
      </w:r>
      <w:r>
        <w:t xml:space="preserve">subject selection adjustment, and iterative re-assessment. Grade 9 is the optimal</w:t>
      </w:r>
      <w:r>
        <w:t xml:space="preserve"> </w:t>
      </w:r>
      <w:r>
        <w:t xml:space="preserve">entry point before UAE curriculum tracking decisions are made.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Repeat annually:</w:t>
      </w:r>
      <w:r>
        <w:t xml:space="preserve"> </w:t>
      </w:r>
      <w:r>
        <w:t xml:space="preserve">Career identity is not fixed in adolescence. Annual</w:t>
      </w:r>
      <w:r>
        <w:t xml:space="preserve"> </w:t>
      </w:r>
      <w:r>
        <w:t xml:space="preserve">re-assessment and the multi-grade progress view give counsellors longitudinal insight</w:t>
      </w:r>
      <w:r>
        <w:t xml:space="preserve"> </w:t>
      </w:r>
      <w:r>
        <w:t xml:space="preserve">into student development.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Pair with counsellor review:</w:t>
      </w:r>
      <w:r>
        <w:t xml:space="preserve"> </w:t>
      </w:r>
      <w:r>
        <w:t xml:space="preserve">The platform's reports are designed to</w:t>
      </w:r>
      <w:r>
        <w:t xml:space="preserve"> </w:t>
      </w:r>
      <w:r>
        <w:t xml:space="preserve">initiate, not replace, meaningful one-on-one counselling conversations.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cohort analytics:</w:t>
      </w:r>
      <w:r>
        <w:t xml:space="preserve"> </w:t>
      </w:r>
      <w:r>
        <w:t xml:space="preserve">School administrators should use the aggregate</w:t>
      </w:r>
      <w:r>
        <w:t xml:space="preserve"> </w:t>
      </w:r>
      <w:r>
        <w:t xml:space="preserve">dashboard to identify career clusters within their student population and align</w:t>
      </w:r>
      <w:r>
        <w:t xml:space="preserve"> </w:t>
      </w:r>
      <w:r>
        <w:t xml:space="preserve">extracurricular and enrichment programming accordingly.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Communicate with parents:</w:t>
      </w:r>
      <w:r>
        <w:t xml:space="preserve"> </w:t>
      </w:r>
      <w:r>
        <w:t xml:space="preserve">The PDF report is designed to be shared</w:t>
      </w:r>
      <w:r>
        <w:t xml:space="preserve"> </w:t>
      </w:r>
      <w:r>
        <w:t xml:space="preserve">with parents, making career conversations at home more structured and informed.</w:t>
      </w:r>
    </w:p>
    <w:p>
      <w:pPr>
        <w:pStyle w:val="FirstParagraph"/>
      </w:pPr>
      <w:r>
        <w:t xml:space="preserve">Future Pathways is committed to continuous improvement. The platform's scoring methodology,</w:t>
      </w:r>
      <w:r>
        <w:t xml:space="preserve"> </w:t>
      </w:r>
      <w:r>
        <w:t xml:space="preserve">career catalogue, and assessment instruments are reviewed annually against the latest</w:t>
      </w:r>
      <w:r>
        <w:t xml:space="preserve"> </w:t>
      </w:r>
      <w:r>
        <w:t xml:space="preserve">labour market data, psychometric research, and UAE policy developments.</w:t>
      </w:r>
    </w:p>
    <w:bookmarkEnd w:id="55"/>
    <w:p>
      <w:pPr>
        <w:pStyle w:val="BodyText"/>
      </w:pPr>
      <w:r>
        <w:t xml:space="preserve">Section 13</w:t>
      </w:r>
    </w:p>
    <w:bookmarkStart w:id="56" w:name="references"/>
    <w:p>
      <w:pPr>
        <w:pStyle w:val="Heading2"/>
      </w:pPr>
      <w:r>
        <w:t xml:space="preserve">References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t xml:space="preserve">Hirschi, A. (2010). Vocational interests and career goals: Development and relations to personality in middle adolescence.</w:t>
      </w:r>
      <w:r>
        <w:t xml:space="preserve"> </w:t>
      </w:r>
      <w:r>
        <w:rPr>
          <w:i/>
          <w:iCs/>
        </w:rPr>
        <w:t xml:space="preserve">Journal of Vocational Behavior, 76</w:t>
      </w:r>
      <w:r>
        <w:t xml:space="preserve">(2), 289–298.</w:t>
      </w:r>
    </w:p>
    <w:p>
      <w:pPr>
        <w:pStyle w:val="Compact"/>
        <w:numPr>
          <w:ilvl w:val="0"/>
          <w:numId w:val="1006"/>
        </w:numPr>
      </w:pPr>
      <w:r>
        <w:t xml:space="preserve">Holland, J. L. (1959). A theory of vocational choice.</w:t>
      </w:r>
      <w:r>
        <w:t xml:space="preserve"> </w:t>
      </w:r>
      <w:r>
        <w:rPr>
          <w:i/>
          <w:iCs/>
        </w:rPr>
        <w:t xml:space="preserve">Journal of Counseling Psychology, 6</w:t>
      </w:r>
      <w:r>
        <w:t xml:space="preserve">(1), 35–45.</w:t>
      </w:r>
    </w:p>
    <w:p>
      <w:pPr>
        <w:pStyle w:val="Compact"/>
        <w:numPr>
          <w:ilvl w:val="0"/>
          <w:numId w:val="1006"/>
        </w:numPr>
      </w:pPr>
      <w:r>
        <w:t xml:space="preserve">Holland, J. L. (1997).</w:t>
      </w:r>
      <w:r>
        <w:t xml:space="preserve"> </w:t>
      </w:r>
      <w:r>
        <w:rPr>
          <w:i/>
          <w:iCs/>
        </w:rPr>
        <w:t xml:space="preserve">Making vocational choices: A theory of vocational personalities and work environments</w:t>
      </w:r>
      <w:r>
        <w:t xml:space="preserve"> </w:t>
      </w:r>
      <w:r>
        <w:t xml:space="preserve">(3rd ed.). Psychological Assessment Resources.</w:t>
      </w:r>
    </w:p>
    <w:p>
      <w:pPr>
        <w:pStyle w:val="Compact"/>
        <w:numPr>
          <w:ilvl w:val="0"/>
          <w:numId w:val="1006"/>
        </w:numPr>
      </w:pPr>
      <w:r>
        <w:t xml:space="preserve">Schwartz, S. H. (1992). Universals in the content and structure of values: Theory and empirical tests in 20 countries.</w:t>
      </w:r>
      <w:r>
        <w:t xml:space="preserve"> </w:t>
      </w:r>
      <w:r>
        <w:rPr>
          <w:i/>
          <w:iCs/>
        </w:rPr>
        <w:t xml:space="preserve">Advances in Experimental Social Psychology, 25</w:t>
      </w:r>
      <w:r>
        <w:t xml:space="preserve">, 1–65.</w:t>
      </w:r>
    </w:p>
    <w:p>
      <w:pPr>
        <w:pStyle w:val="Compact"/>
        <w:numPr>
          <w:ilvl w:val="0"/>
          <w:numId w:val="1006"/>
        </w:numPr>
      </w:pPr>
      <w:r>
        <w:t xml:space="preserve">Schwartz, S. H. (2012). An overview of the Schwartz theory of basic values.</w:t>
      </w:r>
      <w:r>
        <w:t xml:space="preserve"> </w:t>
      </w:r>
      <w:r>
        <w:rPr>
          <w:i/>
          <w:iCs/>
        </w:rPr>
        <w:t xml:space="preserve">Online Readings in Psychology and Culture, 2</w:t>
      </w:r>
      <w:r>
        <w:t xml:space="preserve">(1).</w:t>
      </w:r>
    </w:p>
    <w:p>
      <w:pPr>
        <w:pStyle w:val="Compact"/>
        <w:numPr>
          <w:ilvl w:val="0"/>
          <w:numId w:val="1006"/>
        </w:numPr>
      </w:pPr>
      <w:r>
        <w:t xml:space="preserve">UAE Federal Government. (2021).</w:t>
      </w:r>
      <w:r>
        <w:t xml:space="preserve"> </w:t>
      </w:r>
      <w:r>
        <w:rPr>
          <w:i/>
          <w:iCs/>
        </w:rPr>
        <w:t xml:space="preserve">UAE Centennial 2071</w:t>
      </w:r>
      <w:r>
        <w:t xml:space="preserve">. https://u.ae/en/about-the-uae/strategies-initiatives-and-awards/federal-governments-strategies-and-plans/uae-centennial-2071</w:t>
      </w:r>
    </w:p>
    <w:p>
      <w:pPr>
        <w:pStyle w:val="Compact"/>
        <w:numPr>
          <w:ilvl w:val="0"/>
          <w:numId w:val="1006"/>
        </w:numPr>
      </w:pPr>
      <w:r>
        <w:t xml:space="preserve">World Economic Forum. (2016).</w:t>
      </w:r>
      <w:r>
        <w:t xml:space="preserve"> </w:t>
      </w:r>
      <w:r>
        <w:rPr>
          <w:i/>
          <w:iCs/>
        </w:rPr>
        <w:t xml:space="preserve">New Vision for Education: Unlocking the Potential of Technology</w:t>
      </w:r>
      <w:r>
        <w:t xml:space="preserve">. WEF.</w:t>
      </w:r>
    </w:p>
    <w:p>
      <w:pPr>
        <w:pStyle w:val="Compact"/>
        <w:numPr>
          <w:ilvl w:val="0"/>
          <w:numId w:val="1006"/>
        </w:numPr>
      </w:pPr>
      <w:r>
        <w:t xml:space="preserve">World Economic Forum. (2025).</w:t>
      </w:r>
      <w:r>
        <w:t xml:space="preserve"> </w:t>
      </w:r>
      <w:r>
        <w:rPr>
          <w:i/>
          <w:iCs/>
        </w:rPr>
        <w:t xml:space="preserve">Future of Jobs Report 2025</w:t>
      </w:r>
      <w:r>
        <w:t xml:space="preserve">. WEF.</w:t>
      </w:r>
    </w:p>
    <w:bookmarkEnd w:id="56"/>
    <w:p>
      <w:pPr>
        <w:pStyle w:val="FirstParagraph"/>
      </w:pPr>
      <w:r>
        <w:t xml:space="preserve">Future Pathways Career Guidance System — White Paper 2026</w:t>
      </w:r>
      <w:r>
        <w:t xml:space="preserve"> </w:t>
      </w:r>
      <w:r>
        <w:t xml:space="preserve">Confidential · futurepathways.ae</w:t>
      </w:r>
    </w:p>
    <w:p>
      <w:pPr>
        <w:pStyle w:val="BodyText"/>
      </w:pPr>
      <w:r>
        <w:t xml:space="preserve">Save / Print as PDF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 Pathways — White Paper 2026</dc:title>
  <dc:creator/>
  <dc:language>en</dc:language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