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66666"/>
          <w:sz w:val="24"/>
        </w:rPr>
        <w:t>NEXUS ENTERPRISES HOLDINGS</w:t>
      </w:r>
    </w:p>
    <w:p>
      <w:pPr>
        <w:spacing w:before="40" w:after="120"/>
        <w:jc w:val="center"/>
      </w:pPr>
      <w:r>
        <w:rPr>
          <w:rFonts w:ascii="Arial" w:hAnsi="Arial"/>
          <w:b/>
          <w:color w:val="1B365D"/>
          <w:sz w:val="40"/>
        </w:rPr>
        <w:t>STANDARD OPERATING PROCEDURE:</w:t>
        <w:br/>
        <w:t>EMPLOYEE LEAVE &amp; TIME-OFF POLICY</w:t>
      </w:r>
    </w:p>
    <w:p>
      <w:pPr>
        <w:spacing w:after="480"/>
        <w:jc w:val="center"/>
      </w:pPr>
      <w:r>
        <w:rPr>
          <w:i/>
          <w:color w:val="666666"/>
          <w:sz w:val="18"/>
        </w:rPr>
        <w:t>Document ID: HR-POL-004 | Effective Date: January 1, 2026 | Owner: Human Resources Department</w:t>
      </w:r>
    </w:p>
    <w:p>
      <w:pPr>
        <w:pStyle w:val="Heading1"/>
        <w:keepNext/>
        <w:spacing w:before="360" w:after="120"/>
      </w:pPr>
      <w:r>
        <w:rPr>
          <w:rFonts w:ascii="Arial" w:hAnsi="Arial"/>
          <w:b/>
          <w:color w:val="1B365D"/>
          <w:sz w:val="32"/>
        </w:rPr>
        <w:t>1. Document Control &amp; Version History</w:t>
      </w:r>
    </w:p>
    <w:p>
      <w:pPr>
        <w:spacing w:after="200" w:line="276" w:lineRule="auto"/>
      </w:pPr>
      <w:r>
        <w:t>This document governs the leave rules, entitlement calculations, carry-forward provisions, advance leave grants, and encashment guidelines applicable to all regular employees at Nexus Enterprises Holdings. Any revision to this policy overrides all previous oral or written agreements.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B365D"/>
            <w:tcMar>
              <w:top w:w="80" w:type="dxa"/>
              <w:bottom w:w="80" w:type="dxa"/>
              <w:left w:w="100" w:type="dxa"/>
              <w:right w:w="100" w:type="dxa"/>
            </w:tcMar>
          </w:tcPr>
          <w:p>
            <w:pPr>
              <w:jc w:val="left"/>
            </w:pPr>
            <w:r>
              <w:rPr>
                <w:b/>
                <w:color w:val="FFFFFF"/>
              </w:rPr>
              <w:t>Version</w:t>
            </w:r>
          </w:p>
        </w:tc>
        <w:tc>
          <w:tcPr>
            <w:tcW w:type="dxa" w:w="1584"/>
            <w:shd w:fill="1B365D"/>
            <w:tcMar>
              <w:top w:w="80" w:type="dxa"/>
              <w:bottom w:w="80" w:type="dxa"/>
              <w:left w:w="100" w:type="dxa"/>
              <w:right w:w="100" w:type="dxa"/>
            </w:tcMar>
          </w:tcPr>
          <w:p>
            <w:pPr>
              <w:jc w:val="left"/>
            </w:pPr>
            <w:r>
              <w:rPr>
                <w:b/>
                <w:color w:val="FFFFFF"/>
              </w:rPr>
              <w:t>Effective Date</w:t>
            </w:r>
          </w:p>
        </w:tc>
        <w:tc>
          <w:tcPr>
            <w:tcW w:type="dxa" w:w="2016"/>
            <w:shd w:fill="1B365D"/>
            <w:tcMar>
              <w:top w:w="80" w:type="dxa"/>
              <w:bottom w:w="80" w:type="dxa"/>
              <w:left w:w="100" w:type="dxa"/>
              <w:right w:w="100" w:type="dxa"/>
            </w:tcMar>
          </w:tcPr>
          <w:p>
            <w:pPr>
              <w:jc w:val="left"/>
            </w:pPr>
            <w:r>
              <w:rPr>
                <w:b/>
                <w:color w:val="FFFFFF"/>
              </w:rPr>
              <w:t>Author / Editor</w:t>
            </w:r>
          </w:p>
        </w:tc>
        <w:tc>
          <w:tcPr>
            <w:tcW w:type="dxa" w:w="1728"/>
            <w:shd w:fill="1B365D"/>
            <w:tcMar>
              <w:top w:w="80" w:type="dxa"/>
              <w:bottom w:w="80" w:type="dxa"/>
              <w:left w:w="100" w:type="dxa"/>
              <w:right w:w="100" w:type="dxa"/>
            </w:tcMar>
          </w:tcPr>
          <w:p>
            <w:pPr>
              <w:jc w:val="left"/>
            </w:pPr>
            <w:r>
              <w:rPr>
                <w:b/>
                <w:color w:val="FFFFFF"/>
              </w:rPr>
              <w:t>Approved By</w:t>
            </w:r>
          </w:p>
        </w:tc>
        <w:tc>
          <w:tcPr>
            <w:tcW w:type="dxa" w:w="2880"/>
            <w:shd w:fill="1B365D"/>
            <w:tcMar>
              <w:top w:w="80" w:type="dxa"/>
              <w:bottom w:w="80" w:type="dxa"/>
              <w:left w:w="100" w:type="dxa"/>
              <w:right w:w="100" w:type="dxa"/>
            </w:tcMar>
          </w:tcPr>
          <w:p>
            <w:pPr>
              <w:jc w:val="left"/>
            </w:pPr>
            <w:r>
              <w:rPr>
                <w:b/>
                <w:color w:val="FFFFFF"/>
              </w:rPr>
              <w:t>Description of Changes</w:t>
            </w:r>
          </w:p>
        </w:tc>
      </w:tr>
      <w:tr>
        <w:tc>
          <w:tcPr>
            <w:tcW w:type="dxa" w:w="1152"/>
            <w:tcMar>
              <w:top w:w="80" w:type="dxa"/>
              <w:bottom w:w="80" w:type="dxa"/>
              <w:left w:w="100" w:type="dxa"/>
              <w:right w:w="100" w:type="dxa"/>
            </w:tcMar>
          </w:tcPr>
          <w:p>
            <w:pPr>
              <w:jc w:val="left"/>
            </w:pPr>
            <w:r>
              <w:t>v1.0</w:t>
            </w:r>
          </w:p>
        </w:tc>
        <w:tc>
          <w:tcPr>
            <w:tcW w:type="dxa" w:w="1584"/>
            <w:tcMar>
              <w:top w:w="80" w:type="dxa"/>
              <w:bottom w:w="80" w:type="dxa"/>
              <w:left w:w="100" w:type="dxa"/>
              <w:right w:w="100" w:type="dxa"/>
            </w:tcMar>
          </w:tcPr>
          <w:p>
            <w:pPr>
              <w:jc w:val="left"/>
            </w:pPr>
            <w:r>
              <w:t>Jan 01, 2023</w:t>
            </w:r>
          </w:p>
        </w:tc>
        <w:tc>
          <w:tcPr>
            <w:tcW w:type="dxa" w:w="2016"/>
            <w:tcMar>
              <w:top w:w="80" w:type="dxa"/>
              <w:bottom w:w="80" w:type="dxa"/>
              <w:left w:w="100" w:type="dxa"/>
              <w:right w:w="100" w:type="dxa"/>
            </w:tcMar>
          </w:tcPr>
          <w:p>
            <w:pPr>
              <w:jc w:val="left"/>
            </w:pPr>
            <w:r>
              <w:t>H. Martin (HR Ops)</w:t>
            </w:r>
          </w:p>
        </w:tc>
        <w:tc>
          <w:tcPr>
            <w:tcW w:type="dxa" w:w="1728"/>
            <w:tcMar>
              <w:top w:w="80" w:type="dxa"/>
              <w:bottom w:w="80" w:type="dxa"/>
              <w:left w:w="100" w:type="dxa"/>
              <w:right w:w="100" w:type="dxa"/>
            </w:tcMar>
          </w:tcPr>
          <w:p>
            <w:pPr>
              <w:jc w:val="left"/>
            </w:pPr>
            <w:r>
              <w:t>R. Vance (VP HR)</w:t>
            </w:r>
          </w:p>
        </w:tc>
        <w:tc>
          <w:tcPr>
            <w:tcW w:type="dxa" w:w="2880"/>
            <w:tcMar>
              <w:top w:w="80" w:type="dxa"/>
              <w:bottom w:w="80" w:type="dxa"/>
              <w:left w:w="100" w:type="dxa"/>
              <w:right w:w="100" w:type="dxa"/>
            </w:tcMar>
          </w:tcPr>
          <w:p>
            <w:pPr>
              <w:jc w:val="left"/>
            </w:pPr>
            <w:r>
              <w:t>Initial Policy Release</w:t>
            </w:r>
          </w:p>
        </w:tc>
      </w:tr>
      <w:tr>
        <w:tc>
          <w:tcPr>
            <w:tcW w:type="dxa" w:w="1152"/>
            <w:shd w:fill="F9FBFD"/>
            <w:tcMar>
              <w:top w:w="80" w:type="dxa"/>
              <w:bottom w:w="80" w:type="dxa"/>
              <w:left w:w="100" w:type="dxa"/>
              <w:right w:w="100" w:type="dxa"/>
            </w:tcMar>
          </w:tcPr>
          <w:p>
            <w:pPr>
              <w:jc w:val="left"/>
            </w:pPr>
            <w:r>
              <w:t>v1.1</w:t>
            </w:r>
          </w:p>
        </w:tc>
        <w:tc>
          <w:tcPr>
            <w:tcW w:type="dxa" w:w="1584"/>
            <w:shd w:fill="F9FBFD"/>
            <w:tcMar>
              <w:top w:w="80" w:type="dxa"/>
              <w:bottom w:w="80" w:type="dxa"/>
              <w:left w:w="100" w:type="dxa"/>
              <w:right w:w="100" w:type="dxa"/>
            </w:tcMar>
          </w:tcPr>
          <w:p>
            <w:pPr>
              <w:jc w:val="left"/>
            </w:pPr>
            <w:r>
              <w:t>Jan 01, 2024</w:t>
            </w:r>
          </w:p>
        </w:tc>
        <w:tc>
          <w:tcPr>
            <w:tcW w:type="dxa" w:w="2016"/>
            <w:shd w:fill="F9FBFD"/>
            <w:tcMar>
              <w:top w:w="80" w:type="dxa"/>
              <w:bottom w:w="80" w:type="dxa"/>
              <w:left w:w="100" w:type="dxa"/>
              <w:right w:w="100" w:type="dxa"/>
            </w:tcMar>
          </w:tcPr>
          <w:p>
            <w:pPr>
              <w:jc w:val="left"/>
            </w:pPr>
            <w:r>
              <w:t>J. Doe (HR Lead)</w:t>
            </w:r>
          </w:p>
        </w:tc>
        <w:tc>
          <w:tcPr>
            <w:tcW w:type="dxa" w:w="1728"/>
            <w:shd w:fill="F9FBFD"/>
            <w:tcMar>
              <w:top w:w="80" w:type="dxa"/>
              <w:bottom w:w="80" w:type="dxa"/>
              <w:left w:w="100" w:type="dxa"/>
              <w:right w:w="100" w:type="dxa"/>
            </w:tcMar>
          </w:tcPr>
          <w:p>
            <w:pPr>
              <w:jc w:val="left"/>
            </w:pPr>
            <w:r>
              <w:t>R. Vance (VP HR)</w:t>
            </w:r>
          </w:p>
        </w:tc>
        <w:tc>
          <w:tcPr>
            <w:tcW w:type="dxa" w:w="2880"/>
            <w:shd w:fill="F9FBFD"/>
            <w:tcMar>
              <w:top w:w="80" w:type="dxa"/>
              <w:bottom w:w="80" w:type="dxa"/>
              <w:left w:w="100" w:type="dxa"/>
              <w:right w:w="100" w:type="dxa"/>
            </w:tcMar>
          </w:tcPr>
          <w:p>
            <w:pPr>
              <w:jc w:val="left"/>
            </w:pPr>
            <w:r>
              <w:t>Updated Earned Leave carry-forward caps and approval workflows.</w:t>
            </w:r>
          </w:p>
        </w:tc>
      </w:tr>
      <w:tr>
        <w:tc>
          <w:tcPr>
            <w:tcW w:type="dxa" w:w="1152"/>
            <w:tcMar>
              <w:top w:w="80" w:type="dxa"/>
              <w:bottom w:w="80" w:type="dxa"/>
              <w:left w:w="100" w:type="dxa"/>
              <w:right w:w="100" w:type="dxa"/>
            </w:tcMar>
          </w:tcPr>
          <w:p>
            <w:pPr>
              <w:jc w:val="left"/>
            </w:pPr>
            <w:r>
              <w:t>v2.0</w:t>
            </w:r>
          </w:p>
        </w:tc>
        <w:tc>
          <w:tcPr>
            <w:tcW w:type="dxa" w:w="1584"/>
            <w:tcMar>
              <w:top w:w="80" w:type="dxa"/>
              <w:bottom w:w="80" w:type="dxa"/>
              <w:left w:w="100" w:type="dxa"/>
              <w:right w:w="100" w:type="dxa"/>
            </w:tcMar>
          </w:tcPr>
          <w:p>
            <w:pPr>
              <w:jc w:val="left"/>
            </w:pPr>
            <w:r>
              <w:t>Jan 01, 2026</w:t>
            </w:r>
          </w:p>
        </w:tc>
        <w:tc>
          <w:tcPr>
            <w:tcW w:type="dxa" w:w="2016"/>
            <w:tcMar>
              <w:top w:w="80" w:type="dxa"/>
              <w:bottom w:w="80" w:type="dxa"/>
              <w:left w:w="100" w:type="dxa"/>
              <w:right w:w="100" w:type="dxa"/>
            </w:tcMar>
          </w:tcPr>
          <w:p>
            <w:pPr>
              <w:jc w:val="left"/>
            </w:pPr>
            <w:r>
              <w:t>A. Sharma (HR Policy)</w:t>
            </w:r>
          </w:p>
        </w:tc>
        <w:tc>
          <w:tcPr>
            <w:tcW w:type="dxa" w:w="1728"/>
            <w:tcMar>
              <w:top w:w="80" w:type="dxa"/>
              <w:bottom w:w="80" w:type="dxa"/>
              <w:left w:w="100" w:type="dxa"/>
              <w:right w:w="100" w:type="dxa"/>
            </w:tcMar>
          </w:tcPr>
          <w:p>
            <w:pPr>
              <w:jc w:val="left"/>
            </w:pPr>
            <w:r>
              <w:t>E. Stone (CHRO)</w:t>
            </w:r>
          </w:p>
        </w:tc>
        <w:tc>
          <w:tcPr>
            <w:tcW w:type="dxa" w:w="2880"/>
            <w:tcMar>
              <w:top w:w="80" w:type="dxa"/>
              <w:bottom w:w="80" w:type="dxa"/>
              <w:left w:w="100" w:type="dxa"/>
              <w:right w:w="100" w:type="dxa"/>
            </w:tcMar>
          </w:tcPr>
          <w:p>
            <w:pPr>
              <w:jc w:val="left"/>
            </w:pPr>
            <w:r>
              <w:t>Comprehensive update: Added Advance Leave policy, updated resignation encashment formulas, and revised Sick Leave certification threshold.</w:t>
            </w:r>
          </w:p>
        </w:tc>
      </w:tr>
    </w:tbl>
    <w:p>
      <w:pPr>
        <w:spacing w:after="240"/>
      </w:pPr>
    </w:p>
    <w:p>
      <w:pPr>
        <w:pStyle w:val="Heading1"/>
        <w:keepNext/>
        <w:spacing w:before="360" w:after="120"/>
      </w:pPr>
      <w:r>
        <w:rPr>
          <w:rFonts w:ascii="Arial" w:hAnsi="Arial"/>
          <w:b/>
          <w:color w:val="1B365D"/>
          <w:sz w:val="32"/>
        </w:rPr>
        <w:t>2. Policy Purpose &amp; Scope</w:t>
      </w:r>
    </w:p>
    <w:p>
      <w:pPr>
        <w:spacing w:after="200" w:line="276" w:lineRule="auto"/>
      </w:pPr>
      <w:r>
        <w:t>The objective of this policy is to establish clear rules for employee leave entitlements, promote work-life balance, and ensure business continuity. This policy applies to all full-time, regular employees employed by Nexus Enterprises Holdings. Contractors, interns, and temporary staff are governed under separate contractual terms.</w:t>
      </w:r>
    </w:p>
    <w:p>
      <w:pPr>
        <w:pStyle w:val="Heading1"/>
        <w:keepNext/>
        <w:spacing w:before="360" w:after="120"/>
      </w:pPr>
      <w:r>
        <w:rPr>
          <w:rFonts w:ascii="Arial" w:hAnsi="Arial"/>
          <w:b/>
          <w:color w:val="1B365D"/>
          <w:sz w:val="32"/>
        </w:rPr>
        <w:t>3. Categories of Leave Entitlements</w:t>
      </w:r>
    </w:p>
    <w:p>
      <w:pPr>
        <w:pStyle w:val="Heading2"/>
        <w:keepNext/>
        <w:spacing w:before="280" w:after="80"/>
      </w:pPr>
      <w:r>
        <w:rPr>
          <w:rFonts w:ascii="Arial" w:hAnsi="Arial"/>
          <w:b/>
          <w:color w:val="4A777A"/>
          <w:sz w:val="26"/>
        </w:rPr>
        <w:t>3.1 Summary Matrix of Leave Types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80" w:type="dxa"/>
              <w:bottom w:w="80" w:type="dxa"/>
              <w:left w:w="100" w:type="dxa"/>
              <w:right w:w="100" w:type="dxa"/>
            </w:tcMar>
          </w:tcPr>
          <w:p>
            <w:r>
              <w:rPr>
                <w:b/>
                <w:color w:val="FFFFFF"/>
              </w:rPr>
              <w:t>Leave Type</w:t>
            </w:r>
          </w:p>
        </w:tc>
        <w:tc>
          <w:tcPr>
            <w:tcW w:type="dxa" w:w="1728"/>
            <w:shd w:fill="1B365D"/>
            <w:tcMar>
              <w:top w:w="80" w:type="dxa"/>
              <w:bottom w:w="80" w:type="dxa"/>
              <w:left w:w="100" w:type="dxa"/>
              <w:right w:w="100" w:type="dxa"/>
            </w:tcMar>
          </w:tcPr>
          <w:p>
            <w:r>
              <w:rPr>
                <w:b/>
                <w:color w:val="FFFFFF"/>
              </w:rPr>
              <w:t>Annual Entitlement</w:t>
            </w:r>
          </w:p>
        </w:tc>
        <w:tc>
          <w:tcPr>
            <w:tcW w:type="dxa" w:w="1728"/>
            <w:shd w:fill="1B365D"/>
            <w:tcMar>
              <w:top w:w="80" w:type="dxa"/>
              <w:bottom w:w="80" w:type="dxa"/>
              <w:left w:w="100" w:type="dxa"/>
              <w:right w:w="100" w:type="dxa"/>
            </w:tcMar>
          </w:tcPr>
          <w:p>
            <w:r>
              <w:rPr>
                <w:b/>
                <w:color w:val="FFFFFF"/>
              </w:rPr>
              <w:t>Accrual Frequency</w:t>
            </w:r>
          </w:p>
        </w:tc>
        <w:tc>
          <w:tcPr>
            <w:tcW w:type="dxa" w:w="2016"/>
            <w:shd w:fill="1B365D"/>
            <w:tcMar>
              <w:top w:w="80" w:type="dxa"/>
              <w:bottom w:w="80" w:type="dxa"/>
              <w:left w:w="100" w:type="dxa"/>
              <w:right w:w="100" w:type="dxa"/>
            </w:tcMar>
          </w:tcPr>
          <w:p>
            <w:r>
              <w:rPr>
                <w:b/>
                <w:color w:val="FFFFFF"/>
              </w:rPr>
              <w:t>Max Carry-Forward</w:t>
            </w:r>
          </w:p>
        </w:tc>
        <w:tc>
          <w:tcPr>
            <w:tcW w:type="dxa" w:w="1728"/>
            <w:shd w:fill="1B365D"/>
            <w:tcMar>
              <w:top w:w="80" w:type="dxa"/>
              <w:bottom w:w="80" w:type="dxa"/>
              <w:left w:w="100" w:type="dxa"/>
              <w:right w:w="100" w:type="dxa"/>
            </w:tcMar>
          </w:tcPr>
          <w:p>
            <w:r>
              <w:rPr>
                <w:b/>
                <w:color w:val="FFFFFF"/>
              </w:rPr>
              <w:t>Encashable</w:t>
            </w:r>
          </w:p>
        </w:tc>
      </w:tr>
      <w:tr>
        <w:tc>
          <w:tcPr>
            <w:tcW w:type="dxa" w:w="2160"/>
            <w:tcMar>
              <w:top w:w="80" w:type="dxa"/>
              <w:bottom w:w="80" w:type="dxa"/>
              <w:left w:w="100" w:type="dxa"/>
              <w:right w:w="100" w:type="dxa"/>
            </w:tcMar>
          </w:tcPr>
          <w:p>
            <w:r>
              <w:t>Casual Leave (CL)</w:t>
            </w:r>
          </w:p>
        </w:tc>
        <w:tc>
          <w:tcPr>
            <w:tcW w:type="dxa" w:w="1728"/>
            <w:tcMar>
              <w:top w:w="80" w:type="dxa"/>
              <w:bottom w:w="80" w:type="dxa"/>
              <w:left w:w="100" w:type="dxa"/>
              <w:right w:w="100" w:type="dxa"/>
            </w:tcMar>
          </w:tcPr>
          <w:p>
            <w:r>
              <w:t>12 Days</w:t>
            </w:r>
          </w:p>
        </w:tc>
        <w:tc>
          <w:tcPr>
            <w:tcW w:type="dxa" w:w="1728"/>
            <w:tcMar>
              <w:top w:w="80" w:type="dxa"/>
              <w:bottom w:w="80" w:type="dxa"/>
              <w:left w:w="100" w:type="dxa"/>
              <w:right w:w="100" w:type="dxa"/>
            </w:tcMar>
          </w:tcPr>
          <w:p>
            <w:r>
              <w:t>Credited Annually (Jan 1)</w:t>
            </w:r>
          </w:p>
        </w:tc>
        <w:tc>
          <w:tcPr>
            <w:tcW w:type="dxa" w:w="2016"/>
            <w:tcMar>
              <w:top w:w="80" w:type="dxa"/>
              <w:bottom w:w="80" w:type="dxa"/>
              <w:left w:w="100" w:type="dxa"/>
              <w:right w:w="100" w:type="dxa"/>
            </w:tcMar>
          </w:tcPr>
          <w:p>
            <w:r>
              <w:t>0 Days (Lapses Dec 31)</w:t>
            </w:r>
          </w:p>
        </w:tc>
        <w:tc>
          <w:tcPr>
            <w:tcW w:type="dxa" w:w="1728"/>
            <w:tcMar>
              <w:top w:w="80" w:type="dxa"/>
              <w:bottom w:w="80" w:type="dxa"/>
              <w:left w:w="100" w:type="dxa"/>
              <w:right w:w="100" w:type="dxa"/>
            </w:tcMar>
          </w:tcPr>
          <w:p>
            <w:r>
              <w:t>No</w:t>
            </w:r>
          </w:p>
        </w:tc>
      </w:tr>
      <w:tr>
        <w:tc>
          <w:tcPr>
            <w:tcW w:type="dxa" w:w="2160"/>
            <w:shd w:fill="F9FBFD"/>
            <w:tcMar>
              <w:top w:w="80" w:type="dxa"/>
              <w:bottom w:w="80" w:type="dxa"/>
              <w:left w:w="100" w:type="dxa"/>
              <w:right w:w="100" w:type="dxa"/>
            </w:tcMar>
          </w:tcPr>
          <w:p>
            <w:r>
              <w:t>Sick Leave (SL)</w:t>
            </w:r>
          </w:p>
        </w:tc>
        <w:tc>
          <w:tcPr>
            <w:tcW w:type="dxa" w:w="1728"/>
            <w:shd w:fill="F9FBFD"/>
            <w:tcMar>
              <w:top w:w="80" w:type="dxa"/>
              <w:bottom w:w="80" w:type="dxa"/>
              <w:left w:w="100" w:type="dxa"/>
              <w:right w:w="100" w:type="dxa"/>
            </w:tcMar>
          </w:tcPr>
          <w:p>
            <w:r>
              <w:t>10 Days</w:t>
            </w:r>
          </w:p>
        </w:tc>
        <w:tc>
          <w:tcPr>
            <w:tcW w:type="dxa" w:w="1728"/>
            <w:shd w:fill="F9FBFD"/>
            <w:tcMar>
              <w:top w:w="80" w:type="dxa"/>
              <w:bottom w:w="80" w:type="dxa"/>
              <w:left w:w="100" w:type="dxa"/>
              <w:right w:w="100" w:type="dxa"/>
            </w:tcMar>
          </w:tcPr>
          <w:p>
            <w:r>
              <w:t>Credited Annually (Jan 1)</w:t>
            </w:r>
          </w:p>
        </w:tc>
        <w:tc>
          <w:tcPr>
            <w:tcW w:type="dxa" w:w="2016"/>
            <w:shd w:fill="F9FBFD"/>
            <w:tcMar>
              <w:top w:w="80" w:type="dxa"/>
              <w:bottom w:w="80" w:type="dxa"/>
              <w:left w:w="100" w:type="dxa"/>
              <w:right w:w="100" w:type="dxa"/>
            </w:tcMar>
          </w:tcPr>
          <w:p>
            <w:r>
              <w:t>5 Days (Max Accum. 15)</w:t>
            </w:r>
          </w:p>
        </w:tc>
        <w:tc>
          <w:tcPr>
            <w:tcW w:type="dxa" w:w="1728"/>
            <w:shd w:fill="F9FBFD"/>
            <w:tcMar>
              <w:top w:w="80" w:type="dxa"/>
              <w:bottom w:w="80" w:type="dxa"/>
              <w:left w:w="100" w:type="dxa"/>
              <w:right w:w="100" w:type="dxa"/>
            </w:tcMar>
          </w:tcPr>
          <w:p>
            <w:r>
              <w:t>No</w:t>
            </w:r>
          </w:p>
        </w:tc>
      </w:tr>
      <w:tr>
        <w:tc>
          <w:tcPr>
            <w:tcW w:type="dxa" w:w="2160"/>
            <w:tcMar>
              <w:top w:w="80" w:type="dxa"/>
              <w:bottom w:w="80" w:type="dxa"/>
              <w:left w:w="100" w:type="dxa"/>
              <w:right w:w="100" w:type="dxa"/>
            </w:tcMar>
          </w:tcPr>
          <w:p>
            <w:r>
              <w:t>Earned Leave (EL)</w:t>
            </w:r>
          </w:p>
        </w:tc>
        <w:tc>
          <w:tcPr>
            <w:tcW w:type="dxa" w:w="1728"/>
            <w:tcMar>
              <w:top w:w="80" w:type="dxa"/>
              <w:bottom w:w="80" w:type="dxa"/>
              <w:left w:w="100" w:type="dxa"/>
              <w:right w:w="100" w:type="dxa"/>
            </w:tcMar>
          </w:tcPr>
          <w:p>
            <w:r>
              <w:t>18 Days</w:t>
            </w:r>
          </w:p>
        </w:tc>
        <w:tc>
          <w:tcPr>
            <w:tcW w:type="dxa" w:w="1728"/>
            <w:tcMar>
              <w:top w:w="80" w:type="dxa"/>
              <w:bottom w:w="80" w:type="dxa"/>
              <w:left w:w="100" w:type="dxa"/>
              <w:right w:w="100" w:type="dxa"/>
            </w:tcMar>
          </w:tcPr>
          <w:p>
            <w:r>
              <w:t>Monthly (1.5 days/mo)</w:t>
            </w:r>
          </w:p>
        </w:tc>
        <w:tc>
          <w:tcPr>
            <w:tcW w:type="dxa" w:w="2016"/>
            <w:tcMar>
              <w:top w:w="80" w:type="dxa"/>
              <w:bottom w:w="80" w:type="dxa"/>
              <w:left w:w="100" w:type="dxa"/>
              <w:right w:w="100" w:type="dxa"/>
            </w:tcMar>
          </w:tcPr>
          <w:p>
            <w:r>
              <w:t>30 Days (Max Accum. 45)</w:t>
            </w:r>
          </w:p>
        </w:tc>
        <w:tc>
          <w:tcPr>
            <w:tcW w:type="dxa" w:w="1728"/>
            <w:tcMar>
              <w:top w:w="80" w:type="dxa"/>
              <w:bottom w:w="80" w:type="dxa"/>
              <w:left w:w="100" w:type="dxa"/>
              <w:right w:w="100" w:type="dxa"/>
            </w:tcMar>
          </w:tcPr>
          <w:p>
            <w:r>
              <w:t>Yes (Year-end &amp; Separation)</w:t>
            </w:r>
          </w:p>
        </w:tc>
      </w:tr>
    </w:tbl>
    <w:p>
      <w:pPr>
        <w:spacing w:after="200"/>
      </w:pPr>
    </w:p>
    <w:p>
      <w:pPr>
        <w:pStyle w:val="Heading2"/>
        <w:keepNext/>
        <w:spacing w:before="280" w:after="80"/>
      </w:pPr>
      <w:r>
        <w:rPr>
          <w:rFonts w:ascii="Arial" w:hAnsi="Arial"/>
          <w:b/>
          <w:color w:val="4A777A"/>
          <w:sz w:val="26"/>
        </w:rPr>
        <w:t>3.2 Casual Leave (CL)</w:t>
      </w:r>
    </w:p>
    <w:p>
      <w:pPr>
        <w:spacing w:line="276" w:lineRule="auto"/>
      </w:pPr>
      <w:r>
        <w:t>Casual Leave is provided to enable employees to attend to urgent personal matters, unforeseen circumstances, or brief personal obligations.</w:t>
      </w:r>
    </w:p>
    <w:p>
      <w:pPr>
        <w:pStyle w:val="ListBullet"/>
      </w:pPr>
      <w:r>
        <w:rPr>
          <w:b/>
        </w:rPr>
        <w:t xml:space="preserve">Quantum: </w:t>
      </w:r>
      <w:r>
        <w:t>12 working days per calendar year (credited upfront on January 1). For joiners mid-year, CL is prorated at 1 day per completed month.</w:t>
      </w:r>
    </w:p>
    <w:p>
      <w:pPr>
        <w:pStyle w:val="ListBullet"/>
      </w:pPr>
      <w:r>
        <w:rPr>
          <w:b/>
        </w:rPr>
        <w:t xml:space="preserve">Notice &amp; Approval: </w:t>
      </w:r>
      <w:r>
        <w:t>Requires minimum 24 hours prior written approval from the Reporting Manager, except in sudden emergencies.</w:t>
      </w:r>
    </w:p>
    <w:p>
      <w:pPr>
        <w:pStyle w:val="ListBullet"/>
      </w:pPr>
      <w:r>
        <w:rPr>
          <w:b/>
        </w:rPr>
        <w:t xml:space="preserve">Restrictions: </w:t>
      </w:r>
      <w:r>
        <w:t>Cannot be combined with Earned Leave (EL). Maximum continuous CL permissible at one time is 3 consecutive days.</w:t>
      </w:r>
    </w:p>
    <w:p>
      <w:pPr>
        <w:pStyle w:val="Heading2"/>
        <w:keepNext/>
        <w:spacing w:before="280" w:after="80"/>
      </w:pPr>
      <w:r>
        <w:rPr>
          <w:rFonts w:ascii="Arial" w:hAnsi="Arial"/>
          <w:b/>
          <w:color w:val="4A777A"/>
          <w:sz w:val="26"/>
        </w:rPr>
        <w:t>3.3 Sick Leave (SL)</w:t>
      </w:r>
    </w:p>
    <w:p>
      <w:pPr>
        <w:spacing w:line="276" w:lineRule="auto"/>
      </w:pPr>
      <w:r>
        <w:t>Sick Leave is designated for employee recovery from illness, injury, or medical procedures, as well as attending health emergencies.</w:t>
      </w:r>
    </w:p>
    <w:p>
      <w:pPr>
        <w:pStyle w:val="ListBullet"/>
      </w:pPr>
      <w:r>
        <w:rPr>
          <w:b/>
        </w:rPr>
        <w:t xml:space="preserve">Quantum: </w:t>
      </w:r>
      <w:r>
        <w:t>10 working days per calendar year (credited upfront on January 1). Mid-year joiners receive prorated entitlement.</w:t>
      </w:r>
    </w:p>
    <w:p>
      <w:pPr>
        <w:pStyle w:val="ListBullet"/>
      </w:pPr>
      <w:r>
        <w:rPr>
          <w:b/>
        </w:rPr>
        <w:t xml:space="preserve">Medical Certification: </w:t>
      </w:r>
      <w:r>
        <w:t>For any Sick Leave extending beyond 2 continuous days, a medical certificate signed by a registered medical practitioner is mandatory upon return to work.</w:t>
      </w:r>
    </w:p>
    <w:p>
      <w:pPr>
        <w:pStyle w:val="ListBullet"/>
      </w:pPr>
      <w:r>
        <w:rPr>
          <w:b/>
        </w:rPr>
        <w:t xml:space="preserve">Notification: </w:t>
      </w:r>
      <w:r>
        <w:t>Employees must inform their Reporting Manager via email or phone prior to 09:30 AM on the day of absence.</w:t>
      </w:r>
    </w:p>
    <w:p>
      <w:pPr>
        <w:pStyle w:val="Heading2"/>
        <w:keepNext/>
        <w:spacing w:before="280" w:after="80"/>
      </w:pPr>
      <w:r>
        <w:rPr>
          <w:rFonts w:ascii="Arial" w:hAnsi="Arial"/>
          <w:b/>
          <w:color w:val="4A777A"/>
          <w:sz w:val="26"/>
        </w:rPr>
        <w:t>3.4 Earned Leave / Privilege Leave (EL)</w:t>
      </w:r>
    </w:p>
    <w:p>
      <w:pPr>
        <w:spacing w:line="276" w:lineRule="auto"/>
      </w:pPr>
      <w:r>
        <w:t>Earned Leave (also known as Annual Leave or Privilege Leave) is intended for planned extended vacations, personal rest, or major family commitments.</w:t>
      </w:r>
    </w:p>
    <w:p>
      <w:pPr>
        <w:pStyle w:val="ListBullet"/>
      </w:pPr>
      <w:r>
        <w:rPr>
          <w:b/>
        </w:rPr>
        <w:t xml:space="preserve">Quantum &amp; Accrual: </w:t>
      </w:r>
      <w:r>
        <w:t>18 working days per year, accrued at the rate of 1.5 days for every completed month of active service.</w:t>
      </w:r>
    </w:p>
    <w:p>
      <w:pPr>
        <w:pStyle w:val="ListBullet"/>
      </w:pPr>
      <w:r>
        <w:rPr>
          <w:b/>
        </w:rPr>
        <w:t xml:space="preserve">Advance Notice: </w:t>
      </w:r>
      <w:r>
        <w:t>Must be planned and applied for at least 14 days in advance via the HR Portal. Approval is subject to operational requirements.</w:t>
      </w:r>
    </w:p>
    <w:p>
      <w:pPr>
        <w:pStyle w:val="ListBullet"/>
      </w:pPr>
      <w:r>
        <w:rPr>
          <w:b/>
        </w:rPr>
        <w:t xml:space="preserve">Minimum Application: </w:t>
      </w:r>
      <w:r>
        <w:t>Earned Leave must be applied for a minimum duration of 3 consecutive days.</w:t>
      </w:r>
    </w:p>
    <w:p>
      <w:pPr>
        <w:pStyle w:val="Heading1"/>
        <w:keepNext/>
        <w:spacing w:before="360" w:after="120"/>
      </w:pPr>
      <w:r>
        <w:rPr>
          <w:rFonts w:ascii="Arial" w:hAnsi="Arial"/>
          <w:b/>
          <w:color w:val="1B365D"/>
          <w:sz w:val="32"/>
        </w:rPr>
        <w:t>4. Carry-Forward Rules &amp; Advance Leave Policy</w:t>
      </w:r>
    </w:p>
    <w:p>
      <w:pPr>
        <w:pStyle w:val="Heading2"/>
        <w:keepNext/>
        <w:spacing w:before="280" w:after="80"/>
      </w:pPr>
      <w:r>
        <w:rPr>
          <w:rFonts w:ascii="Arial" w:hAnsi="Arial"/>
          <w:b/>
          <w:color w:val="4A777A"/>
          <w:sz w:val="26"/>
        </w:rPr>
        <w:t>4.1 Year-End Carry-Forward Scope</w:t>
      </w:r>
    </w:p>
    <w:p>
      <w:pPr>
        <w:spacing w:line="276" w:lineRule="auto"/>
      </w:pPr>
      <w:r>
        <w:t>At the end of each calendar year (December 31), unused leave balances are processed strictly according to the following provisions:</w:t>
      </w:r>
    </w:p>
    <w:p>
      <w:pPr>
        <w:pStyle w:val="ListBullet"/>
      </w:pPr>
      <w:r>
        <w:rPr>
          <w:b/>
        </w:rPr>
        <w:t xml:space="preserve">Casual Leave (CL): </w:t>
      </w:r>
      <w:r>
        <w:t>CL has ZERO carry-forward capacity. Any unutilized Casual Leave as of December 31 shall automatically lapse. No compensation or encashment is provided.</w:t>
      </w:r>
    </w:p>
    <w:p>
      <w:pPr>
        <w:pStyle w:val="ListBullet"/>
      </w:pPr>
      <w:r>
        <w:rPr>
          <w:b/>
        </w:rPr>
        <w:t xml:space="preserve">Sick Leave (SL): </w:t>
      </w:r>
      <w:r>
        <w:t>A maximum of 5 unused SL days can be carried forward into the next calendar year. The cumulative ceiling for accumulated Sick Leave is capped at 15 days. Any excess beyond 15 days lapses automatically.</w:t>
      </w:r>
    </w:p>
    <w:p>
      <w:pPr>
        <w:pStyle w:val="ListBullet"/>
      </w:pPr>
      <w:r>
        <w:rPr>
          <w:b/>
        </w:rPr>
        <w:t xml:space="preserve">Earned Leave (EL): </w:t>
      </w:r>
      <w:r>
        <w:t>A maximum of 30 unused EL days can be carried forward into the next calendar year. The total maximum accumulation cap for EL is 45 days. Any accrued days exceeding 45 days must either be encashed (if eligible) or will lapse.</w:t>
      </w:r>
    </w:p>
    <w:p>
      <w:pPr>
        <w:pStyle w:val="Heading2"/>
        <w:keepNext/>
        <w:spacing w:before="280" w:after="80"/>
      </w:pPr>
      <w:r>
        <w:rPr>
          <w:rFonts w:ascii="Arial" w:hAnsi="Arial"/>
          <w:b/>
          <w:color w:val="4A777A"/>
          <w:sz w:val="26"/>
        </w:rPr>
        <w:t>4.2 Advance Leave Policy</w:t>
      </w:r>
    </w:p>
    <w:p>
      <w:pPr>
        <w:spacing w:line="276" w:lineRule="auto"/>
      </w:pPr>
      <w:r>
        <w:t>Under exceptional circumstances where an employee has exhausted all accrued leave balances, the company may permit drawing leave in advance.</w:t>
      </w:r>
    </w:p>
    <w:p>
      <w:pPr>
        <w:pStyle w:val="ListBullet"/>
      </w:pPr>
      <w:r>
        <w:rPr>
          <w:b/>
        </w:rPr>
        <w:t xml:space="preserve">Eligibility &amp; Limits: </w:t>
      </w:r>
      <w:r>
        <w:t>Advance leave is restricted strictly to Earned Leave (EL). Employees with more than 1 year of continuous service may request an advance of up to a maximum of 5 EL days.</w:t>
      </w:r>
    </w:p>
    <w:p>
      <w:pPr>
        <w:pStyle w:val="ListBullet"/>
      </w:pPr>
      <w:r>
        <w:rPr>
          <w:b/>
        </w:rPr>
        <w:t xml:space="preserve">Approval Workflow: </w:t>
      </w:r>
      <w:r>
        <w:t>Advance leave requires dual approval: written consent from the Department Head (HOD) and formal authorization from HR Leadership.</w:t>
      </w:r>
    </w:p>
    <w:p>
      <w:pPr>
        <w:pStyle w:val="ListBullet"/>
      </w:pPr>
      <w:r>
        <w:rPr>
          <w:b/>
        </w:rPr>
        <w:t xml:space="preserve">Adjustment Mechanism: </w:t>
      </w:r>
      <w:r>
        <w:t>Advanced EL days are automatically debited against future monthly accruals until the negative balance is fully offset.</w:t>
      </w:r>
    </w:p>
    <w:p>
      <w:pPr>
        <w:pStyle w:val="ListBullet"/>
      </w:pPr>
      <w:r>
        <w:rPr>
          <w:b/>
        </w:rPr>
        <w:t xml:space="preserve">Separation Recovery: </w:t>
      </w:r>
      <w:r>
        <w:t>If an employee resigns or is terminated before fulfilling the negative leave balance, the exact monetary value of the unadjusted advance leave will be deducted from their Final Settlement (Full &amp; Final).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40" w:line="276" w:lineRule="auto"/>
            </w:pPr>
            <w:r>
              <w:rPr>
                <w:b/>
                <w:color w:val="1B365D"/>
              </w:rPr>
              <w:t xml:space="preserve">CRITICAL COMPLIANCE NOTE: </w:t>
            </w:r>
            <w:r>
              <w:rPr>
                <w:color w:val="333333"/>
              </w:rPr>
              <w:t>Advance Leave is granted strictly at management discretion during verified family or medical emergencies. It cannot be claimed as an automatic entitlement.</w:t>
            </w:r>
          </w:p>
        </w:tc>
      </w:tr>
    </w:tbl>
    <w:p>
      <w:pPr>
        <w:spacing w:after="80"/>
      </w:pPr>
    </w:p>
    <w:p>
      <w:pPr>
        <w:pStyle w:val="Heading1"/>
        <w:keepNext/>
        <w:spacing w:before="360" w:after="120"/>
      </w:pPr>
      <w:r>
        <w:rPr>
          <w:rFonts w:ascii="Arial" w:hAnsi="Arial"/>
          <w:b/>
          <w:color w:val="1B365D"/>
          <w:sz w:val="32"/>
        </w:rPr>
        <w:t>5. Leave Encashment Policy &amp; Calculation Models</w:t>
      </w:r>
    </w:p>
    <w:p>
      <w:pPr>
        <w:spacing w:line="276" w:lineRule="auto"/>
      </w:pPr>
      <w:r>
        <w:t>Leave encashment allows eligible employees to convert unutilized Earned Leave into monetary remuneration. Casual Leave and Sick Leave are strictly non-encashable under any circumstances.</w:t>
      </w:r>
    </w:p>
    <w:p>
      <w:pPr>
        <w:pStyle w:val="Heading2"/>
        <w:keepNext/>
        <w:spacing w:before="280" w:after="80"/>
      </w:pPr>
      <w:r>
        <w:rPr>
          <w:rFonts w:ascii="Arial" w:hAnsi="Arial"/>
          <w:b/>
          <w:color w:val="4A777A"/>
          <w:sz w:val="26"/>
        </w:rPr>
        <w:t>5.1 Standard Formulas for Encashment</w:t>
      </w:r>
    </w:p>
    <w:p>
      <w:pPr>
        <w:spacing w:line="276" w:lineRule="auto"/>
      </w:pPr>
      <w:r>
        <w:t>For all encashment computations, the daily rate is derived using the Gross Basic Salary of the employee: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jc w:val="center"/>
            </w:pPr>
            <w:r>
              <w:rPr>
                <w:b/>
                <w:color w:val="1B365D"/>
                <w:sz w:val="22"/>
              </w:rPr>
              <w:t>Daily Basic Salary Rate = Monthly Basic Salary / 26 Days</w:t>
            </w:r>
          </w:p>
        </w:tc>
      </w:tr>
      <w:tr>
        <w:tc>
          <w:tcPr>
            <w:tcW w:type="dxa" w:w="9360"/>
            <w:shd w:fill="F0F4F8"/>
            <w:tcMar>
              <w:top w:w="120" w:type="dxa"/>
              <w:bottom w:w="120" w:type="dxa"/>
              <w:left w:w="150" w:type="dxa"/>
              <w:right w:w="150" w:type="dxa"/>
            </w:tcMar>
          </w:tcPr>
          <w:p>
            <w:pPr>
              <w:jc w:val="center"/>
            </w:pPr>
            <w:r>
              <w:rPr>
                <w:b/>
                <w:color w:val="1B365D"/>
                <w:sz w:val="22"/>
              </w:rPr>
              <w:t>Gross Encashment Amount = Daily Basic Salary Rate × Number of Encashable EL Days</w:t>
            </w:r>
          </w:p>
        </w:tc>
      </w:tr>
    </w:tbl>
    <w:p>
      <w:pPr>
        <w:spacing w:after="160"/>
      </w:pPr>
    </w:p>
    <w:p>
      <w:pPr>
        <w:pStyle w:val="Heading2"/>
        <w:keepNext/>
        <w:spacing w:before="280" w:after="80"/>
      </w:pPr>
      <w:r>
        <w:rPr>
          <w:rFonts w:ascii="Arial" w:hAnsi="Arial"/>
          <w:b/>
          <w:color w:val="4A777A"/>
          <w:sz w:val="26"/>
        </w:rPr>
        <w:t>5.2 Year-End Encashment Rules</w:t>
      </w:r>
    </w:p>
    <w:p>
      <w:pPr>
        <w:spacing w:line="276" w:lineRule="auto"/>
      </w:pPr>
      <w:r>
        <w:t>At the end of the calendar year, if an employee's accrued Earned Leave exceeds 30 days, they may option to encash a portion of the excess days, subject to maintaining a mandatory minimum post-encashment balance of 15 EL days.</w:t>
      </w:r>
    </w:p>
    <w:p>
      <w:pPr>
        <w:pStyle w:val="ListBullet"/>
      </w:pPr>
      <w:r>
        <w:rPr>
          <w:b/>
        </w:rPr>
        <w:t xml:space="preserve">Maximum Annual Encashment Cap: </w:t>
      </w:r>
      <w:r>
        <w:t>Up to 10 EL days per calendar year.</w:t>
      </w:r>
    </w:p>
    <w:p>
      <w:pPr>
        <w:pStyle w:val="Heading2"/>
        <w:keepNext/>
        <w:spacing w:before="280" w:after="80"/>
      </w:pPr>
      <w:r>
        <w:rPr>
          <w:rFonts w:ascii="Arial" w:hAnsi="Arial"/>
          <w:b/>
          <w:color w:val="4A777A"/>
          <w:sz w:val="26"/>
        </w:rPr>
        <w:t>5.3 Separation / Resignation Encashment Rules</w:t>
      </w:r>
    </w:p>
    <w:p>
      <w:pPr>
        <w:spacing w:line="276" w:lineRule="auto"/>
      </w:pPr>
      <w:r>
        <w:t>Upon resignation, retirement, or termination (other than termination due to gross misconduct), an employee is entitled to full encashment of their total accumulated Earned Leave balance up to a maximum cap of 45 days.</w:t>
      </w:r>
    </w:p>
    <w:p>
      <w:pPr>
        <w:pStyle w:val="ListBullet"/>
      </w:pPr>
      <w:r>
        <w:rPr>
          <w:b/>
        </w:rPr>
        <w:t xml:space="preserve">Notice Period Interaction: </w:t>
      </w:r>
      <w:r>
        <w:t>Employees cannot offset notice period requirements using Earned Leave unless specifically approved in writing by HR Leadership.</w:t>
      </w:r>
    </w:p>
    <w:p>
      <w:pPr>
        <w:pStyle w:val="Heading2"/>
        <w:keepNext/>
        <w:spacing w:before="280" w:after="80"/>
      </w:pPr>
      <w:r>
        <w:rPr>
          <w:rFonts w:ascii="Arial" w:hAnsi="Arial"/>
          <w:b/>
          <w:color w:val="4A777A"/>
          <w:sz w:val="26"/>
        </w:rPr>
        <w:t>5.4 Practical Worked Calculation Examples</w:t>
      </w:r>
    </w:p>
    <w:p>
      <w:pPr>
        <w:pStyle w:val="Heading3"/>
        <w:keepNext/>
        <w:spacing w:before="200" w:after="40"/>
      </w:pPr>
      <w:r>
        <w:rPr>
          <w:rFonts w:ascii="Arial" w:hAnsi="Arial"/>
          <w:b/>
          <w:color w:val="333333"/>
          <w:sz w:val="22"/>
        </w:rPr>
        <w:t>Example 1: Year-End Voluntary Encashment Calculation</w:t>
      </w:r>
    </w:p>
    <w:p>
      <w:pPr>
        <w:spacing w:line="276" w:lineRule="auto"/>
      </w:pPr>
      <w:r>
        <w:rPr>
          <w:b/>
        </w:rPr>
        <w:t>Scenario Parameters:</w:t>
        <w:br/>
      </w:r>
      <w:r>
        <w:rPr>
          <w:color w:val="333333"/>
        </w:rPr>
        <w:t xml:space="preserve">• Employee Monthly Basic Salary: </w:t>
      </w:r>
      <w:r>
        <w:t>$5,200 / month</w:t>
        <w:br/>
      </w:r>
      <w:r>
        <w:rPr>
          <w:color w:val="333333"/>
        </w:rPr>
        <w:t xml:space="preserve">• Accumulation as of Dec 31: </w:t>
      </w:r>
      <w:r>
        <w:t>28 days EL</w:t>
        <w:br/>
      </w:r>
      <w:r>
        <w:rPr>
          <w:color w:val="333333"/>
        </w:rPr>
        <w:t xml:space="preserve">• Permissible Carry-Forward: </w:t>
      </w:r>
      <w:r>
        <w:t>20 days into next year</w:t>
        <w:br/>
      </w:r>
      <w:r>
        <w:rPr>
          <w:color w:val="333333"/>
        </w:rPr>
        <w:t xml:space="preserve">• Days Requested for Encashment: </w:t>
      </w:r>
      <w:r>
        <w:t>8 days EL</w:t>
        <w:br/>
        <w:br/>
      </w:r>
      <w:r>
        <w:rPr>
          <w:b/>
        </w:rPr>
        <w:t>Step-by-Step Mathematical Calculation:</w:t>
        <w:br/>
      </w:r>
      <w:r>
        <w:t>1. Daily Basic Rate = $5,200 / 26 = $200.00 per day</w:t>
        <w:br/>
      </w:r>
      <w:r>
        <w:t>2. Post-encashment balance check = 28 - 8 = 20 days (Complies with minimum &gt;15 days rule)</w:t>
        <w:br/>
      </w:r>
      <w:r>
        <w:rPr>
          <w:color w:val="333333"/>
        </w:rPr>
        <w:t xml:space="preserve">3. Encashment Amount Payable = 8 days × $200.00 = </w:t>
      </w:r>
      <w:r>
        <w:rPr>
          <w:b/>
        </w:rPr>
        <w:t>$1,600.00 (Gross payout in January payroll)</w:t>
        <w:br/>
      </w:r>
    </w:p>
    <w:p>
      <w:pPr>
        <w:pStyle w:val="Heading3"/>
        <w:keepNext/>
        <w:spacing w:before="200" w:after="40"/>
      </w:pPr>
      <w:r>
        <w:rPr>
          <w:rFonts w:ascii="Arial" w:hAnsi="Arial"/>
          <w:b/>
          <w:color w:val="333333"/>
          <w:sz w:val="22"/>
        </w:rPr>
        <w:t>Example 2: Resignation Final Settlement Encashment</w:t>
      </w:r>
    </w:p>
    <w:p>
      <w:pPr>
        <w:spacing w:line="276" w:lineRule="auto"/>
      </w:pPr>
      <w:r>
        <w:rPr>
          <w:b/>
        </w:rPr>
        <w:t>Scenario Parameters:</w:t>
        <w:br/>
      </w:r>
      <w:r>
        <w:rPr>
          <w:color w:val="333333"/>
        </w:rPr>
        <w:t xml:space="preserve">• Resigning Employee Monthly Basic Salary: </w:t>
      </w:r>
      <w:r>
        <w:t>$6,500 / month</w:t>
        <w:br/>
      </w:r>
      <w:r>
        <w:rPr>
          <w:color w:val="333333"/>
        </w:rPr>
        <w:t xml:space="preserve">• Accumulated Earned Leave at Last Working Day: </w:t>
      </w:r>
      <w:r>
        <w:t>32 days</w:t>
        <w:br/>
      </w:r>
      <w:r>
        <w:rPr>
          <w:color w:val="333333"/>
        </w:rPr>
        <w:t xml:space="preserve">• Unadjusted Advance Leave Outstanding: </w:t>
      </w:r>
      <w:r>
        <w:t>0 days</w:t>
        <w:br/>
        <w:br/>
      </w:r>
      <w:r>
        <w:rPr>
          <w:b/>
        </w:rPr>
        <w:t>Step-by-Step Mathematical Calculation:</w:t>
        <w:br/>
      </w:r>
      <w:r>
        <w:t>1. Daily Basic Rate = $6,500 / 26 = $250.00 per day</w:t>
        <w:br/>
      </w:r>
      <w:r>
        <w:t>2. Encashable Days = 32 days (Fully within the max separation cap of 45 days)</w:t>
        <w:br/>
      </w:r>
      <w:r>
        <w:rPr>
          <w:color w:val="333333"/>
        </w:rPr>
        <w:t xml:space="preserve">3. Gross Separation Leave Encashment = 32 days × $250.00 = </w:t>
      </w:r>
      <w:r>
        <w:rPr>
          <w:b/>
        </w:rPr>
        <w:t>$8,000.00 (Included in Full &amp; Final Settlement)</w:t>
        <w:br/>
      </w:r>
    </w:p>
    <w:p>
      <w:pPr>
        <w:pStyle w:val="Heading3"/>
        <w:keepNext/>
        <w:spacing w:before="200" w:after="40"/>
      </w:pPr>
      <w:r>
        <w:rPr>
          <w:rFonts w:ascii="Arial" w:hAnsi="Arial"/>
          <w:b/>
          <w:color w:val="333333"/>
          <w:sz w:val="22"/>
        </w:rPr>
        <w:t>Example 3: Resignation with Advance Leave Negative Balance Recovery</w:t>
      </w:r>
    </w:p>
    <w:p>
      <w:pPr>
        <w:spacing w:line="276" w:lineRule="auto"/>
      </w:pPr>
      <w:r>
        <w:rPr>
          <w:b/>
        </w:rPr>
        <w:t>Scenario Parameters:</w:t>
        <w:br/>
      </w:r>
      <w:r>
        <w:rPr>
          <w:color w:val="333333"/>
        </w:rPr>
        <w:t xml:space="preserve">• Resigning Employee Monthly Basic Salary: </w:t>
      </w:r>
      <w:r>
        <w:t>$3,900 / month</w:t>
        <w:br/>
      </w:r>
      <w:r>
        <w:rPr>
          <w:color w:val="333333"/>
        </w:rPr>
        <w:t xml:space="preserve">• Earned Leave Accrual Balance: </w:t>
      </w:r>
      <w:r>
        <w:t>0 days</w:t>
        <w:br/>
      </w:r>
      <w:r>
        <w:rPr>
          <w:color w:val="333333"/>
        </w:rPr>
        <w:t xml:space="preserve">• Unadjusted Advance Leave Outstanding: </w:t>
      </w:r>
      <w:r>
        <w:t>3 days negative balance</w:t>
        <w:br/>
        <w:br/>
      </w:r>
      <w:r>
        <w:rPr>
          <w:b/>
        </w:rPr>
        <w:t>Step-by-Step Mathematical Calculation:</w:t>
        <w:br/>
      </w:r>
      <w:r>
        <w:t>1. Daily Basic Rate = $3,900 / 26 = $150.00 per day</w:t>
        <w:br/>
      </w:r>
      <w:r>
        <w:t>2. Recovery Amount Outstanding = 3 advance days × $150.00 = $450.00</w:t>
        <w:br/>
      </w:r>
      <w:r>
        <w:rPr>
          <w:color w:val="333333"/>
        </w:rPr>
        <w:t xml:space="preserve">3. Final Settlement Impact = </w:t>
      </w:r>
      <w:r>
        <w:rPr>
          <w:b/>
        </w:rPr>
        <w:t>Deduction of $450.00 from final paycheck</w:t>
        <w:br/>
      </w:r>
    </w:p>
    <w:p>
      <w:pPr>
        <w:pStyle w:val="Heading1"/>
        <w:keepNext/>
        <w:spacing w:before="360" w:after="120"/>
      </w:pPr>
      <w:r>
        <w:rPr>
          <w:rFonts w:ascii="Arial" w:hAnsi="Arial"/>
          <w:b/>
          <w:color w:val="1B365D"/>
          <w:sz w:val="32"/>
        </w:rPr>
        <w:t>6. Policy Approval &amp; Governance</w:t>
      </w:r>
    </w:p>
    <w:p>
      <w:pPr>
        <w:spacing w:after="320"/>
      </w:pPr>
      <w:r>
        <w:t>This HR Leave Policy has been reviewed and authorized by Executive Management. Any exceptions to this policy must be submitted in writing and approved directly by the CHRO.</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100" w:type="dxa"/>
              <w:bottom w:w="100" w:type="dxa"/>
              <w:left w:w="100" w:type="dxa"/>
              <w:right w:w="100" w:type="dxa"/>
            </w:tcMar>
          </w:tcPr>
          <w:p>
            <w:r>
              <w:rPr>
                <w:b/>
                <w:color w:val="FFFFFF"/>
              </w:rPr>
              <w:t>Role</w:t>
            </w:r>
          </w:p>
        </w:tc>
        <w:tc>
          <w:tcPr>
            <w:tcW w:type="dxa" w:w="3168"/>
            <w:shd w:fill="1B365D"/>
            <w:tcMar>
              <w:top w:w="100" w:type="dxa"/>
              <w:bottom w:w="100" w:type="dxa"/>
              <w:left w:w="100" w:type="dxa"/>
              <w:right w:w="100" w:type="dxa"/>
            </w:tcMar>
          </w:tcPr>
          <w:p>
            <w:r>
              <w:rPr>
                <w:b/>
                <w:color w:val="FFFFFF"/>
              </w:rPr>
              <w:t>Name &amp; Title</w:t>
            </w:r>
          </w:p>
        </w:tc>
        <w:tc>
          <w:tcPr>
            <w:tcW w:type="dxa" w:w="3312"/>
            <w:shd w:fill="1B365D"/>
            <w:tcMar>
              <w:top w:w="100" w:type="dxa"/>
              <w:bottom w:w="100" w:type="dxa"/>
              <w:left w:w="100" w:type="dxa"/>
              <w:right w:w="100" w:type="dxa"/>
            </w:tcMar>
          </w:tcPr>
          <w:p>
            <w:r>
              <w:rPr>
                <w:b/>
                <w:color w:val="FFFFFF"/>
              </w:rPr>
              <w:t>Signature &amp; Date</w:t>
            </w:r>
          </w:p>
        </w:tc>
      </w:tr>
      <w:tr>
        <w:tc>
          <w:tcPr>
            <w:tcW w:type="dxa" w:w="2880"/>
            <w:tcMar>
              <w:top w:w="100" w:type="dxa"/>
              <w:bottom w:w="100" w:type="dxa"/>
              <w:left w:w="100" w:type="dxa"/>
              <w:right w:w="100" w:type="dxa"/>
            </w:tcMar>
          </w:tcPr>
          <w:p>
            <w:r>
              <w:t>Policy Owner</w:t>
            </w:r>
          </w:p>
        </w:tc>
        <w:tc>
          <w:tcPr>
            <w:tcW w:type="dxa" w:w="3168"/>
            <w:tcMar>
              <w:top w:w="100" w:type="dxa"/>
              <w:bottom w:w="100" w:type="dxa"/>
              <w:left w:w="100" w:type="dxa"/>
              <w:right w:w="100" w:type="dxa"/>
            </w:tcMar>
          </w:tcPr>
          <w:p>
            <w:r>
              <w:t>Arthur Sharma</w:t>
              <w:br/>
              <w:t>Lead HR Generalist</w:t>
            </w:r>
          </w:p>
        </w:tc>
        <w:tc>
          <w:tcPr>
            <w:tcW w:type="dxa" w:w="3312"/>
            <w:tcMar>
              <w:top w:w="100" w:type="dxa"/>
              <w:bottom w:w="100" w:type="dxa"/>
              <w:left w:w="100" w:type="dxa"/>
              <w:right w:w="100" w:type="dxa"/>
            </w:tcMar>
          </w:tcPr>
          <w:p>
            <w:r>
              <w:t>Signed electronically</w:t>
              <w:br/>
              <w:t>Jan 01, 2026</w:t>
            </w:r>
          </w:p>
        </w:tc>
      </w:tr>
      <w:tr>
        <w:tc>
          <w:tcPr>
            <w:tcW w:type="dxa" w:w="2880"/>
            <w:shd w:fill="F9FBFD"/>
            <w:tcMar>
              <w:top w:w="100" w:type="dxa"/>
              <w:bottom w:w="100" w:type="dxa"/>
              <w:left w:w="100" w:type="dxa"/>
              <w:right w:w="100" w:type="dxa"/>
            </w:tcMar>
          </w:tcPr>
          <w:p>
            <w:r>
              <w:t>Executive Approver</w:t>
            </w:r>
          </w:p>
        </w:tc>
        <w:tc>
          <w:tcPr>
            <w:tcW w:type="dxa" w:w="3168"/>
            <w:shd w:fill="F9FBFD"/>
            <w:tcMar>
              <w:top w:w="100" w:type="dxa"/>
              <w:bottom w:w="100" w:type="dxa"/>
              <w:left w:w="100" w:type="dxa"/>
              <w:right w:w="100" w:type="dxa"/>
            </w:tcMar>
          </w:tcPr>
          <w:p>
            <w:r>
              <w:t>Eleanor Stone</w:t>
              <w:br/>
              <w:t>Chief Human Resources Officer</w:t>
            </w:r>
          </w:p>
        </w:tc>
        <w:tc>
          <w:tcPr>
            <w:tcW w:type="dxa" w:w="3312"/>
            <w:shd w:fill="F9FBFD"/>
            <w:tcMar>
              <w:top w:w="100" w:type="dxa"/>
              <w:bottom w:w="100" w:type="dxa"/>
              <w:left w:w="100" w:type="dxa"/>
              <w:right w:w="100" w:type="dxa"/>
            </w:tcMar>
          </w:tcPr>
          <w:p>
            <w:r>
              <w:t>Signed electronically</w:t>
              <w:br/>
              <w:t>Jan 02,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