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3ECF" w14:textId="77777777" w:rsidR="00B406DE" w:rsidRPr="00F94A0B" w:rsidRDefault="0017084C">
      <w:pPr>
        <w:pStyle w:val="Heading1"/>
        <w:ind w:left="-5"/>
        <w:rPr>
          <w:sz w:val="52"/>
          <w:szCs w:val="52"/>
        </w:rPr>
      </w:pPr>
      <w:r w:rsidRPr="00F94A0B">
        <w:rPr>
          <w:sz w:val="52"/>
          <w:szCs w:val="52"/>
        </w:rPr>
        <w:t xml:space="preserve">Economic &amp; Environmental Aspects of Biofuels </w:t>
      </w:r>
    </w:p>
    <w:p w14:paraId="0FFD7A3F" w14:textId="77777777" w:rsidR="00B406DE" w:rsidRDefault="00B406DE">
      <w:pPr>
        <w:spacing w:after="52"/>
      </w:pPr>
    </w:p>
    <w:p w14:paraId="0A478B7F" w14:textId="77777777" w:rsidR="00B406DE" w:rsidRPr="00F94A0B" w:rsidRDefault="00F94A0B" w:rsidP="00F94A0B">
      <w:pPr>
        <w:spacing w:after="0"/>
        <w:ind w:left="-5" w:hanging="10"/>
        <w:rPr>
          <w:rFonts w:ascii="Times New Roman" w:eastAsia="Times New Roman" w:hAnsi="Times New Roman" w:cs="Times New Roman"/>
          <w:sz w:val="26"/>
        </w:rPr>
      </w:pPr>
      <w:r>
        <w:rPr>
          <w:rFonts w:ascii="Times New Roman" w:eastAsia="Times New Roman" w:hAnsi="Times New Roman" w:cs="Times New Roman"/>
          <w:sz w:val="26"/>
        </w:rPr>
        <w:t>Ravi N</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Vikas E</w:t>
      </w:r>
    </w:p>
    <w:p w14:paraId="75BF3AFC" w14:textId="77777777" w:rsidR="00B406DE" w:rsidRDefault="00F94A0B">
      <w:pPr>
        <w:tabs>
          <w:tab w:val="center" w:pos="4397"/>
        </w:tabs>
        <w:spacing w:after="4" w:line="250" w:lineRule="auto"/>
        <w:ind w:left="-15"/>
      </w:pPr>
      <w:r>
        <w:rPr>
          <w:rFonts w:ascii="Times New Roman" w:eastAsia="Times New Roman" w:hAnsi="Times New Roman" w:cs="Times New Roman"/>
          <w:sz w:val="19"/>
        </w:rPr>
        <w:t>Dept of</w:t>
      </w:r>
      <w:r w:rsidR="0017084C">
        <w:rPr>
          <w:rFonts w:ascii="Times New Roman" w:eastAsia="Times New Roman" w:hAnsi="Times New Roman" w:cs="Times New Roman"/>
          <w:sz w:val="19"/>
        </w:rPr>
        <w:t xml:space="preserve"> Electrical &amp; electronics    </w:t>
      </w:r>
      <w:r w:rsidR="0017084C">
        <w:rPr>
          <w:rFonts w:ascii="Times New Roman" w:eastAsia="Times New Roman" w:hAnsi="Times New Roman" w:cs="Times New Roman"/>
          <w:sz w:val="19"/>
        </w:rPr>
        <w:tab/>
        <w:t xml:space="preserve">Dept of Electrical and Electronics </w:t>
      </w:r>
    </w:p>
    <w:p w14:paraId="4446CA0F" w14:textId="77777777" w:rsidR="00B406DE" w:rsidRDefault="0017084C">
      <w:pPr>
        <w:spacing w:after="4" w:line="250" w:lineRule="auto"/>
        <w:ind w:left="-5" w:hanging="10"/>
      </w:pPr>
      <w:r>
        <w:rPr>
          <w:rFonts w:ascii="Times New Roman" w:eastAsia="Times New Roman" w:hAnsi="Times New Roman" w:cs="Times New Roman"/>
          <w:sz w:val="19"/>
        </w:rPr>
        <w:t xml:space="preserve">The National Institute </w:t>
      </w:r>
      <w:r w:rsidR="00F94A0B">
        <w:rPr>
          <w:rFonts w:ascii="Times New Roman" w:eastAsia="Times New Roman" w:hAnsi="Times New Roman" w:cs="Times New Roman"/>
          <w:sz w:val="19"/>
        </w:rPr>
        <w:t>of</w:t>
      </w:r>
      <w:r>
        <w:rPr>
          <w:rFonts w:ascii="Times New Roman" w:eastAsia="Times New Roman" w:hAnsi="Times New Roman" w:cs="Times New Roman"/>
          <w:sz w:val="19"/>
        </w:rPr>
        <w:t xml:space="preserve"> Engineering     </w:t>
      </w:r>
      <w:proofErr w:type="gramStart"/>
      <w:r>
        <w:rPr>
          <w:rFonts w:ascii="Times New Roman" w:eastAsia="Times New Roman" w:hAnsi="Times New Roman" w:cs="Times New Roman"/>
          <w:sz w:val="19"/>
        </w:rPr>
        <w:t>The</w:t>
      </w:r>
      <w:proofErr w:type="gramEnd"/>
      <w:r>
        <w:rPr>
          <w:rFonts w:ascii="Times New Roman" w:eastAsia="Times New Roman" w:hAnsi="Times New Roman" w:cs="Times New Roman"/>
          <w:sz w:val="19"/>
        </w:rPr>
        <w:t xml:space="preserve"> National Institute Of</w:t>
      </w:r>
      <w:r w:rsidR="00F94A0B">
        <w:rPr>
          <w:rFonts w:ascii="Times New Roman" w:eastAsia="Times New Roman" w:hAnsi="Times New Roman" w:cs="Times New Roman"/>
          <w:sz w:val="19"/>
        </w:rPr>
        <w:t xml:space="preserve"> </w:t>
      </w:r>
      <w:r>
        <w:rPr>
          <w:rFonts w:ascii="Times New Roman" w:eastAsia="Times New Roman" w:hAnsi="Times New Roman" w:cs="Times New Roman"/>
          <w:sz w:val="19"/>
        </w:rPr>
        <w:t xml:space="preserve">Engineering </w:t>
      </w:r>
    </w:p>
    <w:p w14:paraId="6AC28CAB" w14:textId="77777777" w:rsidR="00F94A0B" w:rsidRDefault="00F94A0B">
      <w:pPr>
        <w:spacing w:after="61" w:line="250" w:lineRule="auto"/>
        <w:ind w:left="-5" w:hanging="10"/>
        <w:rPr>
          <w:rFonts w:ascii="Times New Roman" w:eastAsia="Times New Roman" w:hAnsi="Times New Roman" w:cs="Times New Roman"/>
          <w:sz w:val="19"/>
        </w:rPr>
      </w:pPr>
      <w:r>
        <w:rPr>
          <w:rFonts w:ascii="Times New Roman" w:eastAsia="Times New Roman" w:hAnsi="Times New Roman" w:cs="Times New Roman"/>
          <w:sz w:val="19"/>
        </w:rPr>
        <w:t>Mysuru, Karnataka</w:t>
      </w:r>
      <w:r w:rsidR="0017084C">
        <w:rPr>
          <w:rFonts w:ascii="Times New Roman" w:eastAsia="Times New Roman" w:hAnsi="Times New Roman" w:cs="Times New Roman"/>
          <w:sz w:val="19"/>
        </w:rPr>
        <w:t xml:space="preserve">, India                        </w:t>
      </w:r>
      <w:r>
        <w:rPr>
          <w:rFonts w:ascii="Times New Roman" w:eastAsia="Times New Roman" w:hAnsi="Times New Roman" w:cs="Times New Roman"/>
          <w:sz w:val="19"/>
        </w:rPr>
        <w:t>Mysuru, Karnataka, India</w:t>
      </w:r>
      <w:r w:rsidR="0017084C">
        <w:rPr>
          <w:rFonts w:ascii="Times New Roman" w:eastAsia="Times New Roman" w:hAnsi="Times New Roman" w:cs="Times New Roman"/>
          <w:sz w:val="19"/>
        </w:rPr>
        <w:t xml:space="preserve"> </w:t>
      </w:r>
      <w:r w:rsidR="0017084C">
        <w:rPr>
          <w:rFonts w:ascii="Times New Roman" w:eastAsia="Times New Roman" w:hAnsi="Times New Roman" w:cs="Times New Roman"/>
          <w:sz w:val="19"/>
        </w:rPr>
        <w:tab/>
      </w:r>
    </w:p>
    <w:p w14:paraId="449B798D" w14:textId="77777777" w:rsidR="0017084C" w:rsidRDefault="00F94A0B">
      <w:pPr>
        <w:spacing w:after="61" w:line="250" w:lineRule="auto"/>
        <w:ind w:left="-5" w:hanging="10"/>
        <w:rPr>
          <w:rFonts w:ascii="Times New Roman" w:eastAsia="Times New Roman" w:hAnsi="Times New Roman" w:cs="Times New Roman"/>
          <w:sz w:val="19"/>
        </w:rPr>
      </w:pPr>
      <w:hyperlink r:id="rId4" w:history="1">
        <w:r w:rsidRPr="00C20D66">
          <w:rPr>
            <w:rStyle w:val="Hyperlink"/>
            <w:rFonts w:ascii="Times New Roman" w:eastAsia="Times New Roman" w:hAnsi="Times New Roman" w:cs="Times New Roman"/>
            <w:sz w:val="19"/>
          </w:rPr>
          <w:t>nravim7@gmail.com</w:t>
        </w:r>
      </w:hyperlink>
      <w:r>
        <w:rPr>
          <w:rFonts w:ascii="Times New Roman" w:eastAsia="Times New Roman" w:hAnsi="Times New Roman" w:cs="Times New Roman"/>
          <w:sz w:val="19"/>
        </w:rPr>
        <w:t xml:space="preserve"> </w:t>
      </w:r>
      <w:r w:rsidR="0017084C">
        <w:rPr>
          <w:rFonts w:ascii="Times New Roman" w:eastAsia="Times New Roman" w:hAnsi="Times New Roman" w:cs="Times New Roman"/>
          <w:sz w:val="19"/>
        </w:rPr>
        <w:t xml:space="preserve">             </w:t>
      </w:r>
      <w:r>
        <w:rPr>
          <w:rFonts w:ascii="Times New Roman" w:eastAsia="Times New Roman" w:hAnsi="Times New Roman" w:cs="Times New Roman"/>
          <w:sz w:val="19"/>
        </w:rPr>
        <w:t xml:space="preserve">                 </w:t>
      </w:r>
      <w:hyperlink r:id="rId5" w:history="1">
        <w:r w:rsidR="00746699" w:rsidRPr="00C20D66">
          <w:rPr>
            <w:rStyle w:val="Hyperlink"/>
            <w:rFonts w:ascii="Times New Roman" w:eastAsia="Times New Roman" w:hAnsi="Times New Roman" w:cs="Times New Roman"/>
            <w:sz w:val="19"/>
          </w:rPr>
          <w:t>vikaseshwarappa@gmail.com</w:t>
        </w:r>
      </w:hyperlink>
      <w:r>
        <w:rPr>
          <w:rFonts w:ascii="Times New Roman" w:eastAsia="Times New Roman" w:hAnsi="Times New Roman" w:cs="Times New Roman"/>
          <w:sz w:val="19"/>
        </w:rPr>
        <w:t xml:space="preserve"> </w:t>
      </w:r>
    </w:p>
    <w:p w14:paraId="1B92F29D" w14:textId="77777777" w:rsidR="00B406DE" w:rsidRDefault="0017084C">
      <w:pPr>
        <w:spacing w:after="61" w:line="250" w:lineRule="auto"/>
        <w:ind w:left="-5" w:hanging="10"/>
      </w:pPr>
      <w:r>
        <w:rPr>
          <w:rFonts w:ascii="Times New Roman" w:eastAsia="Times New Roman" w:hAnsi="Times New Roman" w:cs="Times New Roman"/>
          <w:sz w:val="19"/>
        </w:rPr>
        <w:t>4NI19EE082</w:t>
      </w:r>
      <w:r>
        <w:rPr>
          <w:rFonts w:ascii="Times New Roman" w:eastAsia="Times New Roman" w:hAnsi="Times New Roman" w:cs="Times New Roman"/>
          <w:sz w:val="19"/>
        </w:rPr>
        <w:t xml:space="preserve"> </w:t>
      </w:r>
      <w:r>
        <w:rPr>
          <w:rFonts w:ascii="Times New Roman" w:eastAsia="Times New Roman" w:hAnsi="Times New Roman" w:cs="Times New Roman"/>
          <w:sz w:val="19"/>
        </w:rPr>
        <w:tab/>
      </w:r>
      <w:r>
        <w:rPr>
          <w:rFonts w:ascii="Times New Roman" w:eastAsia="Times New Roman" w:hAnsi="Times New Roman" w:cs="Times New Roman"/>
          <w:sz w:val="19"/>
        </w:rPr>
        <w:tab/>
      </w:r>
      <w:r>
        <w:rPr>
          <w:rFonts w:ascii="Times New Roman" w:eastAsia="Times New Roman" w:hAnsi="Times New Roman" w:cs="Times New Roman"/>
          <w:sz w:val="19"/>
        </w:rPr>
        <w:tab/>
        <w:t xml:space="preserve">    4NI19EE118</w:t>
      </w:r>
    </w:p>
    <w:p w14:paraId="6F722316" w14:textId="77777777" w:rsidR="00B406DE" w:rsidRDefault="0017084C">
      <w:pPr>
        <w:spacing w:after="0"/>
      </w:pPr>
      <w:r>
        <w:rPr>
          <w:rFonts w:ascii="Times New Roman" w:eastAsia="Times New Roman" w:hAnsi="Times New Roman" w:cs="Times New Roman"/>
          <w:sz w:val="26"/>
        </w:rPr>
        <w:t xml:space="preserve"> </w:t>
      </w:r>
    </w:p>
    <w:p w14:paraId="08B8E9B9" w14:textId="77777777" w:rsidR="00B406DE" w:rsidRDefault="0017084C">
      <w:pPr>
        <w:spacing w:after="0"/>
      </w:pPr>
      <w:r>
        <w:rPr>
          <w:rFonts w:ascii="Times New Roman" w:eastAsia="Times New Roman" w:hAnsi="Times New Roman" w:cs="Times New Roman"/>
          <w:sz w:val="26"/>
        </w:rPr>
        <w:t xml:space="preserve"> </w:t>
      </w:r>
    </w:p>
    <w:p w14:paraId="38EB12E2" w14:textId="77777777" w:rsidR="00B406DE" w:rsidRDefault="0017084C">
      <w:pPr>
        <w:spacing w:after="0"/>
        <w:ind w:left="3600"/>
        <w:jc w:val="center"/>
      </w:pPr>
      <w:r>
        <w:rPr>
          <w:rFonts w:ascii="Times New Roman" w:eastAsia="Times New Roman" w:hAnsi="Times New Roman" w:cs="Times New Roman"/>
          <w:sz w:val="19"/>
        </w:rPr>
        <w:t xml:space="preserve"> </w:t>
      </w:r>
    </w:p>
    <w:p w14:paraId="2D40362E" w14:textId="77777777" w:rsidR="00B406DE" w:rsidRDefault="0017084C">
      <w:pPr>
        <w:spacing w:after="122"/>
      </w:pPr>
      <w:r>
        <w:rPr>
          <w:rFonts w:ascii="Times New Roman" w:eastAsia="Times New Roman" w:hAnsi="Times New Roman" w:cs="Times New Roman"/>
          <w:sz w:val="26"/>
        </w:rPr>
        <w:t xml:space="preserve"> </w:t>
      </w:r>
    </w:p>
    <w:p w14:paraId="136B4088" w14:textId="77777777" w:rsidR="00B406DE" w:rsidRDefault="0017084C">
      <w:pPr>
        <w:spacing w:after="0"/>
        <w:ind w:left="3640"/>
        <w:jc w:val="center"/>
      </w:pPr>
      <w:r>
        <w:rPr>
          <w:rFonts w:ascii="Times New Roman" w:eastAsia="Times New Roman" w:hAnsi="Times New Roman" w:cs="Times New Roman"/>
          <w:sz w:val="17"/>
        </w:rPr>
        <w:t xml:space="preserve">  </w:t>
      </w:r>
    </w:p>
    <w:p w14:paraId="14974F44" w14:textId="77777777" w:rsidR="00B406DE" w:rsidRDefault="00B406DE">
      <w:pPr>
        <w:sectPr w:rsidR="00B406DE" w:rsidSect="00F94A0B">
          <w:pgSz w:w="12240" w:h="15840"/>
          <w:pgMar w:top="750" w:right="1467" w:bottom="687" w:left="1358" w:header="720" w:footer="720" w:gutter="0"/>
          <w:cols w:space="720"/>
        </w:sectPr>
      </w:pPr>
    </w:p>
    <w:p w14:paraId="0BC89D7A" w14:textId="77777777" w:rsidR="00B406DE" w:rsidRDefault="0017084C">
      <w:pPr>
        <w:pStyle w:val="Heading1"/>
        <w:spacing w:after="84"/>
        <w:ind w:left="269" w:firstLine="0"/>
      </w:pPr>
      <w:r>
        <w:t xml:space="preserve">Abstract— </w:t>
      </w:r>
    </w:p>
    <w:p w14:paraId="2A4E0685"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The economic motivation for biofuels is that they are a convenient, low-cost,</w:t>
      </w:r>
    </w:p>
    <w:p w14:paraId="0E5CF4CF"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domestically producible substitute for oil, a fuel that is getting costlier by the day and is</w:t>
      </w:r>
    </w:p>
    <w:p w14:paraId="1F287089"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also imported from politically volatile regions. The increased demand for agriculture</w:t>
      </w:r>
    </w:p>
    <w:p w14:paraId="6D71E83F"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from biofuels can also address the worldwide problem of declining farm income. But</w:t>
      </w:r>
    </w:p>
    <w:p w14:paraId="45E7A6BB"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negative effects on food and the environment are threatening to offset the positive effects</w:t>
      </w:r>
    </w:p>
    <w:p w14:paraId="62F438DC"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on welfare as an energy source. This, however, should not be surprising. As the previous</w:t>
      </w:r>
    </w:p>
    <w:p w14:paraId="4E364376"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chapter explained, biofuels are intensive in the use of inputs, which include land, water,</w:t>
      </w:r>
    </w:p>
    <w:p w14:paraId="12C6E328"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crops, and fossil energy, all of which have opportunity cost. Understanding how biofuels</w:t>
      </w:r>
    </w:p>
    <w:p w14:paraId="73052E79"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will affect resource allocation, energy and food prices, technology adoption, and income</w:t>
      </w:r>
    </w:p>
    <w:p w14:paraId="28D4D9F6"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distribution, etc., is essential at this very early stage of development. A variety of</w:t>
      </w:r>
    </w:p>
    <w:p w14:paraId="08BA6B8B"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 xml:space="preserve">economic </w:t>
      </w:r>
      <w:r w:rsidR="0017084C" w:rsidRPr="00746699">
        <w:rPr>
          <w:rFonts w:ascii="Times New Roman" w:eastAsiaTheme="minorEastAsia" w:hAnsi="Times New Roman" w:cs="Times New Roman"/>
          <w:color w:val="auto"/>
          <w:sz w:val="24"/>
          <w:szCs w:val="24"/>
        </w:rPr>
        <w:t>modelling</w:t>
      </w:r>
      <w:r w:rsidRPr="00746699">
        <w:rPr>
          <w:rFonts w:ascii="Times New Roman" w:eastAsiaTheme="minorEastAsia" w:hAnsi="Times New Roman" w:cs="Times New Roman"/>
          <w:color w:val="auto"/>
          <w:sz w:val="24"/>
          <w:szCs w:val="24"/>
        </w:rPr>
        <w:t xml:space="preserve"> techniques are being used to model the impacts from different</w:t>
      </w:r>
    </w:p>
    <w:p w14:paraId="72BC574F"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angles. Microlevel models like cost accounting models and models of technology</w:t>
      </w:r>
    </w:p>
    <w:p w14:paraId="3E6E6B29"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adoption and resource allocation are useful for calculating the economics of biofuels from</w:t>
      </w:r>
    </w:p>
    <w:p w14:paraId="2D11C84E"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the perspective of an individual economic agent. Sector models, general equilibrium, and</w:t>
      </w:r>
    </w:p>
    <w:p w14:paraId="1E3E2BF5"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international trade models on the other hand are useful for studying the aggregate impacts</w:t>
      </w:r>
    </w:p>
    <w:p w14:paraId="522924C1"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of biofuels. But nonmarket effects like the impact on the informal economy, which is</w:t>
      </w:r>
    </w:p>
    <w:p w14:paraId="0F73D649"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 xml:space="preserve">important in developing countries, and environmental </w:t>
      </w:r>
      <w:r w:rsidRPr="00746699">
        <w:rPr>
          <w:rFonts w:ascii="Times New Roman" w:eastAsiaTheme="minorEastAsia" w:hAnsi="Times New Roman" w:cs="Times New Roman"/>
          <w:color w:val="auto"/>
          <w:sz w:val="24"/>
          <w:szCs w:val="24"/>
        </w:rPr>
        <w:t>spill overs</w:t>
      </w:r>
      <w:r w:rsidRPr="00746699">
        <w:rPr>
          <w:rFonts w:ascii="Times New Roman" w:eastAsiaTheme="minorEastAsia" w:hAnsi="Times New Roman" w:cs="Times New Roman"/>
          <w:color w:val="auto"/>
          <w:sz w:val="24"/>
          <w:szCs w:val="24"/>
        </w:rPr>
        <w:t xml:space="preserve"> like loss of natural</w:t>
      </w:r>
    </w:p>
    <w:p w14:paraId="69F05DA6" w14:textId="77777777" w:rsidR="00746699" w:rsidRPr="00746699" w:rsidRDefault="00746699" w:rsidP="00746699">
      <w:pPr>
        <w:autoSpaceDE w:val="0"/>
        <w:autoSpaceDN w:val="0"/>
        <w:adjustRightInd w:val="0"/>
        <w:spacing w:after="0" w:line="240" w:lineRule="auto"/>
        <w:jc w:val="both"/>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habitats as a result of agricultural expansion are unlikely to be captured in standard</w:t>
      </w:r>
    </w:p>
    <w:p w14:paraId="45458CCF" w14:textId="77777777" w:rsidR="00B406DE" w:rsidRPr="00746699" w:rsidRDefault="00746699" w:rsidP="00746699">
      <w:pPr>
        <w:spacing w:after="432"/>
        <w:jc w:val="both"/>
        <w:rPr>
          <w:rFonts w:ascii="Times New Roman" w:hAnsi="Times New Roman" w:cs="Times New Roman"/>
          <w:sz w:val="24"/>
          <w:szCs w:val="24"/>
        </w:rPr>
      </w:pPr>
      <w:r w:rsidRPr="00746699">
        <w:rPr>
          <w:rFonts w:ascii="Times New Roman" w:eastAsiaTheme="minorEastAsia" w:hAnsi="Times New Roman" w:cs="Times New Roman"/>
          <w:color w:val="auto"/>
          <w:sz w:val="24"/>
          <w:szCs w:val="24"/>
        </w:rPr>
        <w:t>neoclassical approaches and new techniques will be needed here</w:t>
      </w:r>
      <w:r w:rsidR="0017084C" w:rsidRPr="00746699">
        <w:rPr>
          <w:rFonts w:ascii="Times New Roman" w:eastAsia="Times New Roman" w:hAnsi="Times New Roman" w:cs="Times New Roman"/>
          <w:sz w:val="24"/>
          <w:szCs w:val="24"/>
        </w:rPr>
        <w:t xml:space="preserve"> </w:t>
      </w:r>
    </w:p>
    <w:p w14:paraId="1837C36F" w14:textId="77777777" w:rsidR="00B406DE" w:rsidRDefault="0017084C">
      <w:pPr>
        <w:spacing w:after="0"/>
      </w:pPr>
      <w:r>
        <w:rPr>
          <w:rFonts w:ascii="Times New Roman" w:eastAsia="Times New Roman" w:hAnsi="Times New Roman" w:cs="Times New Roman"/>
          <w:sz w:val="15"/>
        </w:rPr>
        <w:t xml:space="preserve"> </w:t>
      </w:r>
    </w:p>
    <w:p w14:paraId="2E5131D2" w14:textId="77777777" w:rsidR="00B406DE" w:rsidRDefault="0017084C">
      <w:pPr>
        <w:spacing w:after="322"/>
        <w:ind w:left="1981"/>
        <w:jc w:val="center"/>
      </w:pPr>
      <w:r>
        <w:rPr>
          <w:rFonts w:ascii="Times New Roman" w:eastAsia="Times New Roman" w:hAnsi="Times New Roman" w:cs="Times New Roman"/>
          <w:sz w:val="21"/>
        </w:rPr>
        <w:t xml:space="preserve">  </w:t>
      </w:r>
    </w:p>
    <w:p w14:paraId="7BF11D7A" w14:textId="77777777" w:rsidR="00B406DE" w:rsidRDefault="0017084C">
      <w:pPr>
        <w:pStyle w:val="Heading1"/>
        <w:spacing w:after="84"/>
        <w:ind w:left="254" w:firstLine="0"/>
      </w:pPr>
      <w:r>
        <w:t xml:space="preserve">Introduction </w:t>
      </w:r>
    </w:p>
    <w:p w14:paraId="6C04C981" w14:textId="77777777" w:rsidR="00B406DE" w:rsidRDefault="0017084C">
      <w:pPr>
        <w:spacing w:after="10" w:line="249" w:lineRule="auto"/>
        <w:ind w:left="-1" w:right="57" w:firstLine="254"/>
        <w:jc w:val="both"/>
      </w:pPr>
      <w:r>
        <w:rPr>
          <w:rFonts w:ascii="Times New Roman" w:eastAsia="Times New Roman" w:hAnsi="Times New Roman" w:cs="Times New Roman"/>
          <w:sz w:val="23"/>
        </w:rPr>
        <w:t xml:space="preserve"> Critical Analysis of the First-Generation Biofuels The first environmental assessment studies of the first-generation biofuels show a positive   energy balance (energy </w:t>
      </w:r>
      <w:r>
        <w:rPr>
          <w:rFonts w:ascii="Times New Roman" w:eastAsia="Times New Roman" w:hAnsi="Times New Roman" w:cs="Times New Roman"/>
          <w:sz w:val="23"/>
        </w:rPr>
        <w:t>produced is about twice as much than the energy consumed) and a potential for reducing the greenhouse gases that is considerable (</w:t>
      </w:r>
      <w:proofErr w:type="spellStart"/>
      <w:r>
        <w:rPr>
          <w:rFonts w:ascii="Times New Roman" w:eastAsia="Times New Roman" w:hAnsi="Times New Roman" w:cs="Times New Roman"/>
          <w:sz w:val="23"/>
        </w:rPr>
        <w:t>Ometto</w:t>
      </w:r>
      <w:proofErr w:type="spellEnd"/>
      <w:r>
        <w:rPr>
          <w:rFonts w:ascii="Times New Roman" w:eastAsia="Times New Roman" w:hAnsi="Times New Roman" w:cs="Times New Roman"/>
          <w:sz w:val="23"/>
        </w:rPr>
        <w:t xml:space="preserve"> et al. 2009). The authors also concluded that the fuel ethanol life cycle is responsible for the consumption of a </w:t>
      </w:r>
    </w:p>
    <w:p w14:paraId="0EB34131" w14:textId="77777777" w:rsidR="00B406DE" w:rsidRDefault="0017084C">
      <w:pPr>
        <w:spacing w:after="10" w:line="249" w:lineRule="auto"/>
        <w:ind w:left="-1" w:right="57" w:firstLine="254"/>
        <w:jc w:val="both"/>
      </w:pPr>
      <w:r>
        <w:rPr>
          <w:rFonts w:ascii="Times New Roman" w:eastAsia="Times New Roman" w:hAnsi="Times New Roman" w:cs="Times New Roman"/>
          <w:sz w:val="23"/>
        </w:rPr>
        <w:t>high</w:t>
      </w:r>
      <w:r>
        <w:rPr>
          <w:rFonts w:ascii="Times New Roman" w:eastAsia="Times New Roman" w:hAnsi="Times New Roman" w:cs="Times New Roman"/>
          <w:sz w:val="23"/>
        </w:rPr>
        <w:t xml:space="preserve"> quantity and diversity of </w:t>
      </w:r>
      <w:r w:rsidR="00F94A0B">
        <w:rPr>
          <w:rFonts w:ascii="Times New Roman" w:eastAsia="Times New Roman" w:hAnsi="Times New Roman" w:cs="Times New Roman"/>
          <w:sz w:val="23"/>
        </w:rPr>
        <w:t>non-renewable</w:t>
      </w:r>
      <w:r>
        <w:rPr>
          <w:rFonts w:ascii="Times New Roman" w:eastAsia="Times New Roman" w:hAnsi="Times New Roman" w:cs="Times New Roman"/>
          <w:sz w:val="23"/>
        </w:rPr>
        <w:t xml:space="preserve"> resources. These resources are linked to the mechanization level of the rural activities, the intensive use of pesticides, fertilizers, and diesel. The ethanol life cycle process is also responsible to negative and a</w:t>
      </w:r>
      <w:r>
        <w:rPr>
          <w:rFonts w:ascii="Times New Roman" w:eastAsia="Times New Roman" w:hAnsi="Times New Roman" w:cs="Times New Roman"/>
          <w:sz w:val="23"/>
        </w:rPr>
        <w:t>dverse impacts at the local and regional scale such as ozone formation, acidification, ecotoxicity, and human tox</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23"/>
        </w:rPr>
        <w:t>icity</w:t>
      </w:r>
      <w:proofErr w:type="spellEnd"/>
      <w:r>
        <w:rPr>
          <w:rFonts w:ascii="Times New Roman" w:eastAsia="Times New Roman" w:hAnsi="Times New Roman" w:cs="Times New Roman"/>
          <w:sz w:val="23"/>
        </w:rPr>
        <w:t xml:space="preserve">. The main causes for these impacts are the use of fertilizers and the burning after harvest that is in the case of the first-generation </w:t>
      </w:r>
      <w:r>
        <w:rPr>
          <w:rFonts w:ascii="Times New Roman" w:eastAsia="Times New Roman" w:hAnsi="Times New Roman" w:cs="Times New Roman"/>
          <w:sz w:val="23"/>
        </w:rPr>
        <w:t xml:space="preserve">ethanol traditionally realized to cogenerate electricity during the process. Similarly, </w:t>
      </w:r>
      <w:proofErr w:type="spellStart"/>
      <w:r>
        <w:rPr>
          <w:rFonts w:ascii="Times New Roman" w:eastAsia="Times New Roman" w:hAnsi="Times New Roman" w:cs="Times New Roman"/>
          <w:sz w:val="23"/>
        </w:rPr>
        <w:t>Querini</w:t>
      </w:r>
      <w:proofErr w:type="spellEnd"/>
      <w:r>
        <w:rPr>
          <w:rFonts w:ascii="Times New Roman" w:eastAsia="Times New Roman" w:hAnsi="Times New Roman" w:cs="Times New Roman"/>
          <w:sz w:val="23"/>
        </w:rPr>
        <w:t xml:space="preserve"> (2012) has </w:t>
      </w:r>
      <w:r>
        <w:rPr>
          <w:rFonts w:ascii="Times New Roman" w:eastAsia="Times New Roman" w:hAnsi="Times New Roman" w:cs="Times New Roman"/>
          <w:sz w:val="23"/>
        </w:rPr>
        <w:lastRenderedPageBreak/>
        <w:t>found distributed environmental consequences for the first-generation biofuels. These impacts are broken down by their origins in the production cycl</w:t>
      </w:r>
      <w:r>
        <w:rPr>
          <w:rFonts w:ascii="Times New Roman" w:eastAsia="Times New Roman" w:hAnsi="Times New Roman" w:cs="Times New Roman"/>
          <w:sz w:val="23"/>
        </w:rPr>
        <w:t>e of biodiesel from sunflower and first- generation ethanol from wheat. They are presented on Fig. 3 and globally compared to other fuels for the transportation sector in Table 2. In particular, whatever the feedstock being considered, the agricultural pra</w:t>
      </w:r>
      <w:r>
        <w:rPr>
          <w:rFonts w:ascii="Times New Roman" w:eastAsia="Times New Roman" w:hAnsi="Times New Roman" w:cs="Times New Roman"/>
          <w:sz w:val="23"/>
        </w:rPr>
        <w:t xml:space="preserve">ctices are responsive for a significant part of </w:t>
      </w:r>
    </w:p>
    <w:p w14:paraId="0DD8BADD" w14:textId="77777777" w:rsidR="00B406DE" w:rsidRDefault="0017084C">
      <w:pPr>
        <w:spacing w:after="10" w:line="249" w:lineRule="auto"/>
        <w:ind w:left="9" w:right="57" w:hanging="10"/>
        <w:jc w:val="both"/>
      </w:pPr>
      <w:r>
        <w:rPr>
          <w:rFonts w:ascii="Times New Roman" w:eastAsia="Times New Roman" w:hAnsi="Times New Roman" w:cs="Times New Roman"/>
          <w:sz w:val="23"/>
        </w:rPr>
        <w:t xml:space="preserve">these production impacts. Depending on the good agricultural practices, even the global warming potential is in </w:t>
      </w:r>
      <w:proofErr w:type="spellStart"/>
      <w:r>
        <w:rPr>
          <w:rFonts w:ascii="Times New Roman" w:eastAsia="Times New Roman" w:hAnsi="Times New Roman" w:cs="Times New Roman"/>
          <w:sz w:val="23"/>
        </w:rPr>
        <w:t>favor</w:t>
      </w:r>
      <w:proofErr w:type="spellEnd"/>
      <w:r>
        <w:rPr>
          <w:rFonts w:ascii="Times New Roman" w:eastAsia="Times New Roman" w:hAnsi="Times New Roman" w:cs="Times New Roman"/>
          <w:sz w:val="23"/>
        </w:rPr>
        <w:t xml:space="preserve"> of fossil fuels. Ethanol from sugarcane is confirmed as the most environmental-friendly b</w:t>
      </w:r>
      <w:r>
        <w:rPr>
          <w:rFonts w:ascii="Times New Roman" w:eastAsia="Times New Roman" w:hAnsi="Times New Roman" w:cs="Times New Roman"/>
          <w:sz w:val="23"/>
        </w:rPr>
        <w:t xml:space="preserve">iofuel for the first-generation. Figure 4 represents the global warming potential for different fuels in a </w:t>
      </w:r>
      <w:proofErr w:type="spellStart"/>
      <w:r>
        <w:rPr>
          <w:rFonts w:ascii="Times New Roman" w:eastAsia="Times New Roman" w:hAnsi="Times New Roman" w:cs="Times New Roman"/>
          <w:sz w:val="23"/>
        </w:rPr>
        <w:t>Wellto</w:t>
      </w:r>
      <w:proofErr w:type="spellEnd"/>
      <w:r>
        <w:rPr>
          <w:rFonts w:ascii="Times New Roman" w:eastAsia="Times New Roman" w:hAnsi="Times New Roman" w:cs="Times New Roman"/>
          <w:sz w:val="23"/>
        </w:rPr>
        <w:t>-Wheel life cycle assessment analysis (</w:t>
      </w:r>
      <w:proofErr w:type="spellStart"/>
      <w:r>
        <w:rPr>
          <w:rFonts w:ascii="Times New Roman" w:eastAsia="Times New Roman" w:hAnsi="Times New Roman" w:cs="Times New Roman"/>
          <w:sz w:val="23"/>
        </w:rPr>
        <w:t>Querini</w:t>
      </w:r>
      <w:proofErr w:type="spellEnd"/>
      <w:r>
        <w:rPr>
          <w:rFonts w:ascii="Times New Roman" w:eastAsia="Times New Roman" w:hAnsi="Times New Roman" w:cs="Times New Roman"/>
          <w:sz w:val="23"/>
        </w:rPr>
        <w:t xml:space="preserve"> 2012). The environmental impacts of fossil fuels occur for a small part during the extraction an</w:t>
      </w:r>
      <w:r>
        <w:rPr>
          <w:rFonts w:ascii="Times New Roman" w:eastAsia="Times New Roman" w:hAnsi="Times New Roman" w:cs="Times New Roman"/>
          <w:sz w:val="23"/>
        </w:rPr>
        <w:t>d refining processes and essentially during the usage phase. Biofuels are characterized by their double distributed environmental impacts: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throughout the production chain of the added value, (ii) in most of the environmental compartments considered by </w:t>
      </w:r>
      <w:r>
        <w:rPr>
          <w:rFonts w:ascii="Times New Roman" w:eastAsia="Times New Roman" w:hAnsi="Times New Roman" w:cs="Times New Roman"/>
          <w:sz w:val="23"/>
        </w:rPr>
        <w:t xml:space="preserve">the major life cycle assessment methodologies. The question of the good agricultural practices, the sustainable management of land, water, and fertilizers inputs as well as the processing technologies and the final use of the produced resource becomes the </w:t>
      </w:r>
      <w:r>
        <w:rPr>
          <w:rFonts w:ascii="Times New Roman" w:eastAsia="Times New Roman" w:hAnsi="Times New Roman" w:cs="Times New Roman"/>
          <w:sz w:val="23"/>
        </w:rPr>
        <w:t>central issue. In this context, the economic and ecological performances from one biofuel to another are fundamentally challenged. However, some initiatives are gradually introduced in order to provide sustainability certifications to the most environmenta</w:t>
      </w:r>
      <w:r>
        <w:rPr>
          <w:rFonts w:ascii="Times New Roman" w:eastAsia="Times New Roman" w:hAnsi="Times New Roman" w:cs="Times New Roman"/>
          <w:sz w:val="23"/>
        </w:rPr>
        <w:t>lly virtuous biofuels, such as the guideline to evaluate the sustain</w:t>
      </w:r>
      <w:r>
        <w:rPr>
          <w:rFonts w:ascii="Times New Roman" w:eastAsia="Times New Roman" w:hAnsi="Times New Roman" w:cs="Times New Roman"/>
          <w:sz w:val="18"/>
        </w:rPr>
        <w:t xml:space="preserve"> </w:t>
      </w:r>
      <w:r>
        <w:rPr>
          <w:rFonts w:ascii="Times New Roman" w:eastAsia="Times New Roman" w:hAnsi="Times New Roman" w:cs="Times New Roman"/>
          <w:sz w:val="23"/>
        </w:rPr>
        <w:t xml:space="preserve">ability performances of biofuels published by the Natural Resources </w:t>
      </w:r>
    </w:p>
    <w:p w14:paraId="4E855D64" w14:textId="77777777" w:rsidR="00B406DE" w:rsidRDefault="0017084C">
      <w:pPr>
        <w:tabs>
          <w:tab w:val="center" w:pos="1713"/>
          <w:tab w:val="center" w:pos="3037"/>
          <w:tab w:val="right" w:pos="4645"/>
        </w:tabs>
        <w:spacing w:after="10" w:line="249" w:lineRule="auto"/>
        <w:ind w:left="-1"/>
      </w:pPr>
      <w:proofErr w:type="spellStart"/>
      <w:r>
        <w:rPr>
          <w:rFonts w:ascii="Times New Roman" w:eastAsia="Times New Roman" w:hAnsi="Times New Roman" w:cs="Times New Roman"/>
          <w:sz w:val="23"/>
        </w:rPr>
        <w:t>Defense</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Council </w:t>
      </w:r>
      <w:r>
        <w:rPr>
          <w:rFonts w:ascii="Times New Roman" w:eastAsia="Times New Roman" w:hAnsi="Times New Roman" w:cs="Times New Roman"/>
          <w:sz w:val="23"/>
        </w:rPr>
        <w:tab/>
        <w:t xml:space="preserve">(NRDC </w:t>
      </w:r>
      <w:r>
        <w:rPr>
          <w:rFonts w:ascii="Times New Roman" w:eastAsia="Times New Roman" w:hAnsi="Times New Roman" w:cs="Times New Roman"/>
          <w:sz w:val="23"/>
        </w:rPr>
        <w:tab/>
        <w:t xml:space="preserve">2014). </w:t>
      </w:r>
    </w:p>
    <w:p w14:paraId="6D5CAC80" w14:textId="77777777" w:rsidR="00B406DE" w:rsidRDefault="0017084C">
      <w:pPr>
        <w:spacing w:after="221"/>
        <w:ind w:right="17"/>
        <w:jc w:val="right"/>
      </w:pPr>
      <w:r>
        <w:rPr>
          <w:noProof/>
        </w:rPr>
        <w:drawing>
          <wp:inline distT="0" distB="0" distL="0" distR="0" wp14:anchorId="08472A75" wp14:editId="2D347E5B">
            <wp:extent cx="2910840" cy="156210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6"/>
                    <a:stretch>
                      <a:fillRect/>
                    </a:stretch>
                  </pic:blipFill>
                  <pic:spPr>
                    <a:xfrm>
                      <a:off x="0" y="0"/>
                      <a:ext cx="2910840" cy="1562100"/>
                    </a:xfrm>
                    <a:prstGeom prst="rect">
                      <a:avLst/>
                    </a:prstGeom>
                  </pic:spPr>
                </pic:pic>
              </a:graphicData>
            </a:graphic>
          </wp:inline>
        </w:drawing>
      </w:r>
      <w:r>
        <w:rPr>
          <w:rFonts w:ascii="Times New Roman" w:eastAsia="Times New Roman" w:hAnsi="Times New Roman" w:cs="Times New Roman"/>
          <w:sz w:val="23"/>
        </w:rPr>
        <w:t xml:space="preserve"> </w:t>
      </w:r>
    </w:p>
    <w:p w14:paraId="1752AF47" w14:textId="77777777" w:rsidR="00746699" w:rsidRDefault="00746699">
      <w:pPr>
        <w:tabs>
          <w:tab w:val="center" w:pos="1618"/>
          <w:tab w:val="center" w:pos="2787"/>
          <w:tab w:val="right" w:pos="4645"/>
        </w:tabs>
        <w:spacing w:after="0"/>
        <w:ind w:left="-1"/>
        <w:rPr>
          <w:rFonts w:ascii="Times New Roman" w:eastAsia="Times New Roman" w:hAnsi="Times New Roman" w:cs="Times New Roman"/>
          <w:sz w:val="30"/>
          <w:u w:val="single" w:color="000000"/>
        </w:rPr>
      </w:pPr>
    </w:p>
    <w:p w14:paraId="5A1AE52C" w14:textId="77777777" w:rsidR="00B406DE" w:rsidRDefault="0017084C">
      <w:pPr>
        <w:tabs>
          <w:tab w:val="center" w:pos="1618"/>
          <w:tab w:val="center" w:pos="2787"/>
          <w:tab w:val="right" w:pos="4645"/>
        </w:tabs>
        <w:spacing w:after="0"/>
        <w:ind w:left="-1"/>
      </w:pPr>
      <w:r>
        <w:rPr>
          <w:rFonts w:ascii="Times New Roman" w:eastAsia="Times New Roman" w:hAnsi="Times New Roman" w:cs="Times New Roman"/>
          <w:sz w:val="30"/>
          <w:u w:val="single" w:color="000000"/>
        </w:rPr>
        <w:t xml:space="preserve">New </w:t>
      </w:r>
      <w:r>
        <w:rPr>
          <w:rFonts w:ascii="Times New Roman" w:eastAsia="Times New Roman" w:hAnsi="Times New Roman" w:cs="Times New Roman"/>
          <w:sz w:val="30"/>
          <w:u w:val="single" w:color="000000"/>
        </w:rPr>
        <w:tab/>
        <w:t xml:space="preserve">Investments </w:t>
      </w:r>
      <w:r>
        <w:rPr>
          <w:rFonts w:ascii="Times New Roman" w:eastAsia="Times New Roman" w:hAnsi="Times New Roman" w:cs="Times New Roman"/>
          <w:sz w:val="30"/>
          <w:u w:val="single" w:color="000000"/>
        </w:rPr>
        <w:tab/>
        <w:t xml:space="preserve">in </w:t>
      </w:r>
      <w:r>
        <w:rPr>
          <w:rFonts w:ascii="Times New Roman" w:eastAsia="Times New Roman" w:hAnsi="Times New Roman" w:cs="Times New Roman"/>
          <w:sz w:val="30"/>
          <w:u w:val="single" w:color="000000"/>
        </w:rPr>
        <w:tab/>
        <w:t>Renewable</w:t>
      </w:r>
      <w:r>
        <w:rPr>
          <w:rFonts w:ascii="Times New Roman" w:eastAsia="Times New Roman" w:hAnsi="Times New Roman" w:cs="Times New Roman"/>
          <w:sz w:val="30"/>
        </w:rPr>
        <w:t xml:space="preserve"> </w:t>
      </w:r>
    </w:p>
    <w:p w14:paraId="54D6B388" w14:textId="77777777" w:rsidR="00B406DE" w:rsidRDefault="0017084C">
      <w:pPr>
        <w:spacing w:after="0"/>
        <w:ind w:left="9" w:hanging="10"/>
      </w:pPr>
      <w:r>
        <w:rPr>
          <w:rFonts w:ascii="Times New Roman" w:eastAsia="Times New Roman" w:hAnsi="Times New Roman" w:cs="Times New Roman"/>
          <w:sz w:val="30"/>
          <w:u w:val="single" w:color="000000"/>
        </w:rPr>
        <w:t>Energies</w:t>
      </w:r>
      <w:r>
        <w:rPr>
          <w:rFonts w:ascii="Times New Roman" w:eastAsia="Times New Roman" w:hAnsi="Times New Roman" w:cs="Times New Roman"/>
          <w:sz w:val="23"/>
        </w:rPr>
        <w:t xml:space="preserve">  </w:t>
      </w:r>
    </w:p>
    <w:p w14:paraId="4BB24D7C" w14:textId="77777777" w:rsidR="00B406DE" w:rsidRDefault="0017084C">
      <w:pPr>
        <w:spacing w:after="0" w:line="239" w:lineRule="auto"/>
        <w:ind w:left="9" w:right="59" w:hanging="10"/>
        <w:jc w:val="both"/>
      </w:pPr>
      <w:r>
        <w:rPr>
          <w:rFonts w:ascii="Times New Roman" w:eastAsia="Times New Roman" w:hAnsi="Times New Roman" w:cs="Times New Roman"/>
          <w:sz w:val="23"/>
        </w:rPr>
        <w:t xml:space="preserve">The new investments in capacity in renewable energy according to the Renewable Energy Network (REN21 2015) are depicted Fig. 6. Since the economic crisis in 2008, these investments are being </w:t>
      </w:r>
      <w:proofErr w:type="spellStart"/>
      <w:r>
        <w:rPr>
          <w:rFonts w:ascii="Times New Roman" w:eastAsia="Times New Roman" w:hAnsi="Times New Roman" w:cs="Times New Roman"/>
          <w:sz w:val="23"/>
        </w:rPr>
        <w:t>reequilibrated</w:t>
      </w:r>
      <w:proofErr w:type="spellEnd"/>
      <w:r>
        <w:rPr>
          <w:rFonts w:ascii="Times New Roman" w:eastAsia="Times New Roman" w:hAnsi="Times New Roman" w:cs="Times New Roman"/>
          <w:sz w:val="23"/>
        </w:rPr>
        <w:t xml:space="preserve"> between developed, which investments started to st</w:t>
      </w:r>
      <w:r>
        <w:rPr>
          <w:rFonts w:ascii="Times New Roman" w:eastAsia="Times New Roman" w:hAnsi="Times New Roman" w:cs="Times New Roman"/>
          <w:sz w:val="23"/>
        </w:rPr>
        <w:t xml:space="preserve">agnate, and developing countries in which the investments remain steadily growing (Fig. 6 left). The sectorial breakdown per sector, as well as the net growth for 2014 in comparison to 2013 [Fig. 6 (right)] clearly show that </w:t>
      </w:r>
      <w:r w:rsidR="00F94A0B">
        <w:rPr>
          <w:rFonts w:ascii="Times New Roman" w:eastAsia="Times New Roman" w:hAnsi="Times New Roman" w:cs="Times New Roman"/>
          <w:sz w:val="23"/>
        </w:rPr>
        <w:t>this redistribution</w:t>
      </w:r>
      <w:r>
        <w:rPr>
          <w:rFonts w:ascii="Times New Roman" w:eastAsia="Times New Roman" w:hAnsi="Times New Roman" w:cs="Times New Roman"/>
          <w:sz w:val="23"/>
        </w:rPr>
        <w:t xml:space="preserve"> is benefic</w:t>
      </w:r>
      <w:r>
        <w:rPr>
          <w:rFonts w:ascii="Times New Roman" w:eastAsia="Times New Roman" w:hAnsi="Times New Roman" w:cs="Times New Roman"/>
          <w:sz w:val="23"/>
        </w:rPr>
        <w:t>ial for the wind- and solar- electricity sectors but not for the biomass and biofuel sectors. Drivers for these redistributions of funding are to search among the criticism that arise against the first-generation biofuel, and in particular, the fuel versus</w:t>
      </w:r>
      <w:r>
        <w:rPr>
          <w:rFonts w:ascii="Times New Roman" w:eastAsia="Times New Roman" w:hAnsi="Times New Roman" w:cs="Times New Roman"/>
          <w:sz w:val="23"/>
        </w:rPr>
        <w:t xml:space="preserve"> food debate that reached its paroxysm in 2008. In this context, the biofuel support polices remain under review in the United States and Europe. According to </w:t>
      </w:r>
      <w:proofErr w:type="spellStart"/>
      <w:r>
        <w:rPr>
          <w:rFonts w:ascii="Times New Roman" w:eastAsia="Times New Roman" w:hAnsi="Times New Roman" w:cs="Times New Roman"/>
          <w:sz w:val="23"/>
        </w:rPr>
        <w:t>Timilsina</w:t>
      </w:r>
      <w:proofErr w:type="spellEnd"/>
      <w:r>
        <w:rPr>
          <w:rFonts w:ascii="Times New Roman" w:eastAsia="Times New Roman" w:hAnsi="Times New Roman" w:cs="Times New Roman"/>
          <w:sz w:val="23"/>
        </w:rPr>
        <w:t xml:space="preserve"> and </w:t>
      </w:r>
      <w:proofErr w:type="spellStart"/>
      <w:r>
        <w:rPr>
          <w:rFonts w:ascii="Times New Roman" w:eastAsia="Times New Roman" w:hAnsi="Times New Roman" w:cs="Times New Roman"/>
          <w:sz w:val="23"/>
        </w:rPr>
        <w:t>Shresta</w:t>
      </w:r>
      <w:proofErr w:type="spellEnd"/>
      <w:r>
        <w:rPr>
          <w:rFonts w:ascii="Times New Roman" w:eastAsia="Times New Roman" w:hAnsi="Times New Roman" w:cs="Times New Roman"/>
          <w:sz w:val="23"/>
        </w:rPr>
        <w:t xml:space="preserve"> (2014), the investments for biofuel refineries were approximately 16 billio</w:t>
      </w:r>
      <w:r>
        <w:rPr>
          <w:rFonts w:ascii="Times New Roman" w:eastAsia="Times New Roman" w:hAnsi="Times New Roman" w:cs="Times New Roman"/>
          <w:sz w:val="23"/>
        </w:rPr>
        <w:t>n US$ in 2008 and suffered a threefold drop to 6.8 Fig. 6 Global investments in renewable energy from 2004 to 2014 (left) and sectorial ventilation in 2014. Growth represents the variation in investments from 2013 to 2014. Adapted from REN21 (2015) Economi</w:t>
      </w:r>
      <w:r>
        <w:rPr>
          <w:rFonts w:ascii="Times New Roman" w:eastAsia="Times New Roman" w:hAnsi="Times New Roman" w:cs="Times New Roman"/>
          <w:sz w:val="23"/>
        </w:rPr>
        <w:t xml:space="preserve">c and Environmental </w:t>
      </w:r>
    </w:p>
    <w:p w14:paraId="1253692A" w14:textId="77777777" w:rsidR="00B406DE" w:rsidRDefault="0017084C">
      <w:pPr>
        <w:spacing w:after="69" w:line="239" w:lineRule="auto"/>
        <w:ind w:left="9" w:right="59"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Aspects of Biofuels 537 billion in 2011, and even 5 billion in 2012. In this period, many of the 650ethanol plants worldwide were operating below their theoretical capacity while others experienced temporary closed down because of the </w:t>
      </w:r>
      <w:r>
        <w:rPr>
          <w:rFonts w:ascii="Times New Roman" w:eastAsia="Times New Roman" w:hAnsi="Times New Roman" w:cs="Times New Roman"/>
          <w:sz w:val="23"/>
        </w:rPr>
        <w:t xml:space="preserve">very high volatility of the prices, the fluctuating demand and the many reserves that has been made on </w:t>
      </w:r>
      <w:proofErr w:type="spellStart"/>
      <w:r>
        <w:rPr>
          <w:rFonts w:ascii="Times New Roman" w:eastAsia="Times New Roman" w:hAnsi="Times New Roman" w:cs="Times New Roman"/>
          <w:sz w:val="23"/>
        </w:rPr>
        <w:t>firstgeneration</w:t>
      </w:r>
      <w:proofErr w:type="spellEnd"/>
      <w:r>
        <w:rPr>
          <w:rFonts w:ascii="Times New Roman" w:eastAsia="Times New Roman" w:hAnsi="Times New Roman" w:cs="Times New Roman"/>
          <w:sz w:val="23"/>
        </w:rPr>
        <w:t xml:space="preserve"> ethanol. Brazil had the capacity to produce approximately 37 billion </w:t>
      </w:r>
      <w:proofErr w:type="spellStart"/>
      <w:r>
        <w:rPr>
          <w:rFonts w:ascii="Times New Roman" w:eastAsia="Times New Roman" w:hAnsi="Times New Roman" w:cs="Times New Roman"/>
          <w:sz w:val="23"/>
        </w:rPr>
        <w:t>liters</w:t>
      </w:r>
      <w:proofErr w:type="spellEnd"/>
      <w:r>
        <w:rPr>
          <w:rFonts w:ascii="Times New Roman" w:eastAsia="Times New Roman" w:hAnsi="Times New Roman" w:cs="Times New Roman"/>
          <w:sz w:val="23"/>
        </w:rPr>
        <w:t xml:space="preserve"> (860 PJ) in more than 440 plants in 2012. However, because of</w:t>
      </w:r>
      <w:r>
        <w:rPr>
          <w:rFonts w:ascii="Times New Roman" w:eastAsia="Times New Roman" w:hAnsi="Times New Roman" w:cs="Times New Roman"/>
          <w:sz w:val="23"/>
        </w:rPr>
        <w:t xml:space="preserve"> the specificity of the feedstock used, sugarcane that has a short storage life, Brazil has an excess of 30 % in sugarcane milling capacity and the production facilities are generally oversized. In reality, the production reached 26 billion </w:t>
      </w:r>
      <w:proofErr w:type="spellStart"/>
      <w:r>
        <w:rPr>
          <w:rFonts w:ascii="Times New Roman" w:eastAsia="Times New Roman" w:hAnsi="Times New Roman" w:cs="Times New Roman"/>
          <w:sz w:val="23"/>
        </w:rPr>
        <w:t>liters</w:t>
      </w:r>
      <w:proofErr w:type="spellEnd"/>
      <w:r>
        <w:rPr>
          <w:rFonts w:ascii="Times New Roman" w:eastAsia="Times New Roman" w:hAnsi="Times New Roman" w:cs="Times New Roman"/>
          <w:sz w:val="23"/>
        </w:rPr>
        <w:t xml:space="preserve"> (610 PJ)</w:t>
      </w:r>
      <w:r>
        <w:rPr>
          <w:rFonts w:ascii="Times New Roman" w:eastAsia="Times New Roman" w:hAnsi="Times New Roman" w:cs="Times New Roman"/>
          <w:sz w:val="23"/>
        </w:rPr>
        <w:t xml:space="preserve">. As the United States are primarily using corn, which as a longer shelf-life, the USA with approximately 210 ethanol plants had the capacity to produce 56 billion </w:t>
      </w:r>
      <w:proofErr w:type="spellStart"/>
      <w:r>
        <w:rPr>
          <w:rFonts w:ascii="Times New Roman" w:eastAsia="Times New Roman" w:hAnsi="Times New Roman" w:cs="Times New Roman"/>
          <w:sz w:val="23"/>
        </w:rPr>
        <w:t>liters</w:t>
      </w:r>
      <w:proofErr w:type="spellEnd"/>
      <w:r>
        <w:rPr>
          <w:rFonts w:ascii="Times New Roman" w:eastAsia="Times New Roman" w:hAnsi="Times New Roman" w:cs="Times New Roman"/>
          <w:sz w:val="23"/>
        </w:rPr>
        <w:t xml:space="preserve"> (1310 PJ) in 2012. Therefore, US plants have on average about three times the </w:t>
      </w:r>
      <w:r>
        <w:rPr>
          <w:rFonts w:ascii="Times New Roman" w:eastAsia="Times New Roman" w:hAnsi="Times New Roman" w:cs="Times New Roman"/>
          <w:sz w:val="23"/>
        </w:rPr>
        <w:lastRenderedPageBreak/>
        <w:t xml:space="preserve">annual </w:t>
      </w:r>
      <w:r>
        <w:rPr>
          <w:rFonts w:ascii="Times New Roman" w:eastAsia="Times New Roman" w:hAnsi="Times New Roman" w:cs="Times New Roman"/>
          <w:sz w:val="23"/>
        </w:rPr>
        <w:t>capacity of Brazilian plants. Feedstock differentiation and implementation of integrated first- and second- generation’s bioethanol refineries might be an opportunity for the existing Brazilian facilities (Dias et al. 2013). The European Commission has alr</w:t>
      </w:r>
      <w:r>
        <w:rPr>
          <w:rFonts w:ascii="Times New Roman" w:eastAsia="Times New Roman" w:hAnsi="Times New Roman" w:cs="Times New Roman"/>
          <w:sz w:val="23"/>
        </w:rPr>
        <w:t>eady proposed to limit the proportion of biofuels from the first-generation biofuel used for the transportation sector to 5 % and to remove the subsidies for food crop-based biofuels by 2020 (</w:t>
      </w:r>
      <w:proofErr w:type="spellStart"/>
      <w:r>
        <w:rPr>
          <w:rFonts w:ascii="Times New Roman" w:eastAsia="Times New Roman" w:hAnsi="Times New Roman" w:cs="Times New Roman"/>
          <w:sz w:val="23"/>
        </w:rPr>
        <w:t>Timilsina</w:t>
      </w:r>
      <w:proofErr w:type="spellEnd"/>
      <w:r>
        <w:rPr>
          <w:rFonts w:ascii="Times New Roman" w:eastAsia="Times New Roman" w:hAnsi="Times New Roman" w:cs="Times New Roman"/>
          <w:sz w:val="23"/>
        </w:rPr>
        <w:t xml:space="preserve"> and </w:t>
      </w:r>
      <w:proofErr w:type="spellStart"/>
      <w:r>
        <w:rPr>
          <w:rFonts w:ascii="Times New Roman" w:eastAsia="Times New Roman" w:hAnsi="Times New Roman" w:cs="Times New Roman"/>
          <w:sz w:val="23"/>
        </w:rPr>
        <w:t>Shresta</w:t>
      </w:r>
      <w:proofErr w:type="spellEnd"/>
      <w:r>
        <w:rPr>
          <w:rFonts w:ascii="Times New Roman" w:eastAsia="Times New Roman" w:hAnsi="Times New Roman" w:cs="Times New Roman"/>
          <w:sz w:val="23"/>
        </w:rPr>
        <w:t xml:space="preserve"> 2014). If these commitments are confirmed,</w:t>
      </w:r>
      <w:r>
        <w:rPr>
          <w:rFonts w:ascii="Times New Roman" w:eastAsia="Times New Roman" w:hAnsi="Times New Roman" w:cs="Times New Roman"/>
          <w:sz w:val="23"/>
        </w:rPr>
        <w:t xml:space="preserve"> the </w:t>
      </w:r>
      <w:proofErr w:type="spellStart"/>
      <w:r>
        <w:rPr>
          <w:rFonts w:ascii="Times New Roman" w:eastAsia="Times New Roman" w:hAnsi="Times New Roman" w:cs="Times New Roman"/>
          <w:sz w:val="23"/>
        </w:rPr>
        <w:t>secondgeneration</w:t>
      </w:r>
      <w:proofErr w:type="spellEnd"/>
      <w:r>
        <w:rPr>
          <w:rFonts w:ascii="Times New Roman" w:eastAsia="Times New Roman" w:hAnsi="Times New Roman" w:cs="Times New Roman"/>
          <w:sz w:val="23"/>
        </w:rPr>
        <w:t xml:space="preserve"> biofuels are expected to produce the other 5 % in volume within the next five years in the European Union. Thus, once the last technological and economic uncertainties are controlled, investments at the industrial scale should be on t</w:t>
      </w:r>
      <w:r>
        <w:rPr>
          <w:rFonts w:ascii="Times New Roman" w:eastAsia="Times New Roman" w:hAnsi="Times New Roman" w:cs="Times New Roman"/>
          <w:sz w:val="23"/>
        </w:rPr>
        <w:t xml:space="preserve">he raise again. </w:t>
      </w:r>
    </w:p>
    <w:p w14:paraId="24F61EF1" w14:textId="77777777" w:rsidR="00746699" w:rsidRDefault="00746699">
      <w:pPr>
        <w:spacing w:after="69" w:line="239" w:lineRule="auto"/>
        <w:ind w:left="9" w:right="59" w:hanging="10"/>
        <w:jc w:val="both"/>
      </w:pPr>
    </w:p>
    <w:p w14:paraId="110DBD40" w14:textId="77777777" w:rsidR="00B406DE" w:rsidRDefault="0017084C">
      <w:pPr>
        <w:spacing w:after="0"/>
        <w:ind w:left="9" w:hanging="10"/>
      </w:pPr>
      <w:r>
        <w:rPr>
          <w:rFonts w:ascii="Times New Roman" w:eastAsia="Times New Roman" w:hAnsi="Times New Roman" w:cs="Times New Roman"/>
          <w:sz w:val="30"/>
          <w:u w:val="single" w:color="000000"/>
        </w:rPr>
        <w:t>Future Challenges to Improve the</w:t>
      </w:r>
      <w:r>
        <w:rPr>
          <w:rFonts w:ascii="Times New Roman" w:eastAsia="Times New Roman" w:hAnsi="Times New Roman" w:cs="Times New Roman"/>
          <w:sz w:val="30"/>
        </w:rPr>
        <w:t xml:space="preserve"> </w:t>
      </w:r>
    </w:p>
    <w:p w14:paraId="5721EE7B" w14:textId="77777777" w:rsidR="00B406DE" w:rsidRDefault="0017084C">
      <w:pPr>
        <w:spacing w:after="0"/>
        <w:ind w:left="9" w:hanging="10"/>
      </w:pPr>
      <w:r>
        <w:rPr>
          <w:rFonts w:ascii="Times New Roman" w:eastAsia="Times New Roman" w:hAnsi="Times New Roman" w:cs="Times New Roman"/>
          <w:sz w:val="30"/>
          <w:u w:val="single" w:color="000000"/>
        </w:rPr>
        <w:t>Environmental Balances of Biofuels</w:t>
      </w:r>
      <w:r>
        <w:rPr>
          <w:rFonts w:ascii="Times New Roman" w:eastAsia="Times New Roman" w:hAnsi="Times New Roman" w:cs="Times New Roman"/>
          <w:sz w:val="30"/>
        </w:rPr>
        <w:t xml:space="preserve"> </w:t>
      </w:r>
    </w:p>
    <w:p w14:paraId="4BC6C14B" w14:textId="77777777" w:rsidR="00B406DE" w:rsidRDefault="0017084C">
      <w:pPr>
        <w:spacing w:after="0" w:line="239" w:lineRule="auto"/>
        <w:ind w:left="9" w:right="59" w:hanging="10"/>
        <w:jc w:val="both"/>
      </w:pPr>
      <w:r>
        <w:rPr>
          <w:rFonts w:ascii="Times New Roman" w:eastAsia="Times New Roman" w:hAnsi="Times New Roman" w:cs="Times New Roman"/>
          <w:sz w:val="23"/>
        </w:rPr>
        <w:t xml:space="preserve">Figure 7 (top) presents the greenhouse gases reduction potential for different feedstock of </w:t>
      </w:r>
      <w:proofErr w:type="spellStart"/>
      <w:r>
        <w:rPr>
          <w:rFonts w:ascii="Times New Roman" w:eastAsia="Times New Roman" w:hAnsi="Times New Roman" w:cs="Times New Roman"/>
          <w:sz w:val="23"/>
        </w:rPr>
        <w:t>firstgeneration</w:t>
      </w:r>
      <w:proofErr w:type="spellEnd"/>
      <w:r>
        <w:rPr>
          <w:rFonts w:ascii="Times New Roman" w:eastAsia="Times New Roman" w:hAnsi="Times New Roman" w:cs="Times New Roman"/>
          <w:sz w:val="23"/>
        </w:rPr>
        <w:t>. These effects are further amplified with better yields per h</w:t>
      </w:r>
      <w:r>
        <w:rPr>
          <w:rFonts w:ascii="Times New Roman" w:eastAsia="Times New Roman" w:hAnsi="Times New Roman" w:cs="Times New Roman"/>
          <w:sz w:val="23"/>
        </w:rPr>
        <w:t xml:space="preserve">ectare. In the case of </w:t>
      </w:r>
      <w:proofErr w:type="spellStart"/>
      <w:r>
        <w:rPr>
          <w:rFonts w:ascii="Times New Roman" w:eastAsia="Times New Roman" w:hAnsi="Times New Roman" w:cs="Times New Roman"/>
          <w:sz w:val="23"/>
        </w:rPr>
        <w:t>secondgeneration</w:t>
      </w:r>
      <w:proofErr w:type="spellEnd"/>
      <w:r>
        <w:rPr>
          <w:rFonts w:ascii="Times New Roman" w:eastAsia="Times New Roman" w:hAnsi="Times New Roman" w:cs="Times New Roman"/>
          <w:sz w:val="23"/>
        </w:rPr>
        <w:t xml:space="preserve"> Miscanthus x giganteus, Arundo </w:t>
      </w:r>
      <w:proofErr w:type="spellStart"/>
      <w:r>
        <w:rPr>
          <w:rFonts w:ascii="Times New Roman" w:eastAsia="Times New Roman" w:hAnsi="Times New Roman" w:cs="Times New Roman"/>
          <w:sz w:val="23"/>
        </w:rPr>
        <w:t>donax</w:t>
      </w:r>
      <w:proofErr w:type="spellEnd"/>
      <w:r>
        <w:rPr>
          <w:rFonts w:ascii="Times New Roman" w:eastAsia="Times New Roman" w:hAnsi="Times New Roman" w:cs="Times New Roman"/>
          <w:sz w:val="23"/>
        </w:rPr>
        <w:t>, and Pennisetum purpureum seem the most promising feedstock for achieving high-energy yields (Laurent et al. 2015). Unfortunately, there is neither ideal feedstock nor universal p</w:t>
      </w:r>
      <w:r>
        <w:rPr>
          <w:rFonts w:ascii="Times New Roman" w:eastAsia="Times New Roman" w:hAnsi="Times New Roman" w:cs="Times New Roman"/>
          <w:sz w:val="23"/>
        </w:rPr>
        <w:t xml:space="preserve">rocess for the biofuel production process and the performances are dependent on the good adequacy between the feedstock properties and the whole process. In the case of second-generation fuels, the </w:t>
      </w:r>
      <w:r w:rsidR="00746699">
        <w:rPr>
          <w:rFonts w:ascii="Times New Roman" w:eastAsia="Times New Roman" w:hAnsi="Times New Roman" w:cs="Times New Roman"/>
          <w:sz w:val="23"/>
        </w:rPr>
        <w:t>pre-treatment</w:t>
      </w:r>
      <w:r>
        <w:rPr>
          <w:rFonts w:ascii="Times New Roman" w:eastAsia="Times New Roman" w:hAnsi="Times New Roman" w:cs="Times New Roman"/>
          <w:sz w:val="23"/>
        </w:rPr>
        <w:t xml:space="preserve"> step is of particular importance. For instanc</w:t>
      </w:r>
      <w:r>
        <w:rPr>
          <w:rFonts w:ascii="Times New Roman" w:eastAsia="Times New Roman" w:hAnsi="Times New Roman" w:cs="Times New Roman"/>
          <w:sz w:val="23"/>
        </w:rPr>
        <w:t xml:space="preserve">e, depending on the composition of the plant cell wall and in particular the </w:t>
      </w:r>
      <w:proofErr w:type="gramStart"/>
      <w:r>
        <w:rPr>
          <w:rFonts w:ascii="Times New Roman" w:eastAsia="Times New Roman" w:hAnsi="Times New Roman" w:cs="Times New Roman"/>
          <w:sz w:val="23"/>
        </w:rPr>
        <w:t>amount</w:t>
      </w:r>
      <w:proofErr w:type="gramEnd"/>
      <w:r>
        <w:rPr>
          <w:rFonts w:ascii="Times New Roman" w:eastAsia="Times New Roman" w:hAnsi="Times New Roman" w:cs="Times New Roman"/>
          <w:sz w:val="23"/>
        </w:rPr>
        <w:t xml:space="preserve"> of ramifications on the polysaccharides fractions, either the dilute acidic </w:t>
      </w:r>
      <w:r w:rsidR="00746699">
        <w:rPr>
          <w:rFonts w:ascii="Times New Roman" w:eastAsia="Times New Roman" w:hAnsi="Times New Roman" w:cs="Times New Roman"/>
          <w:sz w:val="23"/>
        </w:rPr>
        <w:t>pre-treatment</w:t>
      </w:r>
      <w:r>
        <w:rPr>
          <w:rFonts w:ascii="Times New Roman" w:eastAsia="Times New Roman" w:hAnsi="Times New Roman" w:cs="Times New Roman"/>
          <w:sz w:val="23"/>
        </w:rPr>
        <w:t xml:space="preserve"> for wheat straw or the ammonia </w:t>
      </w:r>
      <w:proofErr w:type="spellStart"/>
      <w:r>
        <w:rPr>
          <w:rFonts w:ascii="Times New Roman" w:eastAsia="Times New Roman" w:hAnsi="Times New Roman" w:cs="Times New Roman"/>
          <w:sz w:val="23"/>
        </w:rPr>
        <w:t>fiber</w:t>
      </w:r>
      <w:proofErr w:type="spellEnd"/>
      <w:r>
        <w:rPr>
          <w:rFonts w:ascii="Times New Roman" w:eastAsia="Times New Roman" w:hAnsi="Times New Roman" w:cs="Times New Roman"/>
          <w:sz w:val="23"/>
        </w:rPr>
        <w:t xml:space="preserve"> expansion for corn stover (Wyman et al. 2005) </w:t>
      </w:r>
      <w:r>
        <w:rPr>
          <w:rFonts w:ascii="Times New Roman" w:eastAsia="Times New Roman" w:hAnsi="Times New Roman" w:cs="Times New Roman"/>
          <w:sz w:val="23"/>
        </w:rPr>
        <w:t>will perform best (Fig. 7, bottom). Furthermore, in the situation of intensive farming, a high input of nitrogen fertilizer might lead to adverse effects. In fact, ammonia is produced with the Haber reaction at 200–400 bars and 450 °C in the reaction of th</w:t>
      </w:r>
      <w:r>
        <w:rPr>
          <w:rFonts w:ascii="Times New Roman" w:eastAsia="Times New Roman" w:hAnsi="Times New Roman" w:cs="Times New Roman"/>
          <w:sz w:val="23"/>
        </w:rPr>
        <w:t>e nitrogen from air and natural gas. This is both a high energetic costly process and part of the explanation on the relationship between fossil fuels and food crops prices (</w:t>
      </w:r>
      <w:proofErr w:type="spellStart"/>
      <w:r>
        <w:rPr>
          <w:rFonts w:ascii="Times New Roman" w:eastAsia="Times New Roman" w:hAnsi="Times New Roman" w:cs="Times New Roman"/>
          <w:sz w:val="23"/>
        </w:rPr>
        <w:t>Esmaeili</w:t>
      </w:r>
      <w:proofErr w:type="spellEnd"/>
      <w:r>
        <w:rPr>
          <w:rFonts w:ascii="Times New Roman" w:eastAsia="Times New Roman" w:hAnsi="Times New Roman" w:cs="Times New Roman"/>
          <w:sz w:val="23"/>
        </w:rPr>
        <w:t xml:space="preserve"> and </w:t>
      </w:r>
      <w:proofErr w:type="spellStart"/>
      <w:r>
        <w:rPr>
          <w:rFonts w:ascii="Times New Roman" w:eastAsia="Times New Roman" w:hAnsi="Times New Roman" w:cs="Times New Roman"/>
          <w:sz w:val="23"/>
        </w:rPr>
        <w:t>Shokoohi</w:t>
      </w:r>
      <w:proofErr w:type="spellEnd"/>
      <w:r>
        <w:rPr>
          <w:rFonts w:ascii="Times New Roman" w:eastAsia="Times New Roman" w:hAnsi="Times New Roman" w:cs="Times New Roman"/>
          <w:sz w:val="23"/>
        </w:rPr>
        <w:t xml:space="preserve"> 2011). </w:t>
      </w:r>
    </w:p>
    <w:p w14:paraId="22F24792" w14:textId="77777777" w:rsidR="00B406DE" w:rsidRDefault="0017084C">
      <w:pPr>
        <w:spacing w:after="0"/>
        <w:ind w:left="10"/>
      </w:pPr>
      <w:r>
        <w:rPr>
          <w:noProof/>
        </w:rPr>
        <mc:AlternateContent>
          <mc:Choice Requires="wpg">
            <w:drawing>
              <wp:inline distT="0" distB="0" distL="0" distR="0" wp14:anchorId="51E03735" wp14:editId="21B2D767">
                <wp:extent cx="2942016" cy="2335219"/>
                <wp:effectExtent l="0" t="0" r="0" b="0"/>
                <wp:docPr id="5003" name="Group 5003"/>
                <wp:cNvGraphicFramePr/>
                <a:graphic xmlns:a="http://schemas.openxmlformats.org/drawingml/2006/main">
                  <a:graphicData uri="http://schemas.microsoft.com/office/word/2010/wordprocessingGroup">
                    <wpg:wgp>
                      <wpg:cNvGrpSpPr/>
                      <wpg:grpSpPr>
                        <a:xfrm>
                          <a:off x="0" y="0"/>
                          <a:ext cx="2942016" cy="2335219"/>
                          <a:chOff x="0" y="0"/>
                          <a:chExt cx="2942016" cy="2335219"/>
                        </a:xfrm>
                      </wpg:grpSpPr>
                      <wps:wsp>
                        <wps:cNvPr id="246" name="Rectangle 246"/>
                        <wps:cNvSpPr/>
                        <wps:spPr>
                          <a:xfrm>
                            <a:off x="2906268" y="2205143"/>
                            <a:ext cx="47545" cy="173001"/>
                          </a:xfrm>
                          <a:prstGeom prst="rect">
                            <a:avLst/>
                          </a:prstGeom>
                          <a:ln>
                            <a:noFill/>
                          </a:ln>
                        </wps:spPr>
                        <wps:txbx>
                          <w:txbxContent>
                            <w:p w14:paraId="11861861" w14:textId="77777777" w:rsidR="00B406DE" w:rsidRDefault="0017084C">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6127" name="Shape 6127"/>
                        <wps:cNvSpPr/>
                        <wps:spPr>
                          <a:xfrm>
                            <a:off x="3048" y="2319528"/>
                            <a:ext cx="2903220" cy="9144"/>
                          </a:xfrm>
                          <a:custGeom>
                            <a:avLst/>
                            <a:gdLst/>
                            <a:ahLst/>
                            <a:cxnLst/>
                            <a:rect l="0" t="0" r="0" b="0"/>
                            <a:pathLst>
                              <a:path w="2903220" h="9144">
                                <a:moveTo>
                                  <a:pt x="0" y="0"/>
                                </a:moveTo>
                                <a:lnTo>
                                  <a:pt x="2903220" y="0"/>
                                </a:lnTo>
                                <a:lnTo>
                                  <a:pt x="2903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2" name="Picture 312"/>
                          <pic:cNvPicPr/>
                        </pic:nvPicPr>
                        <pic:blipFill>
                          <a:blip r:embed="rId7"/>
                          <a:stretch>
                            <a:fillRect/>
                          </a:stretch>
                        </pic:blipFill>
                        <pic:spPr>
                          <a:xfrm>
                            <a:off x="0" y="0"/>
                            <a:ext cx="2910840" cy="2305812"/>
                          </a:xfrm>
                          <a:prstGeom prst="rect">
                            <a:avLst/>
                          </a:prstGeom>
                        </pic:spPr>
                      </pic:pic>
                    </wpg:wgp>
                  </a:graphicData>
                </a:graphic>
              </wp:inline>
            </w:drawing>
          </mc:Choice>
          <mc:Fallback xmlns:a="http://schemas.openxmlformats.org/drawingml/2006/main">
            <w:pict>
              <v:group id="Group 5003" style="width:231.655pt;height:183.875pt;mso-position-horizontal-relative:char;mso-position-vertical-relative:line" coordsize="29420,23352">
                <v:rect id="Rectangle 246" style="position:absolute;width:475;height:1730;left:29062;top:22051;" filled="f" stroked="f">
                  <v:textbox inset="0,0,0,0">
                    <w:txbxContent>
                      <w:p>
                        <w:pPr>
                          <w:spacing w:before="0" w:after="160" w:line="259" w:lineRule="auto"/>
                        </w:pPr>
                        <w:r>
                          <w:rPr>
                            <w:rFonts w:cs="Times New Roman" w:hAnsi="Times New Roman" w:eastAsia="Times New Roman" w:ascii="Times New Roman"/>
                            <w:sz w:val="23"/>
                          </w:rPr>
                          <w:t xml:space="preserve"> </w:t>
                        </w:r>
                      </w:p>
                    </w:txbxContent>
                  </v:textbox>
                </v:rect>
                <v:shape id="Shape 6128" style="position:absolute;width:29032;height:91;left:30;top:23195;" coordsize="2903220,9144" path="m0,0l2903220,0l2903220,9144l0,9144l0,0">
                  <v:stroke weight="0pt" endcap="flat" joinstyle="miter" miterlimit="10" on="false" color="#000000" opacity="0"/>
                  <v:fill on="true" color="#000000"/>
                </v:shape>
                <v:shape id="Picture 312" style="position:absolute;width:29108;height:23058;left:0;top:0;" filled="f">
                  <v:imagedata r:id="rId8"/>
                </v:shape>
              </v:group>
            </w:pict>
          </mc:Fallback>
        </mc:AlternateContent>
      </w:r>
    </w:p>
    <w:p w14:paraId="43B0600A" w14:textId="77777777" w:rsidR="00B406DE" w:rsidRDefault="0017084C">
      <w:pPr>
        <w:spacing w:after="3" w:line="253" w:lineRule="auto"/>
        <w:ind w:left="-5" w:hanging="10"/>
      </w:pPr>
      <w:r>
        <w:rPr>
          <w:rFonts w:ascii="Times New Roman" w:eastAsia="Times New Roman" w:hAnsi="Times New Roman" w:cs="Times New Roman"/>
          <w:sz w:val="23"/>
        </w:rPr>
        <w:t>Fig. 7 Comparative assessment of the greenhous</w:t>
      </w:r>
      <w:r>
        <w:rPr>
          <w:rFonts w:ascii="Times New Roman" w:eastAsia="Times New Roman" w:hAnsi="Times New Roman" w:cs="Times New Roman"/>
          <w:sz w:val="23"/>
        </w:rPr>
        <w:t xml:space="preserve">e gases reduction potential according to the type of feedstock used (top) and to the type of </w:t>
      </w:r>
      <w:proofErr w:type="spellStart"/>
      <w:r>
        <w:rPr>
          <w:rFonts w:ascii="Times New Roman" w:eastAsia="Times New Roman" w:hAnsi="Times New Roman" w:cs="Times New Roman"/>
          <w:sz w:val="23"/>
        </w:rPr>
        <w:t>pretreatment</w:t>
      </w:r>
      <w:proofErr w:type="spellEnd"/>
      <w:r>
        <w:rPr>
          <w:rFonts w:ascii="Times New Roman" w:eastAsia="Times New Roman" w:hAnsi="Times New Roman" w:cs="Times New Roman"/>
          <w:sz w:val="23"/>
        </w:rPr>
        <w:t xml:space="preserve"> and amelioration potential of the existing technologies. AFEX stands for ammonia </w:t>
      </w:r>
      <w:proofErr w:type="spellStart"/>
      <w:r>
        <w:rPr>
          <w:rFonts w:ascii="Times New Roman" w:eastAsia="Times New Roman" w:hAnsi="Times New Roman" w:cs="Times New Roman"/>
          <w:sz w:val="23"/>
        </w:rPr>
        <w:t>fiber</w:t>
      </w:r>
      <w:proofErr w:type="spellEnd"/>
      <w:r>
        <w:rPr>
          <w:rFonts w:ascii="Times New Roman" w:eastAsia="Times New Roman" w:hAnsi="Times New Roman" w:cs="Times New Roman"/>
          <w:sz w:val="23"/>
        </w:rPr>
        <w:t xml:space="preserve"> expansion. Data compiled from Maurya et al. </w:t>
      </w:r>
    </w:p>
    <w:p w14:paraId="60613BB8" w14:textId="77777777" w:rsidR="00B406DE" w:rsidRDefault="0017084C">
      <w:pPr>
        <w:spacing w:after="3" w:line="253" w:lineRule="auto"/>
        <w:ind w:left="-5" w:hanging="10"/>
      </w:pPr>
      <w:r>
        <w:rPr>
          <w:rFonts w:ascii="Times New Roman" w:eastAsia="Times New Roman" w:hAnsi="Times New Roman" w:cs="Times New Roman"/>
          <w:sz w:val="23"/>
        </w:rPr>
        <w:t>(</w:t>
      </w:r>
      <w:r>
        <w:rPr>
          <w:rFonts w:ascii="Times New Roman" w:eastAsia="Times New Roman" w:hAnsi="Times New Roman" w:cs="Times New Roman"/>
          <w:color w:val="0000FF"/>
          <w:sz w:val="23"/>
        </w:rPr>
        <w:t>2015</w:t>
      </w: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Mafe</w:t>
      </w:r>
      <w:proofErr w:type="spellEnd"/>
      <w:r>
        <w:rPr>
          <w:rFonts w:ascii="Times New Roman" w:eastAsia="Times New Roman" w:hAnsi="Times New Roman" w:cs="Times New Roman"/>
          <w:sz w:val="23"/>
        </w:rPr>
        <w:t xml:space="preserve"> et al</w:t>
      </w:r>
      <w:r>
        <w:rPr>
          <w:rFonts w:ascii="Times New Roman" w:eastAsia="Times New Roman" w:hAnsi="Times New Roman" w:cs="Times New Roman"/>
          <w:sz w:val="23"/>
        </w:rPr>
        <w:t>. (</w:t>
      </w:r>
      <w:r>
        <w:rPr>
          <w:rFonts w:ascii="Times New Roman" w:eastAsia="Times New Roman" w:hAnsi="Times New Roman" w:cs="Times New Roman"/>
          <w:color w:val="0000FF"/>
          <w:sz w:val="23"/>
        </w:rPr>
        <w:t>2015</w:t>
      </w:r>
      <w:r>
        <w:rPr>
          <w:rFonts w:ascii="Times New Roman" w:eastAsia="Times New Roman" w:hAnsi="Times New Roman" w:cs="Times New Roman"/>
          <w:sz w:val="23"/>
        </w:rPr>
        <w:t xml:space="preserve">) and Pandey et al. </w:t>
      </w:r>
    </w:p>
    <w:p w14:paraId="0D3CE4C1" w14:textId="77777777" w:rsidR="00B406DE" w:rsidRDefault="0017084C">
      <w:pPr>
        <w:spacing w:after="3" w:line="253"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w:t>
      </w:r>
      <w:r>
        <w:rPr>
          <w:rFonts w:ascii="Times New Roman" w:eastAsia="Times New Roman" w:hAnsi="Times New Roman" w:cs="Times New Roman"/>
          <w:color w:val="0000FF"/>
          <w:sz w:val="23"/>
        </w:rPr>
        <w:t>2014</w:t>
      </w:r>
      <w:r>
        <w:rPr>
          <w:rFonts w:ascii="Times New Roman" w:eastAsia="Times New Roman" w:hAnsi="Times New Roman" w:cs="Times New Roman"/>
          <w:sz w:val="23"/>
        </w:rPr>
        <w:t xml:space="preserve">). </w:t>
      </w:r>
    </w:p>
    <w:p w14:paraId="74206A98" w14:textId="77777777" w:rsidR="0017084C" w:rsidRDefault="0017084C">
      <w:pPr>
        <w:spacing w:after="3" w:line="253" w:lineRule="auto"/>
        <w:ind w:left="-5" w:hanging="10"/>
      </w:pPr>
      <w:r w:rsidRPr="0017084C">
        <w:rPr>
          <w:noProof/>
        </w:rPr>
        <w:drawing>
          <wp:inline distT="0" distB="0" distL="0" distR="0" wp14:anchorId="64FE5A84" wp14:editId="0CE35A77">
            <wp:extent cx="2926715" cy="16516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715" cy="1651635"/>
                    </a:xfrm>
                    <a:prstGeom prst="rect">
                      <a:avLst/>
                    </a:prstGeom>
                    <a:noFill/>
                    <a:ln>
                      <a:noFill/>
                    </a:ln>
                  </pic:spPr>
                </pic:pic>
              </a:graphicData>
            </a:graphic>
          </wp:inline>
        </w:drawing>
      </w:r>
    </w:p>
    <w:p w14:paraId="1AA6490D" w14:textId="77777777" w:rsidR="00B406DE" w:rsidRDefault="0017084C">
      <w:pPr>
        <w:spacing w:after="71"/>
        <w:rPr>
          <w:rFonts w:ascii="TimesNewRomanPSMT" w:eastAsiaTheme="minorEastAsia" w:hAnsi="TimesNewRomanPSMT" w:cs="TimesNewRomanPSMT"/>
          <w:color w:val="auto"/>
        </w:rPr>
      </w:pPr>
      <w:r>
        <w:rPr>
          <w:rFonts w:ascii="Times New Roman" w:eastAsia="Times New Roman" w:hAnsi="Times New Roman" w:cs="Times New Roman"/>
          <w:sz w:val="23"/>
        </w:rPr>
        <w:t xml:space="preserve"> Fig.8 </w:t>
      </w:r>
      <w:r w:rsidRPr="0017084C">
        <w:rPr>
          <w:rFonts w:ascii="TimesNewRomanPSMT" w:eastAsiaTheme="minorEastAsia" w:hAnsi="TimesNewRomanPSMT" w:cs="TimesNewRomanPSMT"/>
          <w:color w:val="auto"/>
        </w:rPr>
        <w:t>Share of renewables in global energy supply (IEA 2006)</w:t>
      </w:r>
    </w:p>
    <w:p w14:paraId="784D26B3" w14:textId="77777777" w:rsidR="0017084C" w:rsidRPr="0017084C" w:rsidRDefault="0017084C">
      <w:pPr>
        <w:spacing w:after="71"/>
      </w:pPr>
    </w:p>
    <w:p w14:paraId="42D29CF5" w14:textId="77777777" w:rsidR="00B406DE" w:rsidRDefault="0017084C">
      <w:pPr>
        <w:pStyle w:val="Heading1"/>
        <w:ind w:left="-5"/>
      </w:pPr>
      <w:r>
        <w:t>Conclusion</w:t>
      </w:r>
      <w:r>
        <w:t xml:space="preserve"> </w:t>
      </w:r>
    </w:p>
    <w:p w14:paraId="24DC4DA1" w14:textId="77777777" w:rsidR="00B406DE" w:rsidRDefault="0017084C">
      <w:pPr>
        <w:spacing w:after="4" w:line="251" w:lineRule="auto"/>
        <w:ind w:left="-5" w:hanging="10"/>
      </w:pPr>
      <w:r>
        <w:rPr>
          <w:rFonts w:ascii="Times New Roman" w:eastAsia="Times New Roman" w:hAnsi="Times New Roman" w:cs="Times New Roman"/>
          <w:sz w:val="23"/>
        </w:rPr>
        <w:t xml:space="preserve">Biofuels production processes, whatever the generation, are at the </w:t>
      </w:r>
      <w:proofErr w:type="spellStart"/>
      <w:r>
        <w:rPr>
          <w:rFonts w:ascii="Times New Roman" w:eastAsia="Times New Roman" w:hAnsi="Times New Roman" w:cs="Times New Roman"/>
          <w:sz w:val="23"/>
        </w:rPr>
        <w:t>center</w:t>
      </w:r>
      <w:proofErr w:type="spellEnd"/>
      <w:r>
        <w:rPr>
          <w:rFonts w:ascii="Times New Roman" w:eastAsia="Times New Roman" w:hAnsi="Times New Roman" w:cs="Times New Roman"/>
          <w:sz w:val="23"/>
        </w:rPr>
        <w:t xml:space="preserve"> of industrial ecology principles. In this context, the development of integrated bio refineries combining the best of the first, second, and third-generation processes in one same ge</w:t>
      </w:r>
      <w:r>
        <w:rPr>
          <w:rFonts w:ascii="Times New Roman" w:eastAsia="Times New Roman" w:hAnsi="Times New Roman" w:cs="Times New Roman"/>
          <w:sz w:val="23"/>
        </w:rPr>
        <w:t xml:space="preserve">ographical unit is a promising line to work on. However, even an ideally </w:t>
      </w:r>
      <w:proofErr w:type="gramStart"/>
      <w:r w:rsidR="00746699">
        <w:rPr>
          <w:rFonts w:ascii="Times New Roman" w:eastAsia="Times New Roman" w:hAnsi="Times New Roman" w:cs="Times New Roman"/>
          <w:sz w:val="23"/>
        </w:rPr>
        <w:t>environmental</w:t>
      </w:r>
      <w:proofErr w:type="gramEnd"/>
      <w:r w:rsidR="00746699">
        <w:rPr>
          <w:rFonts w:ascii="Times New Roman" w:eastAsia="Times New Roman" w:hAnsi="Times New Roman" w:cs="Times New Roman"/>
          <w:sz w:val="23"/>
        </w:rPr>
        <w:t xml:space="preserve"> friendly</w:t>
      </w:r>
      <w:r>
        <w:rPr>
          <w:rFonts w:ascii="Times New Roman" w:eastAsia="Times New Roman" w:hAnsi="Times New Roman" w:cs="Times New Roman"/>
          <w:sz w:val="23"/>
        </w:rPr>
        <w:t xml:space="preserve"> energy resource, though large investments and governmental subsidies may have negative indirect effects. This leads to a drop in the prices of fossil resources a</w:t>
      </w:r>
      <w:r>
        <w:rPr>
          <w:rFonts w:ascii="Times New Roman" w:eastAsia="Times New Roman" w:hAnsi="Times New Roman" w:cs="Times New Roman"/>
          <w:sz w:val="23"/>
        </w:rPr>
        <w:t xml:space="preserve">nd makes them even more attractive and used in other parts of the planet. Without </w:t>
      </w:r>
      <w:r>
        <w:rPr>
          <w:rFonts w:ascii="Times New Roman" w:eastAsia="Times New Roman" w:hAnsi="Times New Roman" w:cs="Times New Roman"/>
          <w:sz w:val="23"/>
        </w:rPr>
        <w:tab/>
        <w:t xml:space="preserve">any </w:t>
      </w:r>
      <w:r>
        <w:rPr>
          <w:rFonts w:ascii="Times New Roman" w:eastAsia="Times New Roman" w:hAnsi="Times New Roman" w:cs="Times New Roman"/>
          <w:sz w:val="23"/>
        </w:rPr>
        <w:tab/>
        <w:t xml:space="preserve">regulation, </w:t>
      </w:r>
      <w:r>
        <w:rPr>
          <w:rFonts w:ascii="Times New Roman" w:eastAsia="Times New Roman" w:hAnsi="Times New Roman" w:cs="Times New Roman"/>
          <w:sz w:val="23"/>
        </w:rPr>
        <w:tab/>
        <w:t xml:space="preserve">these </w:t>
      </w:r>
      <w:r>
        <w:rPr>
          <w:rFonts w:ascii="Times New Roman" w:eastAsia="Times New Roman" w:hAnsi="Times New Roman" w:cs="Times New Roman"/>
          <w:sz w:val="23"/>
        </w:rPr>
        <w:tab/>
        <w:t xml:space="preserve">financials mechanisms have the side </w:t>
      </w:r>
      <w:r>
        <w:rPr>
          <w:rFonts w:ascii="Times New Roman" w:eastAsia="Times New Roman" w:hAnsi="Times New Roman" w:cs="Times New Roman"/>
          <w:sz w:val="23"/>
        </w:rPr>
        <w:lastRenderedPageBreak/>
        <w:t xml:space="preserve">effect of making the efforts obsolete and even </w:t>
      </w:r>
      <w:proofErr w:type="spellStart"/>
      <w:r>
        <w:rPr>
          <w:rFonts w:ascii="Times New Roman" w:eastAsia="Times New Roman" w:hAnsi="Times New Roman" w:cs="Times New Roman"/>
          <w:sz w:val="23"/>
        </w:rPr>
        <w:t>counter</w:t>
      </w:r>
      <w:r>
        <w:rPr>
          <w:rFonts w:ascii="Times New Roman" w:eastAsia="Times New Roman" w:hAnsi="Times New Roman" w:cs="Times New Roman"/>
          <w:sz w:val="18"/>
        </w:rPr>
        <w:t xml:space="preserve"> </w:t>
      </w:r>
      <w:r>
        <w:rPr>
          <w:rFonts w:ascii="Times New Roman" w:eastAsia="Times New Roman" w:hAnsi="Times New Roman" w:cs="Times New Roman"/>
          <w:sz w:val="23"/>
        </w:rPr>
        <w:t>productive</w:t>
      </w:r>
      <w:proofErr w:type="spellEnd"/>
      <w:r>
        <w:rPr>
          <w:rFonts w:ascii="Times New Roman" w:eastAsia="Times New Roman" w:hAnsi="Times New Roman" w:cs="Times New Roman"/>
          <w:sz w:val="23"/>
        </w:rPr>
        <w:t>, at least on the global environmental indicato</w:t>
      </w:r>
      <w:r>
        <w:rPr>
          <w:rFonts w:ascii="Times New Roman" w:eastAsia="Times New Roman" w:hAnsi="Times New Roman" w:cs="Times New Roman"/>
          <w:sz w:val="23"/>
        </w:rPr>
        <w:t>rs, such as the emissions of greenhouse gases. Therefore, in the absence financial regulatory, the large-scale development of “green fuels” will be just another additional energy to support the global economic activity and never a real alternative associat</w:t>
      </w:r>
      <w:r>
        <w:rPr>
          <w:rFonts w:ascii="Times New Roman" w:eastAsia="Times New Roman" w:hAnsi="Times New Roman" w:cs="Times New Roman"/>
          <w:sz w:val="23"/>
        </w:rPr>
        <w:t xml:space="preserve">ed with the </w:t>
      </w:r>
      <w:r>
        <w:rPr>
          <w:rFonts w:ascii="Times New Roman" w:eastAsia="Times New Roman" w:hAnsi="Times New Roman" w:cs="Times New Roman"/>
          <w:sz w:val="23"/>
        </w:rPr>
        <w:tab/>
        <w:t xml:space="preserve">energetic </w:t>
      </w:r>
      <w:r>
        <w:rPr>
          <w:rFonts w:ascii="Times New Roman" w:eastAsia="Times New Roman" w:hAnsi="Times New Roman" w:cs="Times New Roman"/>
          <w:sz w:val="23"/>
        </w:rPr>
        <w:tab/>
        <w:t xml:space="preserve">transition. </w:t>
      </w:r>
      <w:r>
        <w:rPr>
          <w:rFonts w:ascii="Times New Roman" w:eastAsia="Times New Roman" w:hAnsi="Times New Roman" w:cs="Times New Roman"/>
          <w:sz w:val="23"/>
        </w:rPr>
        <w:tab/>
        <w:t xml:space="preserve">To </w:t>
      </w:r>
      <w:r>
        <w:rPr>
          <w:rFonts w:ascii="Times New Roman" w:eastAsia="Times New Roman" w:hAnsi="Times New Roman" w:cs="Times New Roman"/>
          <w:sz w:val="23"/>
        </w:rPr>
        <w:tab/>
        <w:t xml:space="preserve">conclude, </w:t>
      </w:r>
      <w:r>
        <w:rPr>
          <w:rFonts w:ascii="Times New Roman" w:eastAsia="Times New Roman" w:hAnsi="Times New Roman" w:cs="Times New Roman"/>
          <w:sz w:val="23"/>
        </w:rPr>
        <w:tab/>
        <w:t xml:space="preserve">the environmental impact of the production of biofuels cannot be tackled without a transparent and standardized collaboration of all stakeholders. They have a common interest to join forces in a holistic </w:t>
      </w:r>
      <w:r>
        <w:rPr>
          <w:rFonts w:ascii="Times New Roman" w:eastAsia="Times New Roman" w:hAnsi="Times New Roman" w:cs="Times New Roman"/>
          <w:sz w:val="23"/>
        </w:rPr>
        <w:t>research approach that has to be necessarily conducted in a transdisciplinary approach, and not dictated by the sole economic aspects. The development of the biorefinery lies now at a crossroad. It must be refocused on the territorial aspects, especially w</w:t>
      </w:r>
      <w:r>
        <w:rPr>
          <w:rFonts w:ascii="Times New Roman" w:eastAsia="Times New Roman" w:hAnsi="Times New Roman" w:cs="Times New Roman"/>
          <w:sz w:val="23"/>
        </w:rPr>
        <w:t xml:space="preserve">ith the agricultural and forestry sector. It is mandatory to evaluate the actual environmental impacts in terms of waste generation, </w:t>
      </w:r>
      <w:r>
        <w:rPr>
          <w:rFonts w:ascii="Times New Roman" w:eastAsia="Times New Roman" w:hAnsi="Times New Roman" w:cs="Times New Roman"/>
          <w:sz w:val="23"/>
        </w:rPr>
        <w:tab/>
        <w:t xml:space="preserve">raw </w:t>
      </w:r>
      <w:r>
        <w:rPr>
          <w:rFonts w:ascii="Times New Roman" w:eastAsia="Times New Roman" w:hAnsi="Times New Roman" w:cs="Times New Roman"/>
          <w:sz w:val="23"/>
        </w:rPr>
        <w:tab/>
        <w:t xml:space="preserve">material </w:t>
      </w:r>
      <w:r>
        <w:rPr>
          <w:rFonts w:ascii="Times New Roman" w:eastAsia="Times New Roman" w:hAnsi="Times New Roman" w:cs="Times New Roman"/>
          <w:sz w:val="23"/>
        </w:rPr>
        <w:tab/>
        <w:t xml:space="preserve">consumption </w:t>
      </w:r>
      <w:r>
        <w:rPr>
          <w:rFonts w:ascii="Times New Roman" w:eastAsia="Times New Roman" w:hAnsi="Times New Roman" w:cs="Times New Roman"/>
          <w:sz w:val="23"/>
        </w:rPr>
        <w:tab/>
        <w:t xml:space="preserve">and regeneration, </w:t>
      </w:r>
      <w:r>
        <w:rPr>
          <w:rFonts w:ascii="Times New Roman" w:eastAsia="Times New Roman" w:hAnsi="Times New Roman" w:cs="Times New Roman"/>
          <w:sz w:val="23"/>
        </w:rPr>
        <w:tab/>
        <w:t xml:space="preserve">water </w:t>
      </w:r>
      <w:r>
        <w:rPr>
          <w:rFonts w:ascii="Times New Roman" w:eastAsia="Times New Roman" w:hAnsi="Times New Roman" w:cs="Times New Roman"/>
          <w:sz w:val="23"/>
        </w:rPr>
        <w:tab/>
        <w:t xml:space="preserve">availability, </w:t>
      </w:r>
      <w:r>
        <w:rPr>
          <w:rFonts w:ascii="Times New Roman" w:eastAsia="Times New Roman" w:hAnsi="Times New Roman" w:cs="Times New Roman"/>
          <w:sz w:val="23"/>
        </w:rPr>
        <w:tab/>
        <w:t xml:space="preserve">and </w:t>
      </w:r>
      <w:r>
        <w:rPr>
          <w:rFonts w:ascii="Times New Roman" w:eastAsia="Times New Roman" w:hAnsi="Times New Roman" w:cs="Times New Roman"/>
          <w:sz w:val="23"/>
        </w:rPr>
        <w:tab/>
        <w:t xml:space="preserve">waste recycling processes. This must be done in </w:t>
      </w:r>
      <w:r>
        <w:rPr>
          <w:rFonts w:ascii="Times New Roman" w:eastAsia="Times New Roman" w:hAnsi="Times New Roman" w:cs="Times New Roman"/>
          <w:sz w:val="23"/>
        </w:rPr>
        <w:t xml:space="preserve">relation with a geographical context, including all socioeconomic </w:t>
      </w:r>
      <w:r>
        <w:rPr>
          <w:rFonts w:ascii="Times New Roman" w:eastAsia="Times New Roman" w:hAnsi="Times New Roman" w:cs="Times New Roman"/>
          <w:sz w:val="23"/>
        </w:rPr>
        <w:tab/>
        <w:t xml:space="preserve">backgrounds, </w:t>
      </w:r>
      <w:r>
        <w:rPr>
          <w:rFonts w:ascii="Times New Roman" w:eastAsia="Times New Roman" w:hAnsi="Times New Roman" w:cs="Times New Roman"/>
          <w:sz w:val="23"/>
        </w:rPr>
        <w:tab/>
        <w:t xml:space="preserve">resources </w:t>
      </w:r>
    </w:p>
    <w:p w14:paraId="329ADF2C" w14:textId="77777777" w:rsidR="00B406DE" w:rsidRDefault="0017084C">
      <w:pPr>
        <w:spacing w:after="4" w:line="251" w:lineRule="auto"/>
        <w:ind w:left="-5" w:hanging="10"/>
      </w:pPr>
      <w:r>
        <w:rPr>
          <w:rFonts w:ascii="Times New Roman" w:eastAsia="Times New Roman" w:hAnsi="Times New Roman" w:cs="Times New Roman"/>
          <w:sz w:val="23"/>
        </w:rPr>
        <w:t>avail</w:t>
      </w:r>
      <w:r>
        <w:rPr>
          <w:rFonts w:ascii="Times New Roman" w:eastAsia="Times New Roman" w:hAnsi="Times New Roman" w:cs="Times New Roman"/>
          <w:sz w:val="18"/>
        </w:rPr>
        <w:t xml:space="preserve"> </w:t>
      </w:r>
      <w:r>
        <w:rPr>
          <w:rFonts w:ascii="Times New Roman" w:eastAsia="Times New Roman" w:hAnsi="Times New Roman" w:cs="Times New Roman"/>
          <w:sz w:val="23"/>
        </w:rPr>
        <w:t xml:space="preserve">ability, </w:t>
      </w:r>
      <w:r>
        <w:rPr>
          <w:rFonts w:ascii="Times New Roman" w:eastAsia="Times New Roman" w:hAnsi="Times New Roman" w:cs="Times New Roman"/>
          <w:sz w:val="23"/>
        </w:rPr>
        <w:tab/>
        <w:t xml:space="preserve">and </w:t>
      </w:r>
      <w:r>
        <w:rPr>
          <w:rFonts w:ascii="Times New Roman" w:eastAsia="Times New Roman" w:hAnsi="Times New Roman" w:cs="Times New Roman"/>
          <w:sz w:val="23"/>
        </w:rPr>
        <w:tab/>
        <w:t xml:space="preserve">short-range </w:t>
      </w:r>
      <w:r>
        <w:rPr>
          <w:rFonts w:ascii="Times New Roman" w:eastAsia="Times New Roman" w:hAnsi="Times New Roman" w:cs="Times New Roman"/>
          <w:sz w:val="23"/>
        </w:rPr>
        <w:tab/>
        <w:t xml:space="preserve">markets possibilities. But the virtuous modes of energy generation for the future remain largely to be reinvented. </w:t>
      </w:r>
    </w:p>
    <w:p w14:paraId="7A7071F9" w14:textId="77777777" w:rsidR="00B406DE" w:rsidRDefault="0017084C">
      <w:pPr>
        <w:spacing w:after="0"/>
      </w:pPr>
      <w:r>
        <w:rPr>
          <w:rFonts w:ascii="Times New Roman" w:eastAsia="Times New Roman" w:hAnsi="Times New Roman" w:cs="Times New Roman"/>
          <w:sz w:val="23"/>
        </w:rPr>
        <w:t xml:space="preserve"> </w:t>
      </w:r>
    </w:p>
    <w:p w14:paraId="46D1593D" w14:textId="77777777" w:rsidR="00B406DE" w:rsidRPr="0017084C" w:rsidRDefault="0017084C" w:rsidP="0017084C">
      <w:pPr>
        <w:spacing w:after="4" w:line="251" w:lineRule="auto"/>
        <w:ind w:left="-5" w:hanging="10"/>
        <w:rPr>
          <w:sz w:val="30"/>
          <w:szCs w:val="30"/>
        </w:rPr>
      </w:pPr>
      <w:r w:rsidRPr="0017084C">
        <w:rPr>
          <w:rFonts w:ascii="Times New Roman" w:eastAsia="Times New Roman" w:hAnsi="Times New Roman" w:cs="Times New Roman"/>
          <w:sz w:val="30"/>
          <w:szCs w:val="30"/>
        </w:rPr>
        <w:t xml:space="preserve">References </w:t>
      </w:r>
    </w:p>
    <w:p w14:paraId="685955B2" w14:textId="77777777" w:rsidR="0017084C" w:rsidRDefault="0017084C" w:rsidP="0017084C">
      <w:pPr>
        <w:spacing w:after="4" w:line="251" w:lineRule="auto"/>
        <w:ind w:left="-5" w:hanging="10"/>
      </w:pPr>
    </w:p>
    <w:p w14:paraId="46397404" w14:textId="77777777" w:rsidR="00B406DE" w:rsidRDefault="0017084C">
      <w:pPr>
        <w:spacing w:after="0" w:line="239" w:lineRule="auto"/>
        <w:ind w:left="9" w:right="59" w:hanging="10"/>
        <w:jc w:val="both"/>
      </w:pPr>
      <w:r>
        <w:rPr>
          <w:rFonts w:ascii="Times New Roman" w:eastAsia="Times New Roman" w:hAnsi="Times New Roman" w:cs="Times New Roman"/>
          <w:sz w:val="23"/>
        </w:rPr>
        <w:t xml:space="preserve">Economic and Environmental Aspects of Biofuels Emmanuel Bertrand, </w:t>
      </w:r>
      <w:proofErr w:type="spellStart"/>
      <w:r>
        <w:rPr>
          <w:rFonts w:ascii="Times New Roman" w:eastAsia="Times New Roman" w:hAnsi="Times New Roman" w:cs="Times New Roman"/>
          <w:sz w:val="23"/>
        </w:rPr>
        <w:t>Marilys</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Pradel</w:t>
      </w:r>
      <w:proofErr w:type="spellEnd"/>
      <w:r>
        <w:rPr>
          <w:rFonts w:ascii="Times New Roman" w:eastAsia="Times New Roman" w:hAnsi="Times New Roman" w:cs="Times New Roman"/>
          <w:sz w:val="23"/>
        </w:rPr>
        <w:t xml:space="preserve"> and </w:t>
      </w:r>
      <w:proofErr w:type="spellStart"/>
      <w:r>
        <w:rPr>
          <w:rFonts w:ascii="Times New Roman" w:eastAsia="Times New Roman" w:hAnsi="Times New Roman" w:cs="Times New Roman"/>
          <w:sz w:val="23"/>
        </w:rPr>
        <w:t>ClaudeGilles</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Dussap</w:t>
      </w:r>
      <w:proofErr w:type="spellEnd"/>
      <w:r>
        <w:rPr>
          <w:rFonts w:ascii="Times New Roman" w:eastAsia="Times New Roman" w:hAnsi="Times New Roman" w:cs="Times New Roman"/>
          <w:sz w:val="23"/>
        </w:rPr>
        <w:t xml:space="preserve">. </w:t>
      </w:r>
    </w:p>
    <w:p w14:paraId="25249BF1" w14:textId="77777777" w:rsidR="00B406DE" w:rsidRDefault="0017084C">
      <w:pPr>
        <w:spacing w:after="0"/>
      </w:pPr>
      <w:r>
        <w:rPr>
          <w:rFonts w:ascii="Times New Roman" w:eastAsia="Times New Roman" w:hAnsi="Times New Roman" w:cs="Times New Roman"/>
          <w:sz w:val="23"/>
        </w:rPr>
        <w:t xml:space="preserve"> </w:t>
      </w:r>
    </w:p>
    <w:p w14:paraId="087F21E7" w14:textId="77777777" w:rsidR="00746699" w:rsidRDefault="0017084C">
      <w:pPr>
        <w:spacing w:after="4" w:line="251"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Aden A, Foust T (2009) Techno economic analysis of the dilute sulphuric acid and enzymatic hydrolysis process for the conversion of corn stover t</w:t>
      </w:r>
      <w:r>
        <w:rPr>
          <w:rFonts w:ascii="Times New Roman" w:eastAsia="Times New Roman" w:hAnsi="Times New Roman" w:cs="Times New Roman"/>
          <w:sz w:val="23"/>
        </w:rPr>
        <w:t>o ethanol.</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Cellulose 16(4):535–545 </w:t>
      </w:r>
    </w:p>
    <w:p w14:paraId="10445AFC" w14:textId="77777777" w:rsidR="00746699" w:rsidRDefault="0017084C">
      <w:pPr>
        <w:spacing w:after="4" w:line="251" w:lineRule="auto"/>
        <w:ind w:left="-5" w:hanging="10"/>
        <w:rPr>
          <w:rFonts w:ascii="Times New Roman" w:eastAsia="Times New Roman" w:hAnsi="Times New Roman" w:cs="Times New Roman"/>
          <w:sz w:val="23"/>
        </w:rPr>
      </w:pPr>
      <w:proofErr w:type="spellStart"/>
      <w:r>
        <w:rPr>
          <w:rFonts w:ascii="Times New Roman" w:eastAsia="Times New Roman" w:hAnsi="Times New Roman" w:cs="Times New Roman"/>
          <w:sz w:val="23"/>
        </w:rPr>
        <w:t>Alghur</w:t>
      </w:r>
      <w:proofErr w:type="spellEnd"/>
      <w:r>
        <w:rPr>
          <w:rFonts w:ascii="Times New Roman" w:eastAsia="Times New Roman" w:hAnsi="Times New Roman" w:cs="Times New Roman"/>
          <w:sz w:val="23"/>
        </w:rPr>
        <w:t xml:space="preserve"> OF, </w:t>
      </w:r>
      <w:proofErr w:type="spellStart"/>
      <w:r>
        <w:rPr>
          <w:rFonts w:ascii="Times New Roman" w:eastAsia="Times New Roman" w:hAnsi="Times New Roman" w:cs="Times New Roman"/>
          <w:sz w:val="23"/>
        </w:rPr>
        <w:t>Kadioglu</w:t>
      </w:r>
      <w:proofErr w:type="spellEnd"/>
      <w:r>
        <w:rPr>
          <w:rFonts w:ascii="Times New Roman" w:eastAsia="Times New Roman" w:hAnsi="Times New Roman" w:cs="Times New Roman"/>
          <w:sz w:val="23"/>
        </w:rPr>
        <w:t xml:space="preserve"> A (1992) The effects of vinasse on the growth, biomass and primary productivity in pea (Pisum sativum) and sunflower (Helianthus anus). </w:t>
      </w:r>
    </w:p>
    <w:p w14:paraId="296334A3" w14:textId="77777777" w:rsidR="00746699" w:rsidRDefault="0017084C">
      <w:pPr>
        <w:spacing w:after="4" w:line="251"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Agric </w:t>
      </w:r>
      <w:proofErr w:type="spellStart"/>
      <w:r>
        <w:rPr>
          <w:rFonts w:ascii="Times New Roman" w:eastAsia="Times New Roman" w:hAnsi="Times New Roman" w:cs="Times New Roman"/>
          <w:sz w:val="23"/>
        </w:rPr>
        <w:t>Ecosyst</w:t>
      </w:r>
      <w:proofErr w:type="spellEnd"/>
      <w:r>
        <w:rPr>
          <w:rFonts w:ascii="Times New Roman" w:eastAsia="Times New Roman" w:hAnsi="Times New Roman" w:cs="Times New Roman"/>
          <w:sz w:val="23"/>
        </w:rPr>
        <w:t xml:space="preserve"> Environ 39(3,4):139–144 Barbosa MJ, </w:t>
      </w:r>
      <w:proofErr w:type="spellStart"/>
      <w:r>
        <w:rPr>
          <w:rFonts w:ascii="Times New Roman" w:eastAsia="Times New Roman" w:hAnsi="Times New Roman" w:cs="Times New Roman"/>
          <w:sz w:val="23"/>
        </w:rPr>
        <w:t>Wijffels</w:t>
      </w:r>
      <w:proofErr w:type="spellEnd"/>
      <w:r>
        <w:rPr>
          <w:rFonts w:ascii="Times New Roman" w:eastAsia="Times New Roman" w:hAnsi="Times New Roman" w:cs="Times New Roman"/>
          <w:sz w:val="23"/>
        </w:rPr>
        <w:t xml:space="preserve"> RH (20</w:t>
      </w:r>
      <w:r>
        <w:rPr>
          <w:rFonts w:ascii="Times New Roman" w:eastAsia="Times New Roman" w:hAnsi="Times New Roman" w:cs="Times New Roman"/>
          <w:sz w:val="23"/>
        </w:rPr>
        <w:t xml:space="preserve">13) Biofuels from microalgae. </w:t>
      </w:r>
    </w:p>
    <w:p w14:paraId="5DE728CE" w14:textId="77777777" w:rsidR="00746699" w:rsidRDefault="0017084C">
      <w:pPr>
        <w:spacing w:after="4" w:line="251"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In: Richmond A, Hu Q (eds) </w:t>
      </w:r>
      <w:proofErr w:type="gramStart"/>
      <w:r>
        <w:rPr>
          <w:rFonts w:ascii="Times New Roman" w:eastAsia="Times New Roman" w:hAnsi="Times New Roman" w:cs="Times New Roman"/>
          <w:sz w:val="23"/>
        </w:rPr>
        <w:t xml:space="preserve">Handbook </w:t>
      </w:r>
      <w:r w:rsidR="00746699">
        <w:rPr>
          <w:rFonts w:ascii="Times New Roman" w:eastAsia="Times New Roman" w:hAnsi="Times New Roman" w:cs="Times New Roman"/>
          <w:sz w:val="23"/>
        </w:rPr>
        <w:t xml:space="preserve"> </w:t>
      </w:r>
      <w:r>
        <w:rPr>
          <w:rFonts w:ascii="Times New Roman" w:eastAsia="Times New Roman" w:hAnsi="Times New Roman" w:cs="Times New Roman"/>
          <w:sz w:val="23"/>
        </w:rPr>
        <w:t>of</w:t>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microalgal </w:t>
      </w:r>
      <w:r>
        <w:rPr>
          <w:rFonts w:ascii="Times New Roman" w:eastAsia="Times New Roman" w:hAnsi="Times New Roman" w:cs="Times New Roman"/>
          <w:sz w:val="23"/>
        </w:rPr>
        <w:tab/>
        <w:t xml:space="preserve">culture, </w:t>
      </w:r>
      <w:r>
        <w:rPr>
          <w:rFonts w:ascii="Times New Roman" w:eastAsia="Times New Roman" w:hAnsi="Times New Roman" w:cs="Times New Roman"/>
          <w:sz w:val="23"/>
        </w:rPr>
        <w:tab/>
        <w:t xml:space="preserve">applied phycology and biotechnology, 2nd </w:t>
      </w:r>
      <w:proofErr w:type="spellStart"/>
      <w:r>
        <w:rPr>
          <w:rFonts w:ascii="Times New Roman" w:eastAsia="Times New Roman" w:hAnsi="Times New Roman" w:cs="Times New Roman"/>
          <w:sz w:val="23"/>
        </w:rPr>
        <w:t>edn</w:t>
      </w:r>
      <w:proofErr w:type="spellEnd"/>
      <w:r>
        <w:rPr>
          <w:rFonts w:ascii="Times New Roman" w:eastAsia="Times New Roman" w:hAnsi="Times New Roman" w:cs="Times New Roman"/>
          <w:sz w:val="23"/>
        </w:rPr>
        <w:t xml:space="preserve">. Wiley, Hoboken, </w:t>
      </w:r>
      <w:r>
        <w:rPr>
          <w:rFonts w:ascii="Times New Roman" w:eastAsia="Times New Roman" w:hAnsi="Times New Roman" w:cs="Times New Roman"/>
          <w:sz w:val="23"/>
        </w:rPr>
        <w:tab/>
        <w:t xml:space="preserve">pp </w:t>
      </w:r>
      <w:r>
        <w:rPr>
          <w:rFonts w:ascii="Times New Roman" w:eastAsia="Times New Roman" w:hAnsi="Times New Roman" w:cs="Times New Roman"/>
          <w:sz w:val="23"/>
        </w:rPr>
        <w:tab/>
        <w:t xml:space="preserve">566–577 </w:t>
      </w:r>
      <w:r>
        <w:rPr>
          <w:rFonts w:ascii="Times New Roman" w:eastAsia="Times New Roman" w:hAnsi="Times New Roman" w:cs="Times New Roman"/>
          <w:sz w:val="23"/>
        </w:rPr>
        <w:tab/>
      </w:r>
    </w:p>
    <w:p w14:paraId="08154DA4" w14:textId="77777777" w:rsidR="00746699" w:rsidRDefault="00746699">
      <w:pPr>
        <w:spacing w:after="4" w:line="251"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Carbajal’s</w:t>
      </w:r>
      <w:r w:rsidR="0017084C">
        <w:rPr>
          <w:rFonts w:ascii="Times New Roman" w:eastAsia="Times New Roman" w:hAnsi="Times New Roman" w:cs="Times New Roman"/>
          <w:sz w:val="23"/>
        </w:rPr>
        <w:t xml:space="preserve">-Dale </w:t>
      </w:r>
      <w:r w:rsidR="0017084C">
        <w:rPr>
          <w:rFonts w:ascii="Times New Roman" w:eastAsia="Times New Roman" w:hAnsi="Times New Roman" w:cs="Times New Roman"/>
          <w:sz w:val="23"/>
        </w:rPr>
        <w:tab/>
        <w:t xml:space="preserve">M, Barnhart CJ, Benson SM (2014) Can we afford storage? A dynamic net </w:t>
      </w:r>
      <w:r w:rsidR="0017084C">
        <w:rPr>
          <w:rFonts w:ascii="Times New Roman" w:eastAsia="Times New Roman" w:hAnsi="Times New Roman" w:cs="Times New Roman"/>
          <w:sz w:val="23"/>
        </w:rPr>
        <w:t xml:space="preserve">energy analysis of renewable electricity generation supported by energy storage. </w:t>
      </w:r>
    </w:p>
    <w:p w14:paraId="34504826" w14:textId="77777777" w:rsidR="00B406DE" w:rsidRDefault="0017084C">
      <w:pPr>
        <w:spacing w:after="4" w:line="251" w:lineRule="auto"/>
        <w:ind w:left="-5" w:hanging="10"/>
      </w:pPr>
      <w:r>
        <w:rPr>
          <w:rFonts w:ascii="Times New Roman" w:eastAsia="Times New Roman" w:hAnsi="Times New Roman" w:cs="Times New Roman"/>
          <w:sz w:val="23"/>
        </w:rPr>
        <w:t xml:space="preserve">Energy Environ Sci 7 (5):1538– 1544 Cha KS, Bae JS (2011) Dynamic impacts of high oil prices on the bioethanol and feedstock markets. </w:t>
      </w:r>
      <w:r>
        <w:rPr>
          <w:rFonts w:ascii="Times New Roman" w:eastAsia="Times New Roman" w:hAnsi="Times New Roman" w:cs="Times New Roman"/>
          <w:sz w:val="23"/>
        </w:rPr>
        <w:tab/>
        <w:t xml:space="preserve">Energy </w:t>
      </w:r>
      <w:r>
        <w:rPr>
          <w:rFonts w:ascii="Times New Roman" w:eastAsia="Times New Roman" w:hAnsi="Times New Roman" w:cs="Times New Roman"/>
          <w:sz w:val="23"/>
        </w:rPr>
        <w:t xml:space="preserve">Policy </w:t>
      </w:r>
      <w:r>
        <w:rPr>
          <w:rFonts w:ascii="Times New Roman" w:eastAsia="Times New Roman" w:hAnsi="Times New Roman" w:cs="Times New Roman"/>
          <w:sz w:val="23"/>
        </w:rPr>
        <w:tab/>
        <w:t xml:space="preserve">39(2):753–760 </w:t>
      </w:r>
    </w:p>
    <w:p w14:paraId="06EC9CCB" w14:textId="77777777" w:rsidR="00B406DE" w:rsidRDefault="0017084C" w:rsidP="0017084C">
      <w:pPr>
        <w:spacing w:after="4" w:line="251" w:lineRule="auto"/>
        <w:ind w:left="-5" w:hanging="10"/>
      </w:pPr>
      <w:proofErr w:type="spellStart"/>
      <w:r>
        <w:rPr>
          <w:rFonts w:ascii="Times New Roman" w:eastAsia="Times New Roman" w:hAnsi="Times New Roman" w:cs="Times New Roman"/>
          <w:sz w:val="23"/>
        </w:rPr>
        <w:t>Chiaramon</w:t>
      </w:r>
      <w:r>
        <w:rPr>
          <w:rFonts w:ascii="Times New Roman" w:eastAsia="Times New Roman" w:hAnsi="Times New Roman" w:cs="Times New Roman"/>
          <w:sz w:val="23"/>
        </w:rPr>
        <w:t>ti</w:t>
      </w:r>
      <w:proofErr w:type="spellEnd"/>
      <w:r>
        <w:rPr>
          <w:rFonts w:ascii="Times New Roman" w:eastAsia="Times New Roman" w:hAnsi="Times New Roman" w:cs="Times New Roman"/>
          <w:sz w:val="23"/>
        </w:rPr>
        <w:t xml:space="preserve"> D, </w:t>
      </w:r>
      <w:proofErr w:type="spellStart"/>
      <w:r>
        <w:rPr>
          <w:rFonts w:ascii="Times New Roman" w:eastAsia="Times New Roman" w:hAnsi="Times New Roman" w:cs="Times New Roman"/>
          <w:sz w:val="23"/>
        </w:rPr>
        <w:t>Prussi</w:t>
      </w:r>
      <w:proofErr w:type="spellEnd"/>
      <w:r>
        <w:rPr>
          <w:rFonts w:ascii="Times New Roman" w:eastAsia="Times New Roman" w:hAnsi="Times New Roman" w:cs="Times New Roman"/>
          <w:sz w:val="23"/>
        </w:rPr>
        <w:t xml:space="preserve"> M, Ferrero S et al (2012) Review </w:t>
      </w:r>
      <w:r>
        <w:rPr>
          <w:rFonts w:ascii="Times New Roman" w:eastAsia="Times New Roman" w:hAnsi="Times New Roman" w:cs="Times New Roman"/>
          <w:sz w:val="23"/>
        </w:rPr>
        <w:tab/>
        <w:t xml:space="preserve">of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pretreatment</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processes </w:t>
      </w:r>
      <w:r>
        <w:rPr>
          <w:rFonts w:ascii="Times New Roman" w:eastAsia="Times New Roman" w:hAnsi="Times New Roman" w:cs="Times New Roman"/>
          <w:sz w:val="23"/>
        </w:rPr>
        <w:tab/>
        <w:t xml:space="preserve">for lignocellulosic </w:t>
      </w:r>
      <w:r>
        <w:rPr>
          <w:rFonts w:ascii="Times New Roman" w:eastAsia="Times New Roman" w:hAnsi="Times New Roman" w:cs="Times New Roman"/>
          <w:sz w:val="23"/>
        </w:rPr>
        <w:tab/>
        <w:t xml:space="preserve">ethanol </w:t>
      </w:r>
      <w:r>
        <w:rPr>
          <w:rFonts w:ascii="Times New Roman" w:eastAsia="Times New Roman" w:hAnsi="Times New Roman" w:cs="Times New Roman"/>
          <w:sz w:val="23"/>
        </w:rPr>
        <w:tab/>
        <w:t xml:space="preserve">production, </w:t>
      </w:r>
      <w:r>
        <w:rPr>
          <w:rFonts w:ascii="Times New Roman" w:eastAsia="Times New Roman" w:hAnsi="Times New Roman" w:cs="Times New Roman"/>
          <w:sz w:val="23"/>
        </w:rPr>
        <w:tab/>
        <w:t xml:space="preserve">and development of an innovative method. Biomass </w:t>
      </w:r>
      <w:r>
        <w:rPr>
          <w:rFonts w:ascii="Times New Roman" w:eastAsia="Times New Roman" w:hAnsi="Times New Roman" w:cs="Times New Roman"/>
          <w:sz w:val="23"/>
        </w:rPr>
        <w:t xml:space="preserve">Bioenergy 46:25–35  </w:t>
      </w:r>
    </w:p>
    <w:p w14:paraId="3E47DA0F" w14:textId="77777777" w:rsidR="00B406DE" w:rsidRDefault="0017084C">
      <w:pPr>
        <w:spacing w:after="0"/>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58541C5" w14:textId="77777777" w:rsidR="00746699" w:rsidRDefault="00746699">
      <w:pPr>
        <w:spacing w:after="0"/>
        <w:rPr>
          <w:rFonts w:ascii="Times New Roman" w:eastAsia="Times New Roman" w:hAnsi="Times New Roman" w:cs="Times New Roman"/>
          <w:sz w:val="23"/>
        </w:rPr>
      </w:pPr>
    </w:p>
    <w:p w14:paraId="443917FB"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8"/>
          <w:szCs w:val="28"/>
        </w:rPr>
      </w:pPr>
      <w:r w:rsidRPr="00746699">
        <w:rPr>
          <w:rFonts w:ascii="Times New Roman" w:eastAsiaTheme="minorEastAsia" w:hAnsi="Times New Roman" w:cs="Times New Roman"/>
          <w:color w:val="auto"/>
          <w:sz w:val="28"/>
          <w:szCs w:val="28"/>
        </w:rPr>
        <w:t>Appendix: Definition of Terms</w:t>
      </w:r>
    </w:p>
    <w:p w14:paraId="5D59C3DC"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b/>
          <w:bCs/>
          <w:color w:val="auto"/>
          <w:sz w:val="24"/>
          <w:szCs w:val="24"/>
        </w:rPr>
        <w:t>Renewable energy</w:t>
      </w:r>
      <w:r w:rsidRPr="00746699">
        <w:rPr>
          <w:rFonts w:ascii="Times New Roman" w:eastAsiaTheme="minorEastAsia" w:hAnsi="Times New Roman" w:cs="Times New Roman"/>
          <w:color w:val="auto"/>
          <w:sz w:val="24"/>
          <w:szCs w:val="24"/>
        </w:rPr>
        <w:t>: Energy derived from resources that can either cannot be depleted or</w:t>
      </w:r>
    </w:p>
    <w:p w14:paraId="57BBBA4B"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can be regenerated.</w:t>
      </w:r>
    </w:p>
    <w:p w14:paraId="57E6B440"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b/>
          <w:bCs/>
          <w:color w:val="auto"/>
          <w:sz w:val="24"/>
          <w:szCs w:val="24"/>
        </w:rPr>
        <w:t>Fossil energy</w:t>
      </w:r>
      <w:r w:rsidRPr="00746699">
        <w:rPr>
          <w:rFonts w:ascii="Times New Roman" w:eastAsiaTheme="minorEastAsia" w:hAnsi="Times New Roman" w:cs="Times New Roman"/>
          <w:color w:val="auto"/>
          <w:sz w:val="24"/>
          <w:szCs w:val="24"/>
        </w:rPr>
        <w:t>: Energy derived from sources like coal and petroleum (crude oil and</w:t>
      </w:r>
    </w:p>
    <w:p w14:paraId="489DCF65"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natural gas), which are formed from the fossilized remains of dead plants and animals</w:t>
      </w:r>
    </w:p>
    <w:p w14:paraId="692A2EDB"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over millions of years.</w:t>
      </w:r>
    </w:p>
    <w:p w14:paraId="1254673F"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b/>
          <w:bCs/>
          <w:color w:val="auto"/>
          <w:sz w:val="24"/>
          <w:szCs w:val="24"/>
        </w:rPr>
        <w:t>Biomass</w:t>
      </w:r>
      <w:r w:rsidRPr="00746699">
        <w:rPr>
          <w:rFonts w:ascii="Times New Roman" w:eastAsiaTheme="minorEastAsia" w:hAnsi="Times New Roman" w:cs="Times New Roman"/>
          <w:color w:val="auto"/>
          <w:sz w:val="24"/>
          <w:szCs w:val="24"/>
        </w:rPr>
        <w:t>: Plant matter that can be used as fuel or for other commercial and industrial</w:t>
      </w:r>
    </w:p>
    <w:p w14:paraId="4B098DA4"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uses. The source of biomass can either be purpose-grown crops or crop wastes and</w:t>
      </w:r>
    </w:p>
    <w:p w14:paraId="488B976E"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color w:val="auto"/>
          <w:sz w:val="24"/>
          <w:szCs w:val="24"/>
        </w:rPr>
        <w:t>residues, which are generated by agricultural or forestry activities.</w:t>
      </w:r>
    </w:p>
    <w:p w14:paraId="2E3D4269"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b/>
          <w:bCs/>
          <w:color w:val="auto"/>
          <w:sz w:val="24"/>
          <w:szCs w:val="24"/>
        </w:rPr>
        <w:t>Bioenergy</w:t>
      </w:r>
      <w:r w:rsidRPr="00746699">
        <w:rPr>
          <w:rFonts w:ascii="Times New Roman" w:eastAsiaTheme="minorEastAsia" w:hAnsi="Times New Roman" w:cs="Times New Roman"/>
          <w:color w:val="auto"/>
          <w:sz w:val="24"/>
          <w:szCs w:val="24"/>
        </w:rPr>
        <w:t>: Energy derived from biomass.</w:t>
      </w:r>
    </w:p>
    <w:p w14:paraId="7F297BC0" w14:textId="77777777" w:rsidR="00746699" w:rsidRPr="00746699" w:rsidRDefault="00746699" w:rsidP="00746699">
      <w:pPr>
        <w:autoSpaceDE w:val="0"/>
        <w:autoSpaceDN w:val="0"/>
        <w:adjustRightInd w:val="0"/>
        <w:spacing w:after="0" w:line="240" w:lineRule="auto"/>
        <w:rPr>
          <w:rFonts w:ascii="Times New Roman" w:eastAsiaTheme="minorEastAsia" w:hAnsi="Times New Roman" w:cs="Times New Roman"/>
          <w:color w:val="auto"/>
          <w:sz w:val="24"/>
          <w:szCs w:val="24"/>
        </w:rPr>
      </w:pPr>
      <w:r w:rsidRPr="00746699">
        <w:rPr>
          <w:rFonts w:ascii="Times New Roman" w:eastAsiaTheme="minorEastAsia" w:hAnsi="Times New Roman" w:cs="Times New Roman"/>
          <w:b/>
          <w:bCs/>
          <w:color w:val="auto"/>
          <w:sz w:val="24"/>
          <w:szCs w:val="24"/>
        </w:rPr>
        <w:t>Biofuel</w:t>
      </w:r>
      <w:r w:rsidRPr="00746699">
        <w:rPr>
          <w:rFonts w:ascii="Times New Roman" w:eastAsiaTheme="minorEastAsia" w:hAnsi="Times New Roman" w:cs="Times New Roman"/>
          <w:color w:val="auto"/>
          <w:sz w:val="24"/>
          <w:szCs w:val="24"/>
        </w:rPr>
        <w:t>: Fuels derived from biomass, which can be in solid, liquid or gaseous states. In</w:t>
      </w:r>
    </w:p>
    <w:p w14:paraId="757D6B22" w14:textId="77777777" w:rsidR="00746699" w:rsidRDefault="00746699" w:rsidP="00746699">
      <w:pPr>
        <w:autoSpaceDE w:val="0"/>
        <w:autoSpaceDN w:val="0"/>
        <w:adjustRightInd w:val="0"/>
        <w:spacing w:after="0" w:line="240" w:lineRule="auto"/>
        <w:rPr>
          <w:rFonts w:ascii="TimesNewRomanPSMT" w:eastAsiaTheme="minorEastAsia" w:hAnsi="TimesNewRomanPSMT" w:cs="TimesNewRomanPSMT"/>
          <w:color w:val="auto"/>
          <w:sz w:val="24"/>
          <w:szCs w:val="24"/>
        </w:rPr>
      </w:pPr>
      <w:r w:rsidRPr="00746699">
        <w:rPr>
          <w:rFonts w:ascii="Times New Roman" w:eastAsiaTheme="minorEastAsia" w:hAnsi="Times New Roman" w:cs="Times New Roman"/>
          <w:color w:val="auto"/>
          <w:sz w:val="24"/>
          <w:szCs w:val="24"/>
        </w:rPr>
        <w:t>our context it is taken to refer to liquid or gaseous tr</w:t>
      </w:r>
      <w:r>
        <w:rPr>
          <w:rFonts w:ascii="TimesNewRomanPSMT" w:eastAsiaTheme="minorEastAsia" w:hAnsi="TimesNewRomanPSMT" w:cs="TimesNewRomanPSMT"/>
          <w:color w:val="auto"/>
          <w:sz w:val="24"/>
          <w:szCs w:val="24"/>
        </w:rPr>
        <w:t>ansportation fuel derived from</w:t>
      </w:r>
    </w:p>
    <w:p w14:paraId="6783F741" w14:textId="77777777" w:rsidR="00746699" w:rsidRDefault="00746699" w:rsidP="00746699">
      <w:pPr>
        <w:spacing w:after="0"/>
      </w:pPr>
      <w:r>
        <w:rPr>
          <w:rFonts w:ascii="TimesNewRomanPSMT" w:eastAsiaTheme="minorEastAsia" w:hAnsi="TimesNewRomanPSMT" w:cs="TimesNewRomanPSMT"/>
          <w:color w:val="auto"/>
          <w:sz w:val="24"/>
          <w:szCs w:val="24"/>
        </w:rPr>
        <w:t>biomass.</w:t>
      </w:r>
    </w:p>
    <w:p w14:paraId="4CB154D9" w14:textId="77777777" w:rsidR="00B406DE" w:rsidRDefault="0017084C">
      <w:pPr>
        <w:spacing w:after="83"/>
      </w:pPr>
      <w:r>
        <w:rPr>
          <w:rFonts w:ascii="Times New Roman" w:eastAsia="Times New Roman" w:hAnsi="Times New Roman" w:cs="Times New Roman"/>
          <w:sz w:val="16"/>
        </w:rPr>
        <w:t xml:space="preserve"> </w:t>
      </w:r>
    </w:p>
    <w:p w14:paraId="4A10F9AC" w14:textId="77777777" w:rsidR="00B406DE" w:rsidRDefault="0017084C">
      <w:pPr>
        <w:spacing w:after="0"/>
      </w:pPr>
      <w:r>
        <w:rPr>
          <w:rFonts w:ascii="Times New Roman" w:eastAsia="Times New Roman" w:hAnsi="Times New Roman" w:cs="Times New Roman"/>
          <w:sz w:val="26"/>
        </w:rPr>
        <w:t xml:space="preserve"> </w:t>
      </w:r>
    </w:p>
    <w:sectPr w:rsidR="00B406DE">
      <w:type w:val="continuous"/>
      <w:pgSz w:w="12240" w:h="15840"/>
      <w:pgMar w:top="1056" w:right="1383" w:bottom="687" w:left="1358" w:header="720" w:footer="720" w:gutter="0"/>
      <w:cols w:num="2" w:space="2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6DE"/>
    <w:rsid w:val="0017084C"/>
    <w:rsid w:val="00746699"/>
    <w:rsid w:val="00B406DE"/>
    <w:rsid w:val="00F94A0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1521"/>
  <w15:docId w15:val="{8C5DE22E-1426-4E48-ABA8-AE31EB49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styleId="Hyperlink">
    <w:name w:val="Hyperlink"/>
    <w:basedOn w:val="DefaultParagraphFont"/>
    <w:uiPriority w:val="99"/>
    <w:unhideWhenUsed/>
    <w:rsid w:val="00F94A0B"/>
    <w:rPr>
      <w:color w:val="0563C1" w:themeColor="hyperlink"/>
      <w:u w:val="single"/>
    </w:rPr>
  </w:style>
  <w:style w:type="character" w:styleId="UnresolvedMention">
    <w:name w:val="Unresolved Mention"/>
    <w:basedOn w:val="DefaultParagraphFont"/>
    <w:uiPriority w:val="99"/>
    <w:semiHidden/>
    <w:unhideWhenUsed/>
    <w:rsid w:val="00F94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mailto:vikaseshwarappa@gmail.com" TargetMode="External"/><Relationship Id="rId10" Type="http://schemas.openxmlformats.org/officeDocument/2006/relationships/fontTable" Target="fontTable.xml"/><Relationship Id="rId4" Type="http://schemas.openxmlformats.org/officeDocument/2006/relationships/hyperlink" Target="mailto:nravim7@gmail.com" TargetMode="Externa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Microsoft Word - ieee paper submission</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 paper submission</dc:title>
  <dc:subject/>
  <dc:creator>Admin</dc:creator>
  <cp:keywords/>
  <cp:lastModifiedBy>Ravi N</cp:lastModifiedBy>
  <cp:revision>2</cp:revision>
  <dcterms:created xsi:type="dcterms:W3CDTF">2023-01-07T06:10:00Z</dcterms:created>
  <dcterms:modified xsi:type="dcterms:W3CDTF">2023-01-07T06:10:00Z</dcterms:modified>
</cp:coreProperties>
</file>