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A66" w:rsidRPr="008E2FEF" w:rsidRDefault="00675A66"/>
    <w:p w:rsidR="00E36A12" w:rsidRPr="008E2FEF" w:rsidRDefault="00E36A12"/>
    <w:p w:rsidR="00E36A12" w:rsidRPr="008E2FEF" w:rsidRDefault="00E36A12"/>
    <w:p w:rsidR="00E36A12" w:rsidRPr="008E2FEF" w:rsidRDefault="00E36A12"/>
    <w:p w:rsidR="00E36A12" w:rsidRPr="008E2FEF" w:rsidRDefault="00E36A12"/>
    <w:p w:rsidR="00E36A12" w:rsidRPr="008E2FEF" w:rsidRDefault="00E36A12"/>
    <w:p w:rsidR="00E36A12" w:rsidRPr="008E2FEF" w:rsidRDefault="00E36A12"/>
    <w:p w:rsidR="00E36A12" w:rsidRPr="008E2FEF" w:rsidRDefault="00E36A12"/>
    <w:p w:rsidR="00E36A12" w:rsidRPr="008E2FEF" w:rsidRDefault="00E36A12"/>
    <w:p w:rsidR="00E36A12" w:rsidRPr="008E2FEF" w:rsidRDefault="00E36A12"/>
    <w:p w:rsidR="00E36A12" w:rsidRPr="008E2FEF" w:rsidRDefault="00E36A12"/>
    <w:p w:rsidR="00E36A12" w:rsidRPr="008E2FEF" w:rsidRDefault="00E36A12"/>
    <w:p w:rsidR="00E36A12" w:rsidRPr="008E2FEF" w:rsidRDefault="00074F50" w:rsidP="00074F50">
      <w:pPr>
        <w:jc w:val="center"/>
      </w:pPr>
      <w:r w:rsidRPr="008E2FEF">
        <w:t>ENVIRONMENT CANADA</w:t>
      </w:r>
    </w:p>
    <w:p w:rsidR="00E36A12" w:rsidRPr="008E2FEF" w:rsidRDefault="00E36A12"/>
    <w:p w:rsidR="00074F50" w:rsidRPr="008E2FEF" w:rsidRDefault="00074F50"/>
    <w:p w:rsidR="00074F50" w:rsidRPr="008E2FEF" w:rsidRDefault="00074F50"/>
    <w:p w:rsidR="00074F50" w:rsidRPr="008E2FEF" w:rsidRDefault="00074F50" w:rsidP="00074F50">
      <w:pPr>
        <w:jc w:val="center"/>
        <w:rPr>
          <w:sz w:val="36"/>
          <w:szCs w:val="36"/>
        </w:rPr>
      </w:pPr>
      <w:r w:rsidRPr="008E2FEF">
        <w:rPr>
          <w:sz w:val="36"/>
          <w:szCs w:val="36"/>
        </w:rPr>
        <w:t>Guidance Document – User Guide</w:t>
      </w:r>
    </w:p>
    <w:p w:rsidR="00E36A12" w:rsidRPr="008E2FEF" w:rsidRDefault="00E36A12"/>
    <w:p w:rsidR="00074F50" w:rsidRPr="008E2FEF" w:rsidRDefault="00074F50"/>
    <w:p w:rsidR="00074F50" w:rsidRPr="008E2FEF" w:rsidRDefault="00074F50"/>
    <w:p w:rsidR="00074F50" w:rsidRPr="008E2FEF" w:rsidRDefault="00074F50"/>
    <w:p w:rsidR="00E36A12" w:rsidRPr="008E2FEF" w:rsidRDefault="00E36A12" w:rsidP="00E36A12">
      <w:pPr>
        <w:jc w:val="center"/>
        <w:rPr>
          <w:b/>
          <w:sz w:val="44"/>
          <w:szCs w:val="48"/>
        </w:rPr>
      </w:pPr>
      <w:r w:rsidRPr="008E2FEF">
        <w:rPr>
          <w:b/>
          <w:sz w:val="44"/>
          <w:szCs w:val="48"/>
        </w:rPr>
        <w:t>Reduction of Carbon Dioxide Emissions from Coal-Fired Generation of Electricity Regulations</w:t>
      </w:r>
    </w:p>
    <w:p w:rsidR="00E36A12" w:rsidRPr="008E2FEF" w:rsidRDefault="00E36A12"/>
    <w:p w:rsidR="00074F50" w:rsidRPr="008E2FEF" w:rsidRDefault="00074F50" w:rsidP="00074F50">
      <w:pPr>
        <w:jc w:val="center"/>
      </w:pPr>
      <w:r w:rsidRPr="008E2FEF">
        <w:t>Under the</w:t>
      </w:r>
    </w:p>
    <w:p w:rsidR="00E36A12" w:rsidRPr="008E2FEF" w:rsidRDefault="00074F50" w:rsidP="00074F50">
      <w:pPr>
        <w:jc w:val="center"/>
      </w:pPr>
      <w:r w:rsidRPr="008E2FEF">
        <w:rPr>
          <w:i/>
        </w:rPr>
        <w:t>Canadian Environmental Protection Act, 1999</w:t>
      </w:r>
    </w:p>
    <w:p w:rsidR="00E36A12" w:rsidRPr="008E2FEF" w:rsidRDefault="00E36A12"/>
    <w:p w:rsidR="00E36A12" w:rsidRPr="008E2FEF" w:rsidRDefault="00E36A12"/>
    <w:p w:rsidR="00074F50" w:rsidRPr="008E2FEF" w:rsidRDefault="00074F50" w:rsidP="00074F50">
      <w:pPr>
        <w:pStyle w:val="Default"/>
      </w:pPr>
    </w:p>
    <w:p w:rsidR="00074F50" w:rsidRPr="008E2FEF" w:rsidRDefault="00074F50" w:rsidP="00074F50">
      <w:pPr>
        <w:pStyle w:val="Default"/>
        <w:jc w:val="center"/>
        <w:rPr>
          <w:sz w:val="28"/>
          <w:szCs w:val="28"/>
        </w:rPr>
      </w:pPr>
      <w:r w:rsidRPr="008E2FEF">
        <w:rPr>
          <w:b/>
          <w:bCs/>
          <w:sz w:val="28"/>
          <w:szCs w:val="28"/>
        </w:rPr>
        <w:t>Disclaimer</w:t>
      </w:r>
    </w:p>
    <w:p w:rsidR="00E36A12" w:rsidRPr="008E2FEF" w:rsidRDefault="00074F50" w:rsidP="00074F50">
      <w:pPr>
        <w:jc w:val="center"/>
        <w:rPr>
          <w:sz w:val="22"/>
          <w:szCs w:val="22"/>
        </w:rPr>
      </w:pPr>
      <w:r w:rsidRPr="008E2FEF">
        <w:rPr>
          <w:sz w:val="22"/>
          <w:szCs w:val="22"/>
        </w:rPr>
        <w:t xml:space="preserve">This document provides guidance only. It does not in any way supersede or modify the </w:t>
      </w:r>
      <w:r w:rsidRPr="008E2FEF">
        <w:rPr>
          <w:i/>
          <w:iCs/>
          <w:sz w:val="22"/>
          <w:szCs w:val="22"/>
        </w:rPr>
        <w:t>Reduction of Carbon Dioxide Emissions from Coal-Fired Generation of Electricity Regulations</w:t>
      </w:r>
      <w:r w:rsidRPr="008E2FEF">
        <w:rPr>
          <w:sz w:val="22"/>
          <w:szCs w:val="22"/>
        </w:rPr>
        <w:t>. In the event of an inconsistency between this documen</w:t>
      </w:r>
      <w:r w:rsidR="00F06BB4" w:rsidRPr="008E2FEF">
        <w:rPr>
          <w:sz w:val="22"/>
          <w:szCs w:val="22"/>
        </w:rPr>
        <w:t xml:space="preserve">t and </w:t>
      </w:r>
      <w:r w:rsidRPr="008E2FEF">
        <w:rPr>
          <w:sz w:val="22"/>
          <w:szCs w:val="22"/>
        </w:rPr>
        <w:t>the Regulations, the Regulations shall prevail.</w:t>
      </w:r>
    </w:p>
    <w:p w:rsidR="00074F50" w:rsidRPr="008E2FEF" w:rsidRDefault="00074F50" w:rsidP="00074F50">
      <w:pPr>
        <w:jc w:val="center"/>
        <w:rPr>
          <w:sz w:val="22"/>
          <w:szCs w:val="22"/>
        </w:rPr>
      </w:pPr>
    </w:p>
    <w:p w:rsidR="00074F50" w:rsidRPr="008E2FEF" w:rsidRDefault="00074F50" w:rsidP="00074F50">
      <w:pPr>
        <w:jc w:val="center"/>
        <w:rPr>
          <w:sz w:val="22"/>
          <w:szCs w:val="22"/>
        </w:rPr>
      </w:pPr>
    </w:p>
    <w:p w:rsidR="00074F50" w:rsidRPr="008E2FEF" w:rsidRDefault="00074F50" w:rsidP="00074F50">
      <w:pPr>
        <w:jc w:val="center"/>
        <w:rPr>
          <w:sz w:val="22"/>
          <w:szCs w:val="22"/>
        </w:rPr>
      </w:pPr>
      <w:r w:rsidRPr="008E2FEF">
        <w:rPr>
          <w:sz w:val="22"/>
          <w:szCs w:val="22"/>
        </w:rPr>
        <w:t>Electricity and Combustion Division</w:t>
      </w:r>
    </w:p>
    <w:p w:rsidR="00074F50" w:rsidRPr="008E2FEF" w:rsidRDefault="00074F50" w:rsidP="00074F50">
      <w:pPr>
        <w:jc w:val="center"/>
        <w:rPr>
          <w:sz w:val="22"/>
          <w:szCs w:val="22"/>
        </w:rPr>
      </w:pPr>
      <w:r w:rsidRPr="008E2FEF">
        <w:rPr>
          <w:sz w:val="22"/>
          <w:szCs w:val="22"/>
        </w:rPr>
        <w:t>Environment Canada</w:t>
      </w:r>
    </w:p>
    <w:p w:rsidR="00074F50" w:rsidRPr="008E2FEF" w:rsidRDefault="00074F50" w:rsidP="00074F50">
      <w:pPr>
        <w:jc w:val="center"/>
      </w:pPr>
      <w:r w:rsidRPr="008E2FEF">
        <w:t>September 18, 2012</w:t>
      </w:r>
    </w:p>
    <w:p w:rsidR="00074F50" w:rsidRPr="008E2FEF" w:rsidRDefault="00074F50" w:rsidP="00074F50">
      <w:pPr>
        <w:jc w:val="center"/>
      </w:pPr>
    </w:p>
    <w:p w:rsidR="00E36A12" w:rsidRPr="008E2FEF" w:rsidRDefault="00B77742">
      <w:r w:rsidRPr="008E2FEF">
        <w:br w:type="page"/>
      </w:r>
    </w:p>
    <w:p w:rsidR="00E36A12" w:rsidRPr="008E2FEF" w:rsidRDefault="00E36A12"/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  <w:lang w:eastAsia="en-CA"/>
        </w:rPr>
        <w:id w:val="7293486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02B0" w:rsidRPr="008E2FEF" w:rsidRDefault="005602B0">
          <w:pPr>
            <w:pStyle w:val="TOCHeading"/>
          </w:pPr>
          <w:r w:rsidRPr="008E2FEF">
            <w:t>Table of Contents</w:t>
          </w:r>
        </w:p>
        <w:p w:rsidR="001A5F34" w:rsidRPr="008E2FEF" w:rsidRDefault="000B315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B315F">
            <w:fldChar w:fldCharType="begin" w:fldLock="1"/>
          </w:r>
          <w:r w:rsidR="005602B0" w:rsidRPr="008E2FEF">
            <w:instrText xml:space="preserve"> TOC \o "1-3" \h \z \u </w:instrText>
          </w:r>
          <w:r w:rsidRPr="000B315F">
            <w:fldChar w:fldCharType="separate"/>
          </w:r>
          <w:hyperlink w:anchor="_Toc335892215" w:history="1">
            <w:r w:rsidR="001A5F34" w:rsidRPr="008E2FEF">
              <w:rPr>
                <w:rStyle w:val="Hyperlink"/>
                <w:noProof/>
              </w:rPr>
              <w:t>Purpose of the Guidance Document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_Toc335892215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4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16" w:history="1">
            <w:r w:rsidR="001A5F34" w:rsidRPr="008E2FEF">
              <w:rPr>
                <w:rStyle w:val="Hyperlink"/>
                <w:noProof/>
              </w:rPr>
              <w:t>Using this Guidance Document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_Toc335892216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4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17" w:history="1">
            <w:r w:rsidR="001A5F34" w:rsidRPr="008E2FEF">
              <w:rPr>
                <w:rStyle w:val="Hyperlink"/>
                <w:noProof/>
              </w:rPr>
              <w:t>Environment Canada Contact Information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_Toc335892217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4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18" w:history="1">
            <w:r w:rsidR="001A5F34" w:rsidRPr="008E2FEF">
              <w:rPr>
                <w:rStyle w:val="Hyperlink"/>
                <w:noProof/>
              </w:rPr>
              <w:t>Regulatory Overview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_Toc335892218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5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19" w:history="1">
            <w:r w:rsidR="001A5F34" w:rsidRPr="008E2FEF">
              <w:rPr>
                <w:rStyle w:val="Hyperlink"/>
                <w:noProof/>
              </w:rPr>
              <w:t>Regulatory Requirements for Specific Unit Types - Summary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_Toc335892219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8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20" w:history="1">
            <w:r w:rsidR="001A5F34" w:rsidRPr="008E2FEF">
              <w:rPr>
                <w:rStyle w:val="Hyperlink"/>
                <w:noProof/>
              </w:rPr>
              <w:t>New Units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_Toc335892220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8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21" w:history="1">
            <w:r w:rsidR="001A5F34" w:rsidRPr="008E2FEF">
              <w:rPr>
                <w:rStyle w:val="Hyperlink"/>
                <w:noProof/>
              </w:rPr>
              <w:t>Old Units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_Toc335892221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9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22" w:history="1">
            <w:r w:rsidR="001A5F34" w:rsidRPr="008E2FEF">
              <w:rPr>
                <w:rStyle w:val="Hyperlink"/>
                <w:noProof/>
              </w:rPr>
              <w:t>Existing Units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_Toc335892222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9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23" w:history="1">
            <w:r w:rsidR="001A5F34" w:rsidRPr="008E2FEF">
              <w:rPr>
                <w:rStyle w:val="Hyperlink"/>
                <w:noProof/>
              </w:rPr>
              <w:t>Standby Units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_Toc335892223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10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24" w:history="1">
            <w:r w:rsidR="001A5F34" w:rsidRPr="008E2FEF">
              <w:rPr>
                <w:rStyle w:val="Hyperlink"/>
                <w:noProof/>
              </w:rPr>
              <w:t>Gasification Systems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_Toc335892224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11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25" w:history="1">
            <w:r w:rsidR="001A5F34" w:rsidRPr="008E2FEF">
              <w:rPr>
                <w:rStyle w:val="Hyperlink"/>
                <w:noProof/>
              </w:rPr>
              <w:t>Section by Section Walkthrough of Regulatory Text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_Toc335892225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12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26" w:history="1">
            <w:r w:rsidR="001A5F34" w:rsidRPr="008E2FEF">
              <w:rPr>
                <w:rStyle w:val="Hyperlink"/>
                <w:noProof/>
              </w:rPr>
              <w:t>Section 1. Overview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_Toc335892226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12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27" w:history="1">
            <w:r w:rsidR="001A5F34" w:rsidRPr="008E2FEF">
              <w:rPr>
                <w:rStyle w:val="Hyperlink"/>
                <w:noProof/>
              </w:rPr>
              <w:t>Section 2. Interpretation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_Toc335892227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12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28" w:history="1">
            <w:r w:rsidR="001A5F34" w:rsidRPr="008E2FEF">
              <w:rPr>
                <w:rStyle w:val="Hyperlink"/>
                <w:noProof/>
              </w:rPr>
              <w:t>Part 1: Regulated Units and Emission Limit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_Toc335892228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15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29" w:history="1">
            <w:r w:rsidR="001A5F34" w:rsidRPr="008E2FEF">
              <w:rPr>
                <w:rStyle w:val="Hyperlink"/>
                <w:noProof/>
              </w:rPr>
              <w:t>Section 3. Emissions-Intensity Limit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_Toc335892229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15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30" w:history="1">
            <w:r w:rsidR="001A5F34" w:rsidRPr="008E2FEF">
              <w:rPr>
                <w:rStyle w:val="Hyperlink"/>
                <w:noProof/>
              </w:rPr>
              <w:t>Section 4. Registration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_Toc335892230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17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31" w:history="1">
            <w:r w:rsidR="001A5F34" w:rsidRPr="008E2FEF">
              <w:rPr>
                <w:rStyle w:val="Hyperlink"/>
                <w:noProof/>
              </w:rPr>
              <w:t>Sections 5 &amp; 6. Substitution of Units and Deferred Application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_Toc335892231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17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32" w:history="1">
            <w:r w:rsidR="001A5F34" w:rsidRPr="008E2FEF">
              <w:rPr>
                <w:rStyle w:val="Hyperlink"/>
                <w:noProof/>
              </w:rPr>
              <w:t>Sections 7 &amp; 8. Emergency Circumstances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_Toc335892232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21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33" w:history="1">
            <w:r w:rsidR="001A5F34" w:rsidRPr="008E2FEF">
              <w:rPr>
                <w:rStyle w:val="Hyperlink"/>
                <w:noProof/>
              </w:rPr>
              <w:t>Sections 9, 10, 11, 12 and 13. Carbon Capture and Storage: Temporary Exemption – System to be Constructed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_Toc335892233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23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34" w:history="1">
            <w:r w:rsidR="001A5F34" w:rsidRPr="008E2FEF">
              <w:rPr>
                <w:rStyle w:val="Hyperlink"/>
                <w:noProof/>
              </w:rPr>
              <w:t>Section 14. Carbon Capture and Storage: Twenty-four Month Exemption – Existing Unit with System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_Toc335892234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28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35" w:history="1">
            <w:r w:rsidR="001A5F34" w:rsidRPr="008E2FEF">
              <w:rPr>
                <w:rStyle w:val="Hyperlink"/>
                <w:noProof/>
              </w:rPr>
              <w:t>Part 2 Reporting, Sending and Recording Information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_Toc335892235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29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36" w:history="1">
            <w:r w:rsidR="001A5F34" w:rsidRPr="008E2FEF">
              <w:rPr>
                <w:rStyle w:val="Hyperlink"/>
                <w:noProof/>
              </w:rPr>
              <w:t>Section 15. Annual Report &amp; Section 16. Electronic or Paper Submission of Information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_Toc335892236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29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37" w:history="1">
            <w:r w:rsidR="001A5F34" w:rsidRPr="008E2FEF">
              <w:rPr>
                <w:rStyle w:val="Hyperlink"/>
                <w:noProof/>
              </w:rPr>
              <w:t>Section 17. Record Making &amp; Section 18. Retention of Records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_Toc335892237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31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38" w:history="1">
            <w:r w:rsidR="001A5F34" w:rsidRPr="008E2FEF">
              <w:rPr>
                <w:rStyle w:val="Hyperlink"/>
                <w:noProof/>
              </w:rPr>
              <w:t>Part 3: Quantification Rules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_Toc335892238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31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39" w:history="1">
            <w:r w:rsidR="001A5F34" w:rsidRPr="008E2FEF">
              <w:rPr>
                <w:rStyle w:val="Hyperlink"/>
                <w:noProof/>
              </w:rPr>
              <w:t>Section 19. Production of Electricity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_Toc335892239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31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40" w:history="1">
            <w:r w:rsidR="001A5F34" w:rsidRPr="008E2FEF">
              <w:rPr>
                <w:rStyle w:val="Hyperlink"/>
                <w:noProof/>
              </w:rPr>
              <w:t>Section 20: Means of Quantification of CO</w:t>
            </w:r>
            <w:r w:rsidR="001A5F34" w:rsidRPr="008E2FEF">
              <w:rPr>
                <w:rStyle w:val="Hyperlink"/>
                <w:noProof/>
                <w:vertAlign w:val="subscript"/>
              </w:rPr>
              <w:t>2</w:t>
            </w:r>
            <w:r w:rsidR="001A5F34" w:rsidRPr="008E2FEF">
              <w:rPr>
                <w:rStyle w:val="Hyperlink"/>
                <w:noProof/>
              </w:rPr>
              <w:t xml:space="preserve"> emissions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_Toc335892240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33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41" w:history="1">
            <w:r w:rsidR="001A5F34" w:rsidRPr="008E2FEF">
              <w:rPr>
                <w:rStyle w:val="Hyperlink"/>
                <w:noProof/>
              </w:rPr>
              <w:t>Section 21: Continuous Emissions Monitoring System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_Toc335892241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33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42" w:history="1">
            <w:r w:rsidR="001A5F34" w:rsidRPr="008E2FEF">
              <w:rPr>
                <w:rStyle w:val="Hyperlink"/>
                <w:noProof/>
              </w:rPr>
              <w:t>Section 22, 23 &amp; 24: Fuel-based Methods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_Toc335892242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35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43" w:history="1">
            <w:r w:rsidR="001A5F34" w:rsidRPr="008E2FEF">
              <w:rPr>
                <w:rStyle w:val="Hyperlink"/>
                <w:noProof/>
              </w:rPr>
              <w:t>Sections 25 &amp; 26 – Accuracy of Data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_Toc335892243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38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44" w:history="1">
            <w:r w:rsidR="001A5F34" w:rsidRPr="008E2FEF">
              <w:rPr>
                <w:rStyle w:val="Hyperlink"/>
                <w:noProof/>
              </w:rPr>
              <w:t>Section 27. Fuel Sampling and Testing Requirements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_Toc335892244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39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45" w:history="1">
            <w:r w:rsidR="001A5F34" w:rsidRPr="008E2FEF">
              <w:rPr>
                <w:rStyle w:val="Hyperlink"/>
                <w:noProof/>
              </w:rPr>
              <w:t>Section 28. Missing Data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_Toc335892245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41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46" w:history="1">
            <w:r w:rsidR="001A5F34" w:rsidRPr="008E2FEF">
              <w:rPr>
                <w:rStyle w:val="Hyperlink"/>
                <w:noProof/>
              </w:rPr>
              <w:t>Part 4: Coming into Force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_Toc335892246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42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47" w:history="1">
            <w:r w:rsidR="001A5F34" w:rsidRPr="008E2FEF">
              <w:rPr>
                <w:rStyle w:val="Hyperlink"/>
                <w:noProof/>
              </w:rPr>
              <w:t>Section 29.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_Toc335892247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42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48" w:history="1">
            <w:r w:rsidR="001A5F34" w:rsidRPr="008E2FEF">
              <w:rPr>
                <w:rStyle w:val="Hyperlink"/>
                <w:noProof/>
              </w:rPr>
              <w:t>Summary of the Regulatory Schedules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_Toc335892248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42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49" w:history="1">
            <w:r w:rsidR="001A5F34" w:rsidRPr="008E2FEF">
              <w:rPr>
                <w:rStyle w:val="Hyperlink"/>
                <w:noProof/>
              </w:rPr>
              <w:t>Schedule 1: Registration Report – Information Required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_Toc335892249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42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50" w:history="1">
            <w:r w:rsidR="001A5F34" w:rsidRPr="008E2FEF">
              <w:rPr>
                <w:rStyle w:val="Hyperlink"/>
                <w:noProof/>
              </w:rPr>
              <w:t>Schedule 2: Technical Feasibility Study – Information Required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_Toc335892250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42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51" w:history="1">
            <w:r w:rsidR="001A5F34" w:rsidRPr="008E2FEF">
              <w:rPr>
                <w:rStyle w:val="Hyperlink"/>
                <w:noProof/>
              </w:rPr>
              <w:t>Schedule 3: Information on Section 10 Requirements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_Toc335892251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43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52" w:history="1">
            <w:r w:rsidR="001A5F34" w:rsidRPr="008E2FEF">
              <w:rPr>
                <w:rStyle w:val="Hyperlink"/>
                <w:noProof/>
              </w:rPr>
              <w:t>Schedule 4: Annual Report – Information Required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_Toc335892252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43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53" w:history="1">
            <w:r w:rsidR="001A5F34" w:rsidRPr="008E2FEF">
              <w:rPr>
                <w:rStyle w:val="Hyperlink"/>
                <w:noProof/>
              </w:rPr>
              <w:t>Schedule 5: List of Fuels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_Toc335892253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44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54" w:history="1">
            <w:r w:rsidR="001A5F34" w:rsidRPr="008E2FEF">
              <w:rPr>
                <w:rStyle w:val="Hyperlink"/>
                <w:noProof/>
              </w:rPr>
              <w:t>Schedule 6: Auditor’s Report – Information Required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_Toc335892254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44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55" w:history="1">
            <w:r w:rsidR="001A5F34" w:rsidRPr="008E2FEF">
              <w:rPr>
                <w:rStyle w:val="Hyperlink"/>
                <w:noProof/>
              </w:rPr>
              <w:t>ANNEX – Decision Key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_Toc335892255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45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56" w:history="1">
            <w:r w:rsidR="001A5F34" w:rsidRPr="008E2FEF">
              <w:rPr>
                <w:rStyle w:val="Hyperlink"/>
                <w:noProof/>
              </w:rPr>
              <w:t>ANNEX - Application and Reporting Quick Reference Guides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_Toc335892256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47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1A5F34" w:rsidRPr="008E2FEF" w:rsidRDefault="000B315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92257" w:history="1">
            <w:r w:rsidR="001A5F34" w:rsidRPr="008E2FEF">
              <w:rPr>
                <w:rStyle w:val="Hyperlink"/>
                <w:noProof/>
              </w:rPr>
              <w:t>Registration Report</w:t>
            </w:r>
            <w:r w:rsidR="001A5F34" w:rsidRPr="008E2FEF">
              <w:rPr>
                <w:noProof/>
                <w:webHidden/>
              </w:rPr>
              <w:tab/>
            </w:r>
            <w:r w:rsidRPr="008E2FEF">
              <w:rPr>
                <w:noProof/>
                <w:webHidden/>
              </w:rPr>
              <w:fldChar w:fldCharType="begin" w:fldLock="1"/>
            </w:r>
            <w:r w:rsidR="001A5F34" w:rsidRPr="008E2FEF">
              <w:rPr>
                <w:noProof/>
                <w:webHidden/>
              </w:rPr>
              <w:instrText xml:space="preserve"> PAGEREF _Toc335892257 \h </w:instrText>
            </w:r>
            <w:r w:rsidRPr="008E2FEF">
              <w:rPr>
                <w:noProof/>
                <w:webHidden/>
              </w:rPr>
            </w:r>
            <w:r w:rsidRPr="008E2FEF">
              <w:rPr>
                <w:noProof/>
                <w:webHidden/>
              </w:rPr>
              <w:fldChar w:fldCharType="separate"/>
            </w:r>
            <w:r w:rsidR="001A5F34" w:rsidRPr="008E2FEF">
              <w:rPr>
                <w:noProof/>
                <w:webHidden/>
              </w:rPr>
              <w:t>47</w:t>
            </w:r>
            <w:r w:rsidRPr="008E2FEF">
              <w:rPr>
                <w:noProof/>
                <w:webHidden/>
              </w:rPr>
              <w:fldChar w:fldCharType="end"/>
            </w:r>
          </w:hyperlink>
        </w:p>
        <w:p w:rsidR="005602B0" w:rsidRPr="008E2FEF" w:rsidRDefault="000B315F">
          <w:r w:rsidRPr="008E2FEF">
            <w:rPr>
              <w:b/>
              <w:bCs/>
              <w:noProof/>
            </w:rPr>
            <w:fldChar w:fldCharType="end"/>
          </w:r>
        </w:p>
      </w:sdtContent>
    </w:sdt>
    <w:p w:rsidR="00E36A12" w:rsidRPr="008E2FEF" w:rsidRDefault="00E36A12"/>
    <w:p w:rsidR="00E36A12" w:rsidRPr="008E2FEF" w:rsidRDefault="00E36A12"/>
    <w:p w:rsidR="00E36A12" w:rsidRPr="008E2FEF" w:rsidRDefault="00E36A12"/>
    <w:p w:rsidR="00E36A12" w:rsidRPr="008E2FEF" w:rsidRDefault="00E36A12">
      <w:r w:rsidRPr="008E2FEF">
        <w:br w:type="page"/>
      </w:r>
    </w:p>
    <w:p w:rsidR="00675A66" w:rsidRPr="008E2FEF" w:rsidRDefault="00675A66" w:rsidP="00DE1FEA">
      <w:pPr>
        <w:jc w:val="center"/>
        <w:rPr>
          <w:b/>
        </w:rPr>
      </w:pPr>
      <w:r w:rsidRPr="008E2FEF">
        <w:rPr>
          <w:b/>
        </w:rPr>
        <w:lastRenderedPageBreak/>
        <w:t>Coal-fired Electricity Regulation</w:t>
      </w:r>
    </w:p>
    <w:p w:rsidR="00EE01E3" w:rsidRPr="008E2FEF" w:rsidRDefault="00675A66" w:rsidP="00197B22">
      <w:pPr>
        <w:jc w:val="center"/>
        <w:rPr>
          <w:b/>
        </w:rPr>
      </w:pPr>
      <w:r w:rsidRPr="008E2FEF">
        <w:rPr>
          <w:b/>
        </w:rPr>
        <w:t>Guidance Document-User Guide</w:t>
      </w:r>
    </w:p>
    <w:p w:rsidR="00675A66" w:rsidRPr="008E2FEF" w:rsidRDefault="00675A66" w:rsidP="00E36A12">
      <w:pPr>
        <w:pStyle w:val="Heading1"/>
      </w:pPr>
      <w:r w:rsidRPr="008E2FEF">
        <w:t>Purpose of the Guidance Document</w:t>
      </w:r>
    </w:p>
    <w:p w:rsidR="0095188C" w:rsidRPr="008E2FEF" w:rsidRDefault="00675A66" w:rsidP="0095188C">
      <w:pPr>
        <w:rPr>
          <w:lang w:val="en-US"/>
        </w:rPr>
      </w:pPr>
      <w:r w:rsidRPr="008E2FEF">
        <w:t xml:space="preserve">This </w:t>
      </w:r>
      <w:r w:rsidR="00EE01E3" w:rsidRPr="008E2FEF">
        <w:t>guidance d</w:t>
      </w:r>
      <w:r w:rsidRPr="008E2FEF">
        <w:t xml:space="preserve">ocument intends to provide an easy to read review of the </w:t>
      </w:r>
      <w:r w:rsidRPr="008E2FEF">
        <w:rPr>
          <w:i/>
        </w:rPr>
        <w:t>Reduction of</w:t>
      </w:r>
      <w:r w:rsidRPr="008E2FEF">
        <w:t xml:space="preserve"> </w:t>
      </w:r>
      <w:r w:rsidRPr="008E2FEF">
        <w:rPr>
          <w:i/>
        </w:rPr>
        <w:t>Carbon Dioxide Emissions from Coal-fired Generation of Electricity Regulations</w:t>
      </w:r>
      <w:r w:rsidR="00F06BB4" w:rsidRPr="008E2FEF">
        <w:rPr>
          <w:i/>
        </w:rPr>
        <w:t>,</w:t>
      </w:r>
      <w:r w:rsidRPr="008E2FEF">
        <w:t xml:space="preserve"> herein referred to as the “Regulations”</w:t>
      </w:r>
      <w:r w:rsidRPr="008E2FEF">
        <w:rPr>
          <w:i/>
        </w:rPr>
        <w:t>.</w:t>
      </w:r>
      <w:r w:rsidRPr="008E2FEF">
        <w:t xml:space="preserve"> </w:t>
      </w:r>
      <w:r w:rsidR="00EE01E3" w:rsidRPr="008E2FEF">
        <w:t>It intends to make the Regulations more accessible for anyone to understand how they function.</w:t>
      </w:r>
      <w:r w:rsidR="008E2FEF">
        <w:t xml:space="preserve"> </w:t>
      </w:r>
      <w:r w:rsidR="00EE01E3" w:rsidRPr="008E2FEF">
        <w:rPr>
          <w:lang w:val="en-US"/>
        </w:rPr>
        <w:t>It</w:t>
      </w:r>
      <w:r w:rsidRPr="008E2FEF">
        <w:rPr>
          <w:lang w:val="en-US"/>
        </w:rPr>
        <w:t xml:space="preserve"> </w:t>
      </w:r>
      <w:r w:rsidR="00EE01E3" w:rsidRPr="008E2FEF">
        <w:rPr>
          <w:lang w:val="en-US"/>
        </w:rPr>
        <w:t xml:space="preserve">also </w:t>
      </w:r>
      <w:r w:rsidRPr="008E2FEF">
        <w:rPr>
          <w:lang w:val="en-US"/>
        </w:rPr>
        <w:t>provides additional detail so that affected stakeholders are better informed about stated requirements</w:t>
      </w:r>
      <w:r w:rsidR="00EE01E3" w:rsidRPr="008E2FEF">
        <w:rPr>
          <w:lang w:val="en-US"/>
        </w:rPr>
        <w:t xml:space="preserve">, as well as </w:t>
      </w:r>
      <w:r w:rsidR="00F06BB4" w:rsidRPr="008E2FEF">
        <w:rPr>
          <w:lang w:val="en-US"/>
        </w:rPr>
        <w:t xml:space="preserve">it </w:t>
      </w:r>
      <w:r w:rsidRPr="008E2FEF">
        <w:rPr>
          <w:lang w:val="en-US"/>
        </w:rPr>
        <w:t>responds to</w:t>
      </w:r>
      <w:r w:rsidR="00BB5C92" w:rsidRPr="008E2FEF">
        <w:rPr>
          <w:lang w:val="en-US"/>
        </w:rPr>
        <w:t xml:space="preserve"> </w:t>
      </w:r>
      <w:r w:rsidR="004F3D16" w:rsidRPr="008E2FEF">
        <w:rPr>
          <w:lang w:val="en-US"/>
        </w:rPr>
        <w:t xml:space="preserve">many </w:t>
      </w:r>
      <w:r w:rsidRPr="008E2FEF">
        <w:rPr>
          <w:lang w:val="en-US"/>
        </w:rPr>
        <w:t xml:space="preserve">comments </w:t>
      </w:r>
      <w:r w:rsidR="004F3D16" w:rsidRPr="008E2FEF">
        <w:rPr>
          <w:lang w:val="en-US"/>
        </w:rPr>
        <w:t xml:space="preserve">for clarification </w:t>
      </w:r>
      <w:r w:rsidRPr="008E2FEF">
        <w:rPr>
          <w:lang w:val="en-US"/>
        </w:rPr>
        <w:t xml:space="preserve">received during the 60 day comment period </w:t>
      </w:r>
      <w:r w:rsidR="00EE01E3" w:rsidRPr="008E2FEF">
        <w:rPr>
          <w:lang w:val="en-US"/>
        </w:rPr>
        <w:t xml:space="preserve">following publication of the proposed regulations in Canada Gazette, Part I (August 27, 2011) </w:t>
      </w:r>
      <w:r w:rsidRPr="008E2FEF">
        <w:rPr>
          <w:lang w:val="en-US"/>
        </w:rPr>
        <w:t xml:space="preserve">by </w:t>
      </w:r>
      <w:r w:rsidR="004F3D16" w:rsidRPr="008E2FEF">
        <w:rPr>
          <w:lang w:val="en-US"/>
        </w:rPr>
        <w:t>elaborating</w:t>
      </w:r>
      <w:r w:rsidRPr="008E2FEF">
        <w:rPr>
          <w:lang w:val="en-US"/>
        </w:rPr>
        <w:t xml:space="preserve"> on the meaning of specific sections.</w:t>
      </w:r>
    </w:p>
    <w:p w:rsidR="000C6D77" w:rsidRPr="008E2FEF" w:rsidRDefault="000C6D77" w:rsidP="0095188C">
      <w:pPr>
        <w:rPr>
          <w:lang w:val="en-US"/>
        </w:rPr>
      </w:pPr>
    </w:p>
    <w:p w:rsidR="000C6D77" w:rsidRPr="008E2FEF" w:rsidRDefault="000C6D77" w:rsidP="0095188C">
      <w:r w:rsidRPr="008E2FEF">
        <w:t xml:space="preserve">This guidance document cites and should be read in tandem with the Regulations </w:t>
      </w:r>
    </w:p>
    <w:p w:rsidR="00675A66" w:rsidRPr="008E2FEF" w:rsidRDefault="00675A66" w:rsidP="0095188C">
      <w:pPr>
        <w:pStyle w:val="Heading1"/>
      </w:pPr>
      <w:r w:rsidRPr="008E2FEF">
        <w:t>Using this Guidance Document</w:t>
      </w:r>
    </w:p>
    <w:p w:rsidR="00675A66" w:rsidRPr="008E2FEF" w:rsidRDefault="00675A66" w:rsidP="00B55837">
      <w:r w:rsidRPr="008E2FEF">
        <w:t>This guidance document is divided into two main sections:</w:t>
      </w:r>
    </w:p>
    <w:p w:rsidR="00F06BB4" w:rsidRPr="008E2FEF" w:rsidRDefault="00F06BB4" w:rsidP="00F06BB4">
      <w:pPr>
        <w:ind w:left="567"/>
      </w:pPr>
    </w:p>
    <w:p w:rsidR="00675A66" w:rsidRPr="008E2FEF" w:rsidRDefault="00675A66" w:rsidP="009C154D">
      <w:pPr>
        <w:numPr>
          <w:ilvl w:val="0"/>
          <w:numId w:val="1"/>
        </w:numPr>
      </w:pPr>
      <w:r w:rsidRPr="008E2FEF">
        <w:t xml:space="preserve">A focussed summary </w:t>
      </w:r>
      <w:r w:rsidR="00AC2B1C" w:rsidRPr="008E2FEF">
        <w:t xml:space="preserve">of how the various elements of the Regulations apply to </w:t>
      </w:r>
      <w:r w:rsidR="00BB5C92" w:rsidRPr="008E2FEF">
        <w:t>key</w:t>
      </w:r>
      <w:r w:rsidR="00AC2B1C" w:rsidRPr="008E2FEF">
        <w:t xml:space="preserve"> unit types</w:t>
      </w:r>
      <w:r w:rsidRPr="008E2FEF">
        <w:t xml:space="preserve">, including: </w:t>
      </w:r>
    </w:p>
    <w:p w:rsidR="00F06BB4" w:rsidRPr="008E2FEF" w:rsidRDefault="00675A66" w:rsidP="00F06BB4">
      <w:pPr>
        <w:numPr>
          <w:ilvl w:val="1"/>
          <w:numId w:val="1"/>
        </w:numPr>
      </w:pPr>
      <w:r w:rsidRPr="008E2FEF">
        <w:t>New units</w:t>
      </w:r>
    </w:p>
    <w:p w:rsidR="00675A66" w:rsidRPr="008E2FEF" w:rsidRDefault="00F06BB4" w:rsidP="00F06BB4">
      <w:pPr>
        <w:numPr>
          <w:ilvl w:val="1"/>
          <w:numId w:val="1"/>
        </w:numPr>
      </w:pPr>
      <w:r w:rsidRPr="008E2FEF">
        <w:t>O</w:t>
      </w:r>
      <w:r w:rsidR="00675A66" w:rsidRPr="008E2FEF">
        <w:t>ld units</w:t>
      </w:r>
    </w:p>
    <w:p w:rsidR="00675A66" w:rsidRPr="008E2FEF" w:rsidRDefault="00675A66" w:rsidP="00AC344B">
      <w:pPr>
        <w:numPr>
          <w:ilvl w:val="1"/>
          <w:numId w:val="1"/>
        </w:numPr>
      </w:pPr>
      <w:r w:rsidRPr="008E2FEF">
        <w:t>Existing units</w:t>
      </w:r>
    </w:p>
    <w:p w:rsidR="00675A66" w:rsidRPr="008E2FEF" w:rsidRDefault="00675A66" w:rsidP="00AC344B">
      <w:pPr>
        <w:numPr>
          <w:ilvl w:val="1"/>
          <w:numId w:val="1"/>
        </w:numPr>
      </w:pPr>
      <w:r w:rsidRPr="008E2FEF">
        <w:t>Standby Units</w:t>
      </w:r>
    </w:p>
    <w:p w:rsidR="00675A66" w:rsidRPr="008E2FEF" w:rsidRDefault="00F06BB4" w:rsidP="00AC344B">
      <w:pPr>
        <w:numPr>
          <w:ilvl w:val="1"/>
          <w:numId w:val="1"/>
        </w:numPr>
      </w:pPr>
      <w:r w:rsidRPr="008E2FEF">
        <w:t xml:space="preserve">Units with </w:t>
      </w:r>
      <w:r w:rsidR="00AC2B1C" w:rsidRPr="008E2FEF">
        <w:t>Gasification Systems</w:t>
      </w:r>
      <w:r w:rsidR="00675A66" w:rsidRPr="008E2FEF">
        <w:t xml:space="preserve"> </w:t>
      </w:r>
    </w:p>
    <w:p w:rsidR="001F25AA" w:rsidRPr="008E2FEF" w:rsidRDefault="001F25AA" w:rsidP="001F25AA">
      <w:pPr>
        <w:numPr>
          <w:ilvl w:val="0"/>
          <w:numId w:val="1"/>
        </w:numPr>
      </w:pPr>
      <w:r w:rsidRPr="008E2FEF">
        <w:t>A section by section walk through review of each regulatory element</w:t>
      </w:r>
    </w:p>
    <w:p w:rsidR="00675A66" w:rsidRPr="008E2FEF" w:rsidRDefault="00675A66" w:rsidP="00DE5009"/>
    <w:p w:rsidR="00772B18" w:rsidRPr="008E2FEF" w:rsidRDefault="00675A66">
      <w:r w:rsidRPr="008E2FEF">
        <w:t xml:space="preserve">A decision tree is also provided in </w:t>
      </w:r>
      <w:r w:rsidR="001F25AA" w:rsidRPr="008E2FEF">
        <w:t xml:space="preserve">the </w:t>
      </w:r>
      <w:r w:rsidRPr="008E2FEF">
        <w:t>ANNEX to help guide user</w:t>
      </w:r>
      <w:r w:rsidR="00AC2B1C" w:rsidRPr="008E2FEF">
        <w:t>s</w:t>
      </w:r>
      <w:r w:rsidRPr="008E2FEF">
        <w:t xml:space="preserve"> </w:t>
      </w:r>
      <w:r w:rsidR="001F25AA" w:rsidRPr="008E2FEF">
        <w:t xml:space="preserve">to </w:t>
      </w:r>
      <w:r w:rsidRPr="008E2FEF">
        <w:t xml:space="preserve">navigate through this document and determine the applicability of the Regulations to their circumstances. </w:t>
      </w:r>
      <w:r w:rsidR="00514A3F" w:rsidRPr="008E2FEF">
        <w:t xml:space="preserve">In addition, Quick Reference Guides are included to assist regulatees with submitting applications and reports. </w:t>
      </w:r>
    </w:p>
    <w:p w:rsidR="00D91E6A" w:rsidRPr="008E2FEF" w:rsidRDefault="00197B22" w:rsidP="00DE09A7">
      <w:pPr>
        <w:pStyle w:val="Heading1"/>
      </w:pPr>
      <w:r w:rsidRPr="008E2FEF">
        <w:t xml:space="preserve">Environment Canada </w:t>
      </w:r>
      <w:r w:rsidR="00067733" w:rsidRPr="008E2FEF">
        <w:t>Contact Info</w:t>
      </w:r>
      <w:r w:rsidRPr="008E2FEF">
        <w:t>rmation</w:t>
      </w:r>
    </w:p>
    <w:p w:rsidR="00067733" w:rsidRPr="008E2FEF" w:rsidRDefault="00197B22">
      <w:r w:rsidRPr="008E2FEF">
        <w:t xml:space="preserve">For further information or </w:t>
      </w:r>
      <w:r w:rsidR="005A71D5" w:rsidRPr="008E2FEF">
        <w:t xml:space="preserve">general </w:t>
      </w:r>
      <w:r w:rsidRPr="008E2FEF">
        <w:t>questions regarding this document of these Regulations, please contact (</w:t>
      </w:r>
      <w:hyperlink r:id="rId8" w:history="1">
        <w:r w:rsidRPr="008E2FEF">
          <w:rPr>
            <w:rStyle w:val="Hyperlink"/>
          </w:rPr>
          <w:t>Enviroinfo@ec.gc.ca</w:t>
        </w:r>
      </w:hyperlink>
      <w:r w:rsidRPr="008E2FEF">
        <w:t xml:space="preserve">) and include </w:t>
      </w:r>
      <w:r w:rsidR="0095188C" w:rsidRPr="008E2FEF">
        <w:t>“Reduction of Carbon Dioxide Emissions from Coal-Fired Generation of Electricity Regulations” in the subject line of your email, or phone (819-997-2800; 1-800-668-6767), and your request will be directed appropriately.</w:t>
      </w:r>
      <w:r w:rsidR="008E2FEF">
        <w:t xml:space="preserve"> </w:t>
      </w:r>
    </w:p>
    <w:p w:rsidR="0095188C" w:rsidRPr="008E2FEF" w:rsidRDefault="009518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E2FEF">
        <w:br w:type="page"/>
      </w:r>
    </w:p>
    <w:p w:rsidR="00EE01E3" w:rsidRPr="008E2FEF" w:rsidRDefault="00581EBC" w:rsidP="00E36A12">
      <w:pPr>
        <w:pStyle w:val="Heading1"/>
      </w:pPr>
      <w:r w:rsidRPr="008E2FEF">
        <w:lastRenderedPageBreak/>
        <w:t>Regulatory</w:t>
      </w:r>
      <w:r w:rsidR="005602B0" w:rsidRPr="008E2FEF">
        <w:t xml:space="preserve"> </w:t>
      </w:r>
      <w:r w:rsidR="00EE01E3" w:rsidRPr="008E2FEF">
        <w:t>Overview</w:t>
      </w:r>
    </w:p>
    <w:p w:rsidR="00EE01E3" w:rsidRPr="008E2FEF" w:rsidRDefault="00EE01E3" w:rsidP="00EE01E3">
      <w:pPr>
        <w:autoSpaceDE w:val="0"/>
        <w:autoSpaceDN w:val="0"/>
        <w:adjustRightInd w:val="0"/>
        <w:rPr>
          <w:rFonts w:cs="Arial"/>
        </w:rPr>
      </w:pPr>
      <w:r w:rsidRPr="008E2FEF">
        <w:rPr>
          <w:rFonts w:cs="Arial"/>
        </w:rPr>
        <w:t>The Government of Canada committed to a national greenhouse gas reduction target of 17% below 2005 levels by 2020, and inscribed this in the Copenhagen Accord. The 2020 target is aligned with that of Canada’s largest trading partner, the United States (U.S.).</w:t>
      </w:r>
    </w:p>
    <w:p w:rsidR="00EE01E3" w:rsidRPr="008E2FEF" w:rsidRDefault="00EE01E3" w:rsidP="00EE01E3">
      <w:pPr>
        <w:autoSpaceDE w:val="0"/>
        <w:autoSpaceDN w:val="0"/>
        <w:adjustRightInd w:val="0"/>
        <w:rPr>
          <w:rFonts w:cs="Arial"/>
        </w:rPr>
      </w:pPr>
    </w:p>
    <w:p w:rsidR="00EE01E3" w:rsidRPr="008E2FEF" w:rsidRDefault="00EE01E3" w:rsidP="00EE01E3">
      <w:pPr>
        <w:autoSpaceDE w:val="0"/>
        <w:autoSpaceDN w:val="0"/>
        <w:adjustRightInd w:val="0"/>
        <w:rPr>
          <w:rFonts w:cs="Arial"/>
        </w:rPr>
      </w:pPr>
      <w:r w:rsidRPr="008E2FEF">
        <w:rPr>
          <w:rFonts w:cs="Arial"/>
        </w:rPr>
        <w:t xml:space="preserve">To achieve its target, the Government of Canada has established a comprehensive plan to reduce GHG emissions in all major emitting sectors, on a sector-by-sector basis. In moving forward with this plan, the Government of Canada published the </w:t>
      </w:r>
      <w:r w:rsidRPr="008E2FEF">
        <w:rPr>
          <w:i/>
        </w:rPr>
        <w:t>Reduction of Carbon Dioxide Emissions from Coal-fired Generation of Electricity Regulations</w:t>
      </w:r>
      <w:r w:rsidRPr="008E2FEF">
        <w:rPr>
          <w:rFonts w:cs="Arial"/>
        </w:rPr>
        <w:t xml:space="preserve"> on </w:t>
      </w:r>
      <w:r w:rsidR="005A71D5" w:rsidRPr="008E2FEF">
        <w:rPr>
          <w:rFonts w:cs="Arial"/>
        </w:rPr>
        <w:t>September</w:t>
      </w:r>
      <w:r w:rsidRPr="008E2FEF">
        <w:rPr>
          <w:rFonts w:cs="Arial"/>
        </w:rPr>
        <w:t xml:space="preserve">, 2012 (Canada Gazette Part II (CGII), Vol. </w:t>
      </w:r>
      <w:r w:rsidR="005A71D5" w:rsidRPr="008E2FEF">
        <w:rPr>
          <w:rFonts w:cs="Arial"/>
        </w:rPr>
        <w:t>146, No. 19</w:t>
      </w:r>
      <w:r w:rsidRPr="008E2FEF">
        <w:rPr>
          <w:rFonts w:cs="Arial"/>
        </w:rPr>
        <w:t>).</w:t>
      </w:r>
    </w:p>
    <w:p w:rsidR="00EE01E3" w:rsidRPr="008E2FEF" w:rsidRDefault="00EE01E3">
      <w:pPr>
        <w:rPr>
          <w:rFonts w:cs="Arial"/>
        </w:rPr>
      </w:pPr>
    </w:p>
    <w:p w:rsidR="007A3FFA" w:rsidRPr="008E2FEF" w:rsidRDefault="007A3FFA" w:rsidP="006A16F6">
      <w:pPr>
        <w:rPr>
          <w:rFonts w:cs="Arial"/>
          <w:color w:val="000000"/>
        </w:rPr>
      </w:pPr>
      <w:r w:rsidRPr="008E2FEF">
        <w:rPr>
          <w:rFonts w:cs="Arial"/>
          <w:color w:val="000000"/>
        </w:rPr>
        <w:t xml:space="preserve">The </w:t>
      </w:r>
      <w:r w:rsidR="00BB5C92" w:rsidRPr="008E2FEF">
        <w:rPr>
          <w:rFonts w:cs="Arial"/>
          <w:color w:val="000000"/>
        </w:rPr>
        <w:t xml:space="preserve">regulatory </w:t>
      </w:r>
      <w:r w:rsidRPr="008E2FEF">
        <w:rPr>
          <w:rFonts w:cs="Arial"/>
          <w:color w:val="000000"/>
        </w:rPr>
        <w:t>approach would apply a</w:t>
      </w:r>
      <w:r w:rsidR="00FE7CBA" w:rsidRPr="008E2FEF">
        <w:rPr>
          <w:rFonts w:cs="Arial"/>
          <w:color w:val="000000"/>
        </w:rPr>
        <w:t>n emissions</w:t>
      </w:r>
      <w:r w:rsidRPr="008E2FEF">
        <w:rPr>
          <w:rFonts w:cs="Arial"/>
          <w:color w:val="000000"/>
        </w:rPr>
        <w:t xml:space="preserve"> performance standard to new coal-fired electricity generation units, and units that have reached the end of their useful life (i.e., old units), through regulations </w:t>
      </w:r>
      <w:r w:rsidR="00D91E6A" w:rsidRPr="008E2FEF">
        <w:rPr>
          <w:rFonts w:cs="Arial"/>
          <w:color w:val="000000"/>
        </w:rPr>
        <w:t xml:space="preserve">adopted </w:t>
      </w:r>
      <w:r w:rsidRPr="008E2FEF">
        <w:rPr>
          <w:rFonts w:cs="Arial"/>
          <w:color w:val="000000"/>
        </w:rPr>
        <w:t xml:space="preserve">under the </w:t>
      </w:r>
      <w:r w:rsidRPr="008E2FEF">
        <w:rPr>
          <w:rFonts w:cs="Arial"/>
          <w:i/>
          <w:color w:val="000000"/>
        </w:rPr>
        <w:t>Canadian Environmental Protection Act, 1999</w:t>
      </w:r>
      <w:r w:rsidR="00D91E6A" w:rsidRPr="008E2FEF">
        <w:rPr>
          <w:rFonts w:cs="Arial"/>
          <w:color w:val="000000"/>
        </w:rPr>
        <w:t xml:space="preserve"> (CEPA)</w:t>
      </w:r>
      <w:r w:rsidRPr="008E2FEF">
        <w:rPr>
          <w:rFonts w:cs="Arial"/>
          <w:color w:val="000000"/>
        </w:rPr>
        <w:t xml:space="preserve">. The </w:t>
      </w:r>
      <w:r w:rsidR="00FE7CBA" w:rsidRPr="008E2FEF">
        <w:rPr>
          <w:rFonts w:cs="Arial"/>
          <w:color w:val="000000"/>
        </w:rPr>
        <w:t>emissions performance standard</w:t>
      </w:r>
      <w:r w:rsidRPr="008E2FEF">
        <w:rPr>
          <w:rFonts w:cs="Arial"/>
          <w:color w:val="000000"/>
        </w:rPr>
        <w:t xml:space="preserve"> come</w:t>
      </w:r>
      <w:r w:rsidR="00D91E6A" w:rsidRPr="008E2FEF">
        <w:rPr>
          <w:rFonts w:cs="Arial"/>
          <w:color w:val="000000"/>
        </w:rPr>
        <w:t>s</w:t>
      </w:r>
      <w:r w:rsidRPr="008E2FEF">
        <w:rPr>
          <w:rFonts w:cs="Arial"/>
          <w:color w:val="000000"/>
        </w:rPr>
        <w:t xml:space="preserve"> into effect on July 1</w:t>
      </w:r>
      <w:r w:rsidRPr="008E2FEF">
        <w:rPr>
          <w:rFonts w:cs="Arial"/>
          <w:color w:val="000000"/>
          <w:vertAlign w:val="superscript"/>
        </w:rPr>
        <w:t>st</w:t>
      </w:r>
      <w:r w:rsidRPr="008E2FEF">
        <w:rPr>
          <w:rFonts w:cs="Arial"/>
          <w:color w:val="000000"/>
        </w:rPr>
        <w:t xml:space="preserve">, 2015. Regulated firms </w:t>
      </w:r>
      <w:r w:rsidR="00D91E6A" w:rsidRPr="008E2FEF">
        <w:rPr>
          <w:rFonts w:cs="Arial"/>
          <w:color w:val="000000"/>
        </w:rPr>
        <w:t xml:space="preserve">are </w:t>
      </w:r>
      <w:r w:rsidRPr="008E2FEF">
        <w:rPr>
          <w:rFonts w:cs="Arial"/>
          <w:color w:val="000000"/>
        </w:rPr>
        <w:t>subject to enforcement and compliance requirements and penalties as specified under CEPA.</w:t>
      </w:r>
    </w:p>
    <w:p w:rsidR="007A3FFA" w:rsidRPr="008E2FEF" w:rsidRDefault="007A3FFA" w:rsidP="006A16F6">
      <w:pPr>
        <w:rPr>
          <w:rFonts w:cs="Arial"/>
          <w:color w:val="000000"/>
        </w:rPr>
      </w:pPr>
    </w:p>
    <w:p w:rsidR="007A3FFA" w:rsidRPr="008E2FEF" w:rsidRDefault="007A3FFA" w:rsidP="006A16F6">
      <w:pPr>
        <w:rPr>
          <w:rFonts w:cs="Arial"/>
          <w:color w:val="000000"/>
          <w:lang w:val="en-US"/>
        </w:rPr>
      </w:pPr>
      <w:r w:rsidRPr="008E2FEF">
        <w:rPr>
          <w:rFonts w:cs="Arial"/>
          <w:color w:val="000000"/>
        </w:rPr>
        <w:t>End of useful life is, in general, 50 years from the unit's commissioning date, implemented in three stages.</w:t>
      </w:r>
      <w:r w:rsidR="008E2FEF">
        <w:rPr>
          <w:rFonts w:cs="Arial"/>
          <w:color w:val="000000"/>
        </w:rPr>
        <w:t xml:space="preserve"> </w:t>
      </w:r>
      <w:r w:rsidRPr="008E2FEF">
        <w:rPr>
          <w:rFonts w:cs="Arial"/>
          <w:color w:val="000000"/>
          <w:lang w:val="en-US"/>
        </w:rPr>
        <w:t>The three stages and accompanying end of useful life in each will be:</w:t>
      </w:r>
    </w:p>
    <w:p w:rsidR="007A3FFA" w:rsidRPr="008E2FEF" w:rsidRDefault="00D91E6A" w:rsidP="006A16F6">
      <w:pPr>
        <w:pStyle w:val="ListParagraph"/>
        <w:numPr>
          <w:ilvl w:val="0"/>
          <w:numId w:val="37"/>
        </w:numPr>
        <w:rPr>
          <w:rFonts w:cs="Arial"/>
          <w:color w:val="000000"/>
          <w:lang w:val="en-US"/>
        </w:rPr>
      </w:pPr>
      <w:r w:rsidRPr="008E2FEF">
        <w:rPr>
          <w:rFonts w:cs="Arial"/>
          <w:color w:val="000000"/>
          <w:lang w:val="en-US"/>
        </w:rPr>
        <w:t>December 31</w:t>
      </w:r>
      <w:r w:rsidRPr="008E2FEF">
        <w:rPr>
          <w:rFonts w:cs="Arial"/>
          <w:color w:val="000000"/>
          <w:vertAlign w:val="superscript"/>
          <w:lang w:val="en-US"/>
        </w:rPr>
        <w:t>st</w:t>
      </w:r>
      <w:r w:rsidRPr="008E2FEF">
        <w:rPr>
          <w:rFonts w:cs="Arial"/>
          <w:color w:val="000000"/>
          <w:lang w:val="en-US"/>
        </w:rPr>
        <w:t xml:space="preserve"> of the </w:t>
      </w:r>
      <w:r w:rsidR="00FA198E" w:rsidRPr="008E2FEF">
        <w:rPr>
          <w:rFonts w:cs="Arial"/>
          <w:color w:val="000000"/>
          <w:lang w:val="en-US"/>
        </w:rPr>
        <w:t xml:space="preserve">year that is </w:t>
      </w:r>
      <w:r w:rsidR="00953BF5" w:rsidRPr="008E2FEF">
        <w:rPr>
          <w:rFonts w:cs="Arial"/>
          <w:color w:val="000000"/>
          <w:lang w:val="en-US"/>
        </w:rPr>
        <w:t xml:space="preserve">the </w:t>
      </w:r>
      <w:r w:rsidR="007A3FFA" w:rsidRPr="008E2FEF">
        <w:rPr>
          <w:rFonts w:cs="Arial"/>
          <w:color w:val="000000"/>
          <w:lang w:val="en-US"/>
        </w:rPr>
        <w:t>50</w:t>
      </w:r>
      <w:r w:rsidR="00953BF5" w:rsidRPr="008E2FEF">
        <w:rPr>
          <w:rFonts w:cs="Arial"/>
          <w:color w:val="000000"/>
          <w:vertAlign w:val="superscript"/>
          <w:lang w:val="en-US"/>
        </w:rPr>
        <w:t>th</w:t>
      </w:r>
      <w:r w:rsidR="00953BF5" w:rsidRPr="008E2FEF">
        <w:rPr>
          <w:rFonts w:cs="Arial"/>
          <w:color w:val="000000"/>
          <w:lang w:val="en-US"/>
        </w:rPr>
        <w:t xml:space="preserve"> </w:t>
      </w:r>
      <w:r w:rsidR="007A3FFA" w:rsidRPr="008E2FEF">
        <w:rPr>
          <w:rFonts w:cs="Arial"/>
          <w:color w:val="000000"/>
          <w:lang w:val="en-US"/>
        </w:rPr>
        <w:t>year</w:t>
      </w:r>
      <w:r w:rsidRPr="008E2FEF">
        <w:rPr>
          <w:rFonts w:cs="Arial"/>
          <w:color w:val="000000"/>
          <w:lang w:val="en-US"/>
        </w:rPr>
        <w:t xml:space="preserve"> </w:t>
      </w:r>
      <w:r w:rsidR="00FA198E" w:rsidRPr="008E2FEF">
        <w:rPr>
          <w:rFonts w:cs="Arial"/>
          <w:color w:val="000000"/>
          <w:lang w:val="en-US"/>
        </w:rPr>
        <w:t xml:space="preserve">after the date of </w:t>
      </w:r>
      <w:r w:rsidRPr="008E2FEF">
        <w:rPr>
          <w:rFonts w:cs="Arial"/>
          <w:color w:val="000000"/>
          <w:lang w:val="en-US"/>
        </w:rPr>
        <w:t>commissioning of the unit</w:t>
      </w:r>
      <w:r w:rsidR="008E2FEF" w:rsidRPr="008E2FEF">
        <w:rPr>
          <w:rFonts w:cs="Arial"/>
          <w:color w:val="000000"/>
          <w:lang w:val="en-US"/>
        </w:rPr>
        <w:t xml:space="preserve"> </w:t>
      </w:r>
      <w:r w:rsidR="007A3FFA" w:rsidRPr="008E2FEF">
        <w:rPr>
          <w:rFonts w:cs="Arial"/>
          <w:color w:val="000000"/>
          <w:lang w:val="en-US"/>
        </w:rPr>
        <w:t xml:space="preserve">or the end of </w:t>
      </w:r>
      <w:r w:rsidR="002F552A" w:rsidRPr="008E2FEF">
        <w:rPr>
          <w:rFonts w:cs="Arial"/>
          <w:color w:val="000000"/>
          <w:lang w:val="en-US"/>
        </w:rPr>
        <w:t xml:space="preserve">the year </w:t>
      </w:r>
      <w:r w:rsidR="007A3FFA" w:rsidRPr="008E2FEF">
        <w:rPr>
          <w:rFonts w:cs="Arial"/>
          <w:color w:val="000000"/>
          <w:lang w:val="en-US"/>
        </w:rPr>
        <w:t>2019 for units built before 1975;</w:t>
      </w:r>
    </w:p>
    <w:p w:rsidR="007A3FFA" w:rsidRPr="008E2FEF" w:rsidRDefault="00953BF5" w:rsidP="006A16F6">
      <w:pPr>
        <w:pStyle w:val="ListParagraph"/>
        <w:numPr>
          <w:ilvl w:val="0"/>
          <w:numId w:val="37"/>
        </w:numPr>
        <w:rPr>
          <w:rFonts w:cs="Arial"/>
          <w:color w:val="000000"/>
        </w:rPr>
      </w:pPr>
      <w:r w:rsidRPr="008E2FEF">
        <w:rPr>
          <w:rFonts w:cs="Arial"/>
          <w:color w:val="000000"/>
        </w:rPr>
        <w:t>December 31</w:t>
      </w:r>
      <w:r w:rsidRPr="008E2FEF">
        <w:rPr>
          <w:rFonts w:cs="Arial"/>
          <w:color w:val="000000"/>
          <w:vertAlign w:val="superscript"/>
        </w:rPr>
        <w:t>st</w:t>
      </w:r>
      <w:r w:rsidRPr="008E2FEF">
        <w:rPr>
          <w:rFonts w:cs="Arial"/>
          <w:color w:val="000000"/>
        </w:rPr>
        <w:t xml:space="preserve"> of the year that is the 50</w:t>
      </w:r>
      <w:r w:rsidRPr="008E2FEF">
        <w:rPr>
          <w:rFonts w:cs="Arial"/>
          <w:color w:val="000000"/>
          <w:vertAlign w:val="superscript"/>
        </w:rPr>
        <w:t>th</w:t>
      </w:r>
      <w:r w:rsidRPr="008E2FEF">
        <w:rPr>
          <w:rFonts w:cs="Arial"/>
          <w:color w:val="000000"/>
        </w:rPr>
        <w:t xml:space="preserve"> year after the date of commissioning of the unit </w:t>
      </w:r>
      <w:r w:rsidR="007A3FFA" w:rsidRPr="008E2FEF">
        <w:rPr>
          <w:rFonts w:cs="Arial"/>
          <w:color w:val="000000"/>
        </w:rPr>
        <w:t xml:space="preserve">or the end of </w:t>
      </w:r>
      <w:r w:rsidR="002F552A" w:rsidRPr="008E2FEF">
        <w:rPr>
          <w:rFonts w:cs="Arial"/>
          <w:color w:val="000000"/>
        </w:rPr>
        <w:t xml:space="preserve">the year </w:t>
      </w:r>
      <w:r w:rsidR="007A3FFA" w:rsidRPr="008E2FEF">
        <w:rPr>
          <w:rFonts w:cs="Arial"/>
          <w:color w:val="000000"/>
        </w:rPr>
        <w:t xml:space="preserve">2029 for units built after 1974 but before 1986; </w:t>
      </w:r>
    </w:p>
    <w:p w:rsidR="007A3FFA" w:rsidRPr="008E2FEF" w:rsidRDefault="00953BF5" w:rsidP="006A16F6">
      <w:pPr>
        <w:pStyle w:val="ListParagraph"/>
        <w:numPr>
          <w:ilvl w:val="0"/>
          <w:numId w:val="37"/>
        </w:numPr>
        <w:rPr>
          <w:rFonts w:cs="Arial"/>
          <w:color w:val="000000"/>
        </w:rPr>
      </w:pPr>
      <w:r w:rsidRPr="008E2FEF">
        <w:rPr>
          <w:rFonts w:cs="Arial"/>
          <w:color w:val="000000"/>
        </w:rPr>
        <w:t>December 31</w:t>
      </w:r>
      <w:r w:rsidRPr="008E2FEF">
        <w:rPr>
          <w:rFonts w:cs="Arial"/>
          <w:color w:val="000000"/>
          <w:vertAlign w:val="superscript"/>
        </w:rPr>
        <w:t>st</w:t>
      </w:r>
      <w:r w:rsidRPr="008E2FEF">
        <w:rPr>
          <w:rFonts w:cs="Arial"/>
          <w:color w:val="000000"/>
        </w:rPr>
        <w:t xml:space="preserve"> of the year that is the 50</w:t>
      </w:r>
      <w:r w:rsidRPr="008E2FEF">
        <w:rPr>
          <w:rFonts w:cs="Arial"/>
          <w:color w:val="000000"/>
          <w:vertAlign w:val="superscript"/>
        </w:rPr>
        <w:t>th</w:t>
      </w:r>
      <w:r w:rsidRPr="008E2FEF">
        <w:rPr>
          <w:rFonts w:cs="Arial"/>
          <w:color w:val="000000"/>
        </w:rPr>
        <w:t xml:space="preserve"> year after the date of commissioning of the unit </w:t>
      </w:r>
      <w:r w:rsidR="007A3FFA" w:rsidRPr="008E2FEF">
        <w:rPr>
          <w:rFonts w:cs="Arial"/>
          <w:color w:val="000000"/>
        </w:rPr>
        <w:t>thereafter.</w:t>
      </w:r>
    </w:p>
    <w:p w:rsidR="007A3FFA" w:rsidRPr="008E2FEF" w:rsidRDefault="007A3FFA" w:rsidP="006A16F6">
      <w:pPr>
        <w:rPr>
          <w:rFonts w:cs="Arial"/>
          <w:color w:val="000000"/>
        </w:rPr>
      </w:pPr>
    </w:p>
    <w:p w:rsidR="007A3FFA" w:rsidRPr="008E2FEF" w:rsidRDefault="007A3FFA" w:rsidP="006A16F6">
      <w:pPr>
        <w:rPr>
          <w:rFonts w:cs="Arial"/>
          <w:color w:val="000000"/>
        </w:rPr>
      </w:pPr>
      <w:r w:rsidRPr="008E2FEF">
        <w:rPr>
          <w:rFonts w:cs="Arial"/>
          <w:color w:val="000000"/>
        </w:rPr>
        <w:t>The regulations cover carbon dioxide emission</w:t>
      </w:r>
      <w:r w:rsidR="00D91E6A" w:rsidRPr="008E2FEF">
        <w:rPr>
          <w:rFonts w:cs="Arial"/>
          <w:color w:val="000000"/>
        </w:rPr>
        <w:t>s</w:t>
      </w:r>
      <w:r w:rsidRPr="008E2FEF">
        <w:rPr>
          <w:rFonts w:cs="Arial"/>
          <w:color w:val="000000"/>
        </w:rPr>
        <w:t xml:space="preserve"> only and apply to any unit that burns coal, exclusively or in combination with other fuels, for the purpose of producing electricity</w:t>
      </w:r>
      <w:r w:rsidR="00D91E6A" w:rsidRPr="008E2FEF">
        <w:rPr>
          <w:rFonts w:cs="Arial"/>
          <w:color w:val="000000"/>
        </w:rPr>
        <w:t xml:space="preserve"> sold to the grid</w:t>
      </w:r>
      <w:r w:rsidRPr="008E2FEF">
        <w:rPr>
          <w:rFonts w:cs="Arial"/>
          <w:color w:val="000000"/>
        </w:rPr>
        <w:t>.</w:t>
      </w:r>
      <w:r w:rsidR="008E2FEF">
        <w:rPr>
          <w:rFonts w:cs="Arial"/>
          <w:color w:val="000000"/>
        </w:rPr>
        <w:t xml:space="preserve"> </w:t>
      </w:r>
      <w:r w:rsidRPr="008E2FEF">
        <w:rPr>
          <w:rFonts w:cs="Arial"/>
          <w:color w:val="000000"/>
          <w:lang w:val="en-US"/>
        </w:rPr>
        <w:t>Petroleum coke is determined to be equivalent to coal under the regulation</w:t>
      </w:r>
      <w:r w:rsidR="00D91E6A" w:rsidRPr="008E2FEF">
        <w:rPr>
          <w:rFonts w:cs="Arial"/>
          <w:color w:val="000000"/>
          <w:lang w:val="en-US"/>
        </w:rPr>
        <w:t>s</w:t>
      </w:r>
      <w:r w:rsidRPr="008E2FEF">
        <w:rPr>
          <w:rFonts w:cs="Arial"/>
          <w:color w:val="000000"/>
          <w:lang w:val="en-US"/>
        </w:rPr>
        <w:t>, and therefore will be regulated in the same manner.</w:t>
      </w:r>
      <w:r w:rsidR="008E2FEF" w:rsidRPr="008E2FEF">
        <w:rPr>
          <w:rFonts w:cs="Arial"/>
          <w:color w:val="000000"/>
          <w:lang w:val="en-US"/>
        </w:rPr>
        <w:t xml:space="preserve"> </w:t>
      </w:r>
      <w:r w:rsidRPr="008E2FEF">
        <w:rPr>
          <w:rFonts w:cs="Arial"/>
          <w:color w:val="000000"/>
        </w:rPr>
        <w:t xml:space="preserve">The regulations </w:t>
      </w:r>
      <w:r w:rsidR="00953BF5" w:rsidRPr="008E2FEF">
        <w:rPr>
          <w:rFonts w:cs="Arial"/>
          <w:color w:val="000000"/>
        </w:rPr>
        <w:t xml:space="preserve">generally </w:t>
      </w:r>
      <w:r w:rsidRPr="008E2FEF">
        <w:rPr>
          <w:rFonts w:cs="Arial"/>
          <w:color w:val="000000"/>
        </w:rPr>
        <w:t xml:space="preserve">do not apply to </w:t>
      </w:r>
      <w:r w:rsidR="00953BF5" w:rsidRPr="008E2FEF">
        <w:rPr>
          <w:rFonts w:cs="Arial"/>
          <w:color w:val="000000"/>
        </w:rPr>
        <w:t>units located outside of a power plant or to those units that whose primary purpose is not to produce electricity that is sold to the grid (i.e. non-electricity sector industries)</w:t>
      </w:r>
      <w:r w:rsidRPr="008E2FEF">
        <w:rPr>
          <w:rFonts w:cs="Arial"/>
          <w:color w:val="000000"/>
        </w:rPr>
        <w:t>.</w:t>
      </w:r>
    </w:p>
    <w:p w:rsidR="007A3FFA" w:rsidRPr="008E2FEF" w:rsidRDefault="007A3FFA" w:rsidP="006A16F6">
      <w:pPr>
        <w:rPr>
          <w:rFonts w:cs="Arial"/>
          <w:color w:val="000000"/>
        </w:rPr>
      </w:pPr>
    </w:p>
    <w:p w:rsidR="007A3FFA" w:rsidRPr="008E2FEF" w:rsidRDefault="007A3FFA" w:rsidP="00E04E9E">
      <w:pPr>
        <w:rPr>
          <w:rFonts w:cs="Arial"/>
          <w:color w:val="000000"/>
        </w:rPr>
      </w:pPr>
      <w:r w:rsidRPr="008E2FEF">
        <w:rPr>
          <w:rFonts w:cs="Arial"/>
          <w:color w:val="000000"/>
        </w:rPr>
        <w:t xml:space="preserve">The </w:t>
      </w:r>
      <w:r w:rsidR="00FE7CBA" w:rsidRPr="008E2FEF">
        <w:rPr>
          <w:rFonts w:cs="Arial"/>
          <w:color w:val="000000"/>
        </w:rPr>
        <w:t>emissions performance standard</w:t>
      </w:r>
      <w:r w:rsidRPr="008E2FEF">
        <w:rPr>
          <w:rFonts w:cs="Arial"/>
          <w:color w:val="000000"/>
        </w:rPr>
        <w:t xml:space="preserve"> would be set at the emissions intensity level of Natural Gas Combined Cycle (NGCC) technology, a high-efficiency type </w:t>
      </w:r>
      <w:r w:rsidRPr="008E2FEF">
        <w:rPr>
          <w:rFonts w:cs="Arial"/>
          <w:color w:val="000000"/>
        </w:rPr>
        <w:lastRenderedPageBreak/>
        <w:t>of natural gas generatio</w:t>
      </w:r>
      <w:r w:rsidR="0034321F" w:rsidRPr="008E2FEF">
        <w:rPr>
          <w:rFonts w:cs="Arial"/>
          <w:color w:val="000000"/>
        </w:rPr>
        <w:t>n</w:t>
      </w:r>
      <w:r w:rsidR="0034321F" w:rsidRPr="008E2FEF">
        <w:rPr>
          <w:rStyle w:val="FootnoteReference"/>
          <w:rFonts w:cs="Arial"/>
          <w:color w:val="000000"/>
        </w:rPr>
        <w:footnoteReference w:id="1"/>
      </w:r>
      <w:r w:rsidRPr="008E2FEF">
        <w:rPr>
          <w:rFonts w:cs="Arial"/>
          <w:color w:val="000000"/>
        </w:rPr>
        <w:t xml:space="preserve"> and is fixed at 420 t</w:t>
      </w:r>
      <w:r w:rsidR="00FA198E" w:rsidRPr="008E2FEF">
        <w:rPr>
          <w:rFonts w:cs="Arial"/>
          <w:color w:val="000000"/>
        </w:rPr>
        <w:t>onnes of CO</w:t>
      </w:r>
      <w:r w:rsidR="00FA198E" w:rsidRPr="008E2FEF">
        <w:rPr>
          <w:rFonts w:cs="Arial"/>
          <w:color w:val="000000"/>
          <w:vertAlign w:val="subscript"/>
        </w:rPr>
        <w:t>2</w:t>
      </w:r>
      <w:r w:rsidRPr="008E2FEF">
        <w:rPr>
          <w:rFonts w:cs="Arial"/>
          <w:color w:val="000000"/>
        </w:rPr>
        <w:t>/GWh</w:t>
      </w:r>
      <w:r w:rsidR="00FA198E" w:rsidRPr="008E2FEF">
        <w:rPr>
          <w:rFonts w:cs="Arial"/>
          <w:color w:val="000000"/>
        </w:rPr>
        <w:t xml:space="preserve"> of electricity produced by the unit during a year</w:t>
      </w:r>
      <w:r w:rsidRPr="008E2FEF">
        <w:rPr>
          <w:rFonts w:cs="Arial"/>
          <w:color w:val="000000"/>
        </w:rPr>
        <w:t>.</w:t>
      </w:r>
    </w:p>
    <w:sectPr w:rsidR="007A3FFA" w:rsidRPr="008E2FEF" w:rsidSect="00E36A12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FBE" w:rsidRPr="008E2FEF" w:rsidRDefault="006D4FBE" w:rsidP="00DE164A">
      <w:r w:rsidRPr="008E2FEF">
        <w:separator/>
      </w:r>
    </w:p>
  </w:endnote>
  <w:endnote w:type="continuationSeparator" w:id="0">
    <w:p w:rsidR="006D4FBE" w:rsidRPr="008E2FEF" w:rsidRDefault="006D4FBE" w:rsidP="00DE164A">
      <w:r w:rsidRPr="008E2FEF"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FEF" w:rsidRPr="008E2FEF" w:rsidRDefault="000B315F">
    <w:pPr>
      <w:pStyle w:val="Footer"/>
      <w:jc w:val="center"/>
    </w:pPr>
    <w:fldSimple w:instr=" PAGE   \* MERGEFORMAT ">
      <w:r w:rsidR="00E04E9E">
        <w:rPr>
          <w:noProof/>
        </w:rPr>
        <w:t>5</w:t>
      </w:r>
    </w:fldSimple>
  </w:p>
  <w:p w:rsidR="008E2FEF" w:rsidRPr="008E2FEF" w:rsidRDefault="008E2F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FBE" w:rsidRPr="008E2FEF" w:rsidRDefault="006D4FBE" w:rsidP="00DE164A">
      <w:r w:rsidRPr="008E2FEF">
        <w:separator/>
      </w:r>
    </w:p>
  </w:footnote>
  <w:footnote w:type="continuationSeparator" w:id="0">
    <w:p w:rsidR="006D4FBE" w:rsidRPr="008E2FEF" w:rsidRDefault="006D4FBE" w:rsidP="00DE164A">
      <w:r w:rsidRPr="008E2FEF">
        <w:continuationSeparator/>
      </w:r>
    </w:p>
  </w:footnote>
  <w:footnote w:id="1">
    <w:p w:rsidR="008E2FEF" w:rsidRPr="008E2FEF" w:rsidRDefault="008E2FEF">
      <w:pPr>
        <w:pStyle w:val="FootnoteText"/>
      </w:pPr>
      <w:r w:rsidRPr="008E2FEF">
        <w:rPr>
          <w:rStyle w:val="FootnoteReference"/>
        </w:rPr>
        <w:footnoteRef/>
      </w:r>
      <w:r w:rsidRPr="008E2FEF">
        <w:t xml:space="preserve"> </w:t>
      </w:r>
      <w:r w:rsidRPr="008E2FEF">
        <w:rPr>
          <w:color w:val="000000"/>
        </w:rPr>
        <w:t>Natural Gas Combined Cycle (NGCC) is a type of power process whereby a gas turbine generates electricity, and the waste heat is used to make steam to generate additional electricity via a steam turbine. The process is more efficient than a simple generation cycle.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FEF" w:rsidRPr="008E2FEF" w:rsidRDefault="000B315F" w:rsidP="00DE164A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831064" o:spid="_x0000_s2049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  <w:r w:rsidR="008E2FEF" w:rsidRPr="008E2FEF">
      <w:t>September 18, 2012</w:t>
    </w:r>
  </w:p>
  <w:p w:rsidR="008E2FEF" w:rsidRPr="008E2FEF" w:rsidRDefault="008E2FE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2A58"/>
    <w:multiLevelType w:val="hybridMultilevel"/>
    <w:tmpl w:val="5AACE2A8"/>
    <w:lvl w:ilvl="0" w:tplc="E70C7C62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517290"/>
    <w:multiLevelType w:val="hybridMultilevel"/>
    <w:tmpl w:val="9F8E992E"/>
    <w:lvl w:ilvl="0" w:tplc="14D21C8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A70D0A"/>
    <w:multiLevelType w:val="hybridMultilevel"/>
    <w:tmpl w:val="EDD6BB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425F0"/>
    <w:multiLevelType w:val="hybridMultilevel"/>
    <w:tmpl w:val="51520C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054205"/>
    <w:multiLevelType w:val="hybridMultilevel"/>
    <w:tmpl w:val="193ED0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A16B3"/>
    <w:multiLevelType w:val="hybridMultilevel"/>
    <w:tmpl w:val="0AC68E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315360"/>
    <w:multiLevelType w:val="hybridMultilevel"/>
    <w:tmpl w:val="A1CA6CA0"/>
    <w:lvl w:ilvl="0" w:tplc="14D21C8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EA58BD"/>
    <w:multiLevelType w:val="hybridMultilevel"/>
    <w:tmpl w:val="38E044D0"/>
    <w:lvl w:ilvl="0" w:tplc="1F94B2F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10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8">
    <w:nsid w:val="124769AF"/>
    <w:multiLevelType w:val="hybridMultilevel"/>
    <w:tmpl w:val="5D24A0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487C32"/>
    <w:multiLevelType w:val="hybridMultilevel"/>
    <w:tmpl w:val="BB7AB0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464413"/>
    <w:multiLevelType w:val="hybridMultilevel"/>
    <w:tmpl w:val="AFD6177A"/>
    <w:lvl w:ilvl="0" w:tplc="14D21C8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2C5E88"/>
    <w:multiLevelType w:val="hybridMultilevel"/>
    <w:tmpl w:val="B6F0A6DA"/>
    <w:lvl w:ilvl="0" w:tplc="14D21C8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F862C9"/>
    <w:multiLevelType w:val="hybridMultilevel"/>
    <w:tmpl w:val="251AC8F8"/>
    <w:lvl w:ilvl="0" w:tplc="14D21C8C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B06319A"/>
    <w:multiLevelType w:val="hybridMultilevel"/>
    <w:tmpl w:val="5AAE52E4"/>
    <w:lvl w:ilvl="0" w:tplc="14D21C8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A35F1E"/>
    <w:multiLevelType w:val="hybridMultilevel"/>
    <w:tmpl w:val="B7C6DC6A"/>
    <w:lvl w:ilvl="0" w:tplc="14D21C8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A524A0"/>
    <w:multiLevelType w:val="hybridMultilevel"/>
    <w:tmpl w:val="7A30FB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382803"/>
    <w:multiLevelType w:val="hybridMultilevel"/>
    <w:tmpl w:val="60A61E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F93706"/>
    <w:multiLevelType w:val="hybridMultilevel"/>
    <w:tmpl w:val="2D6CD1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9B13B6"/>
    <w:multiLevelType w:val="hybridMultilevel"/>
    <w:tmpl w:val="C588A2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2A32FF"/>
    <w:multiLevelType w:val="hybridMultilevel"/>
    <w:tmpl w:val="1C10F580"/>
    <w:lvl w:ilvl="0" w:tplc="E70C7C62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4997525"/>
    <w:multiLevelType w:val="hybridMultilevel"/>
    <w:tmpl w:val="9AB0E2FC"/>
    <w:lvl w:ilvl="0" w:tplc="14D21C8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4DA17F9"/>
    <w:multiLevelType w:val="hybridMultilevel"/>
    <w:tmpl w:val="24844A98"/>
    <w:lvl w:ilvl="0" w:tplc="E70C7C62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6D92D54"/>
    <w:multiLevelType w:val="hybridMultilevel"/>
    <w:tmpl w:val="6FDE3BCA"/>
    <w:lvl w:ilvl="0" w:tplc="14D21C8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6ED2A73"/>
    <w:multiLevelType w:val="hybridMultilevel"/>
    <w:tmpl w:val="5B6249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B144F2"/>
    <w:multiLevelType w:val="hybridMultilevel"/>
    <w:tmpl w:val="C01A3FF4"/>
    <w:lvl w:ilvl="0" w:tplc="14D21C8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94436D"/>
    <w:multiLevelType w:val="hybridMultilevel"/>
    <w:tmpl w:val="FE2A3514"/>
    <w:lvl w:ilvl="0" w:tplc="14D21C8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C6F01D1"/>
    <w:multiLevelType w:val="hybridMultilevel"/>
    <w:tmpl w:val="56CC3FF8"/>
    <w:lvl w:ilvl="0" w:tplc="14D21C8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EDA3A3F"/>
    <w:multiLevelType w:val="hybridMultilevel"/>
    <w:tmpl w:val="95B24C82"/>
    <w:lvl w:ilvl="0" w:tplc="14D21C8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7EB0B7A"/>
    <w:multiLevelType w:val="hybridMultilevel"/>
    <w:tmpl w:val="CD98D4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7562A6"/>
    <w:multiLevelType w:val="hybridMultilevel"/>
    <w:tmpl w:val="AED23F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714E6B"/>
    <w:multiLevelType w:val="hybridMultilevel"/>
    <w:tmpl w:val="28DE3A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D86C7D"/>
    <w:multiLevelType w:val="hybridMultilevel"/>
    <w:tmpl w:val="1980B992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0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10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10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plc="10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0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10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2">
    <w:nsid w:val="662D227C"/>
    <w:multiLevelType w:val="hybridMultilevel"/>
    <w:tmpl w:val="35045A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223876"/>
    <w:multiLevelType w:val="hybridMultilevel"/>
    <w:tmpl w:val="6D18A6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03409E"/>
    <w:multiLevelType w:val="hybridMultilevel"/>
    <w:tmpl w:val="452C3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254D16"/>
    <w:multiLevelType w:val="hybridMultilevel"/>
    <w:tmpl w:val="3A461A88"/>
    <w:lvl w:ilvl="0" w:tplc="1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6">
    <w:nsid w:val="6EC373E7"/>
    <w:multiLevelType w:val="hybridMultilevel"/>
    <w:tmpl w:val="4B52E2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9826A3"/>
    <w:multiLevelType w:val="hybridMultilevel"/>
    <w:tmpl w:val="E644590C"/>
    <w:lvl w:ilvl="0" w:tplc="14D21C8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317037F"/>
    <w:multiLevelType w:val="hybridMultilevel"/>
    <w:tmpl w:val="7F44FC74"/>
    <w:lvl w:ilvl="0" w:tplc="14D21C8C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>
    <w:nsid w:val="77467AD4"/>
    <w:multiLevelType w:val="hybridMultilevel"/>
    <w:tmpl w:val="BC12AC38"/>
    <w:lvl w:ilvl="0" w:tplc="14D21C8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8425CD8"/>
    <w:multiLevelType w:val="hybridMultilevel"/>
    <w:tmpl w:val="4C9A27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1C378F"/>
    <w:multiLevelType w:val="hybridMultilevel"/>
    <w:tmpl w:val="30720E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62298D"/>
    <w:multiLevelType w:val="hybridMultilevel"/>
    <w:tmpl w:val="7B12CC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6D4C4B"/>
    <w:multiLevelType w:val="hybridMultilevel"/>
    <w:tmpl w:val="54080D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26"/>
  </w:num>
  <w:num w:numId="4">
    <w:abstractNumId w:val="10"/>
  </w:num>
  <w:num w:numId="5">
    <w:abstractNumId w:val="37"/>
  </w:num>
  <w:num w:numId="6">
    <w:abstractNumId w:val="25"/>
  </w:num>
  <w:num w:numId="7">
    <w:abstractNumId w:val="22"/>
  </w:num>
  <w:num w:numId="8">
    <w:abstractNumId w:val="38"/>
  </w:num>
  <w:num w:numId="9">
    <w:abstractNumId w:val="27"/>
  </w:num>
  <w:num w:numId="10">
    <w:abstractNumId w:val="11"/>
  </w:num>
  <w:num w:numId="11">
    <w:abstractNumId w:val="21"/>
  </w:num>
  <w:num w:numId="12">
    <w:abstractNumId w:val="14"/>
  </w:num>
  <w:num w:numId="13">
    <w:abstractNumId w:val="19"/>
  </w:num>
  <w:num w:numId="14">
    <w:abstractNumId w:val="0"/>
  </w:num>
  <w:num w:numId="15">
    <w:abstractNumId w:val="6"/>
  </w:num>
  <w:num w:numId="16">
    <w:abstractNumId w:val="39"/>
  </w:num>
  <w:num w:numId="17">
    <w:abstractNumId w:val="1"/>
  </w:num>
  <w:num w:numId="18">
    <w:abstractNumId w:val="20"/>
  </w:num>
  <w:num w:numId="19">
    <w:abstractNumId w:val="35"/>
  </w:num>
  <w:num w:numId="20">
    <w:abstractNumId w:val="40"/>
  </w:num>
  <w:num w:numId="21">
    <w:abstractNumId w:val="32"/>
  </w:num>
  <w:num w:numId="22">
    <w:abstractNumId w:val="33"/>
  </w:num>
  <w:num w:numId="23">
    <w:abstractNumId w:val="29"/>
  </w:num>
  <w:num w:numId="24">
    <w:abstractNumId w:val="9"/>
  </w:num>
  <w:num w:numId="25">
    <w:abstractNumId w:val="5"/>
  </w:num>
  <w:num w:numId="26">
    <w:abstractNumId w:val="23"/>
  </w:num>
  <w:num w:numId="27">
    <w:abstractNumId w:val="7"/>
  </w:num>
  <w:num w:numId="28">
    <w:abstractNumId w:val="16"/>
  </w:num>
  <w:num w:numId="29">
    <w:abstractNumId w:val="2"/>
  </w:num>
  <w:num w:numId="30">
    <w:abstractNumId w:val="31"/>
  </w:num>
  <w:num w:numId="31">
    <w:abstractNumId w:val="30"/>
  </w:num>
  <w:num w:numId="32">
    <w:abstractNumId w:val="41"/>
  </w:num>
  <w:num w:numId="33">
    <w:abstractNumId w:val="43"/>
  </w:num>
  <w:num w:numId="34">
    <w:abstractNumId w:val="36"/>
  </w:num>
  <w:num w:numId="35">
    <w:abstractNumId w:val="17"/>
  </w:num>
  <w:num w:numId="36">
    <w:abstractNumId w:val="8"/>
  </w:num>
  <w:num w:numId="37">
    <w:abstractNumId w:val="34"/>
  </w:num>
  <w:num w:numId="38">
    <w:abstractNumId w:val="41"/>
  </w:num>
  <w:num w:numId="39">
    <w:abstractNumId w:val="24"/>
  </w:num>
  <w:num w:numId="40">
    <w:abstractNumId w:val="18"/>
  </w:num>
  <w:num w:numId="41">
    <w:abstractNumId w:val="12"/>
  </w:num>
  <w:num w:numId="42">
    <w:abstractNumId w:val="28"/>
  </w:num>
  <w:num w:numId="43">
    <w:abstractNumId w:val="15"/>
  </w:num>
  <w:num w:numId="44">
    <w:abstractNumId w:val="3"/>
  </w:num>
  <w:num w:numId="45">
    <w:abstractNumId w:val="42"/>
  </w:num>
  <w:num w:numId="4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hideSpellingErrors/>
  <w:stylePaneFormatFilter w:val="3F01"/>
  <w:defaultTabStop w:val="720"/>
  <w:hyphenationZone w:val="425"/>
  <w:noPunctuationKerning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05DD1"/>
    <w:rsid w:val="00001050"/>
    <w:rsid w:val="00002D37"/>
    <w:rsid w:val="0000364A"/>
    <w:rsid w:val="000038DC"/>
    <w:rsid w:val="0000496E"/>
    <w:rsid w:val="00006991"/>
    <w:rsid w:val="00007566"/>
    <w:rsid w:val="00022F4A"/>
    <w:rsid w:val="000232FD"/>
    <w:rsid w:val="000258A6"/>
    <w:rsid w:val="00026C55"/>
    <w:rsid w:val="00026EF6"/>
    <w:rsid w:val="0002765F"/>
    <w:rsid w:val="00027AF2"/>
    <w:rsid w:val="0003207C"/>
    <w:rsid w:val="00037150"/>
    <w:rsid w:val="000377D2"/>
    <w:rsid w:val="00040899"/>
    <w:rsid w:val="00040AD9"/>
    <w:rsid w:val="00041067"/>
    <w:rsid w:val="00045B4F"/>
    <w:rsid w:val="00051609"/>
    <w:rsid w:val="000517B7"/>
    <w:rsid w:val="00051E0D"/>
    <w:rsid w:val="00054667"/>
    <w:rsid w:val="00054C1F"/>
    <w:rsid w:val="0005520F"/>
    <w:rsid w:val="000557CF"/>
    <w:rsid w:val="00060AE3"/>
    <w:rsid w:val="000639E7"/>
    <w:rsid w:val="00066395"/>
    <w:rsid w:val="00067733"/>
    <w:rsid w:val="00074761"/>
    <w:rsid w:val="00074AA0"/>
    <w:rsid w:val="00074F50"/>
    <w:rsid w:val="00080CF4"/>
    <w:rsid w:val="00081305"/>
    <w:rsid w:val="0008392E"/>
    <w:rsid w:val="000873DF"/>
    <w:rsid w:val="0009419B"/>
    <w:rsid w:val="000963D0"/>
    <w:rsid w:val="00096D83"/>
    <w:rsid w:val="000A0E87"/>
    <w:rsid w:val="000A1175"/>
    <w:rsid w:val="000A1F47"/>
    <w:rsid w:val="000A285D"/>
    <w:rsid w:val="000A38C8"/>
    <w:rsid w:val="000A3AC8"/>
    <w:rsid w:val="000A3BDC"/>
    <w:rsid w:val="000A5075"/>
    <w:rsid w:val="000A7BA2"/>
    <w:rsid w:val="000A7FD4"/>
    <w:rsid w:val="000B2766"/>
    <w:rsid w:val="000B315F"/>
    <w:rsid w:val="000B692B"/>
    <w:rsid w:val="000B693C"/>
    <w:rsid w:val="000B7744"/>
    <w:rsid w:val="000B7B48"/>
    <w:rsid w:val="000C6124"/>
    <w:rsid w:val="000C6D77"/>
    <w:rsid w:val="000D0205"/>
    <w:rsid w:val="000D1182"/>
    <w:rsid w:val="000D3C2E"/>
    <w:rsid w:val="000D3E1F"/>
    <w:rsid w:val="000D433A"/>
    <w:rsid w:val="000D47F4"/>
    <w:rsid w:val="000D49A5"/>
    <w:rsid w:val="000D4B7B"/>
    <w:rsid w:val="000D62F7"/>
    <w:rsid w:val="000E06B3"/>
    <w:rsid w:val="000E0964"/>
    <w:rsid w:val="000E3D7E"/>
    <w:rsid w:val="000F23A9"/>
    <w:rsid w:val="000F2E19"/>
    <w:rsid w:val="000F360D"/>
    <w:rsid w:val="000F4C16"/>
    <w:rsid w:val="00100116"/>
    <w:rsid w:val="00101C83"/>
    <w:rsid w:val="001036C1"/>
    <w:rsid w:val="0010434E"/>
    <w:rsid w:val="0010590A"/>
    <w:rsid w:val="00106411"/>
    <w:rsid w:val="001110BA"/>
    <w:rsid w:val="00111753"/>
    <w:rsid w:val="00111775"/>
    <w:rsid w:val="001127A3"/>
    <w:rsid w:val="001133BB"/>
    <w:rsid w:val="001207E8"/>
    <w:rsid w:val="001209AE"/>
    <w:rsid w:val="001238C0"/>
    <w:rsid w:val="001262A4"/>
    <w:rsid w:val="00127D87"/>
    <w:rsid w:val="001323A0"/>
    <w:rsid w:val="00133328"/>
    <w:rsid w:val="00133C50"/>
    <w:rsid w:val="00134277"/>
    <w:rsid w:val="00135CAA"/>
    <w:rsid w:val="00136C5E"/>
    <w:rsid w:val="00137809"/>
    <w:rsid w:val="00140067"/>
    <w:rsid w:val="001463E9"/>
    <w:rsid w:val="001503B1"/>
    <w:rsid w:val="00152773"/>
    <w:rsid w:val="00153D18"/>
    <w:rsid w:val="00160C8C"/>
    <w:rsid w:val="00160E7A"/>
    <w:rsid w:val="00160EE4"/>
    <w:rsid w:val="00162985"/>
    <w:rsid w:val="00162F1E"/>
    <w:rsid w:val="00163C17"/>
    <w:rsid w:val="001677F0"/>
    <w:rsid w:val="00167E1D"/>
    <w:rsid w:val="00171697"/>
    <w:rsid w:val="00173313"/>
    <w:rsid w:val="00173466"/>
    <w:rsid w:val="001736D0"/>
    <w:rsid w:val="00177975"/>
    <w:rsid w:val="00181416"/>
    <w:rsid w:val="0018304F"/>
    <w:rsid w:val="00184EF9"/>
    <w:rsid w:val="00186301"/>
    <w:rsid w:val="001914FA"/>
    <w:rsid w:val="0019256D"/>
    <w:rsid w:val="00195B88"/>
    <w:rsid w:val="00196F46"/>
    <w:rsid w:val="00197B22"/>
    <w:rsid w:val="001A39B5"/>
    <w:rsid w:val="001A4E28"/>
    <w:rsid w:val="001A5D8B"/>
    <w:rsid w:val="001A5F34"/>
    <w:rsid w:val="001A6ABC"/>
    <w:rsid w:val="001A6F18"/>
    <w:rsid w:val="001B1DE1"/>
    <w:rsid w:val="001B2426"/>
    <w:rsid w:val="001B5EA3"/>
    <w:rsid w:val="001C0487"/>
    <w:rsid w:val="001C0647"/>
    <w:rsid w:val="001C2A71"/>
    <w:rsid w:val="001C425B"/>
    <w:rsid w:val="001C6DFE"/>
    <w:rsid w:val="001C77B1"/>
    <w:rsid w:val="001D0338"/>
    <w:rsid w:val="001D0421"/>
    <w:rsid w:val="001D5EB5"/>
    <w:rsid w:val="001E0246"/>
    <w:rsid w:val="001E0B58"/>
    <w:rsid w:val="001E123E"/>
    <w:rsid w:val="001E1430"/>
    <w:rsid w:val="001E1B46"/>
    <w:rsid w:val="001E1BC1"/>
    <w:rsid w:val="001E2507"/>
    <w:rsid w:val="001E3523"/>
    <w:rsid w:val="001E36A6"/>
    <w:rsid w:val="001E4842"/>
    <w:rsid w:val="001E70DC"/>
    <w:rsid w:val="001E71D7"/>
    <w:rsid w:val="001F00DF"/>
    <w:rsid w:val="001F0D87"/>
    <w:rsid w:val="001F25AA"/>
    <w:rsid w:val="001F3A9C"/>
    <w:rsid w:val="001F3AEC"/>
    <w:rsid w:val="001F5789"/>
    <w:rsid w:val="001F5C31"/>
    <w:rsid w:val="00200916"/>
    <w:rsid w:val="00201F7D"/>
    <w:rsid w:val="00206116"/>
    <w:rsid w:val="00213BDA"/>
    <w:rsid w:val="00213F6C"/>
    <w:rsid w:val="00215294"/>
    <w:rsid w:val="00217A64"/>
    <w:rsid w:val="002260B7"/>
    <w:rsid w:val="00233EB6"/>
    <w:rsid w:val="0023672B"/>
    <w:rsid w:val="0024086E"/>
    <w:rsid w:val="002425E6"/>
    <w:rsid w:val="00244BB0"/>
    <w:rsid w:val="002502BB"/>
    <w:rsid w:val="00250D14"/>
    <w:rsid w:val="0025309E"/>
    <w:rsid w:val="00253721"/>
    <w:rsid w:val="00253E28"/>
    <w:rsid w:val="00254C80"/>
    <w:rsid w:val="00256F58"/>
    <w:rsid w:val="00257299"/>
    <w:rsid w:val="00261265"/>
    <w:rsid w:val="00261B11"/>
    <w:rsid w:val="00261FCE"/>
    <w:rsid w:val="00264F20"/>
    <w:rsid w:val="0026589B"/>
    <w:rsid w:val="00272D63"/>
    <w:rsid w:val="002744D7"/>
    <w:rsid w:val="00280505"/>
    <w:rsid w:val="0028152D"/>
    <w:rsid w:val="00281711"/>
    <w:rsid w:val="00281824"/>
    <w:rsid w:val="00281B60"/>
    <w:rsid w:val="00282F00"/>
    <w:rsid w:val="00285497"/>
    <w:rsid w:val="00285B29"/>
    <w:rsid w:val="00290092"/>
    <w:rsid w:val="00292C9E"/>
    <w:rsid w:val="00294FE8"/>
    <w:rsid w:val="002957B0"/>
    <w:rsid w:val="00295FFF"/>
    <w:rsid w:val="002A1D53"/>
    <w:rsid w:val="002A480D"/>
    <w:rsid w:val="002B08A9"/>
    <w:rsid w:val="002B1103"/>
    <w:rsid w:val="002B1AF6"/>
    <w:rsid w:val="002B4B7D"/>
    <w:rsid w:val="002B5354"/>
    <w:rsid w:val="002B5410"/>
    <w:rsid w:val="002C09D5"/>
    <w:rsid w:val="002C105C"/>
    <w:rsid w:val="002C2F7F"/>
    <w:rsid w:val="002C3DA1"/>
    <w:rsid w:val="002C4B09"/>
    <w:rsid w:val="002C70C5"/>
    <w:rsid w:val="002D19B6"/>
    <w:rsid w:val="002D575A"/>
    <w:rsid w:val="002D7DA1"/>
    <w:rsid w:val="002E12DF"/>
    <w:rsid w:val="002E1521"/>
    <w:rsid w:val="002E21AD"/>
    <w:rsid w:val="002E36FD"/>
    <w:rsid w:val="002E6BE0"/>
    <w:rsid w:val="002F09AB"/>
    <w:rsid w:val="002F279B"/>
    <w:rsid w:val="002F4B1B"/>
    <w:rsid w:val="002F552A"/>
    <w:rsid w:val="002F6AA1"/>
    <w:rsid w:val="002F778D"/>
    <w:rsid w:val="002F78B3"/>
    <w:rsid w:val="003016A3"/>
    <w:rsid w:val="003031AC"/>
    <w:rsid w:val="00303600"/>
    <w:rsid w:val="00305CEC"/>
    <w:rsid w:val="0030787D"/>
    <w:rsid w:val="0031323B"/>
    <w:rsid w:val="0031356E"/>
    <w:rsid w:val="0031412A"/>
    <w:rsid w:val="00320A32"/>
    <w:rsid w:val="00323EA0"/>
    <w:rsid w:val="003246EA"/>
    <w:rsid w:val="00324A6B"/>
    <w:rsid w:val="00325BDD"/>
    <w:rsid w:val="0032720E"/>
    <w:rsid w:val="00330A16"/>
    <w:rsid w:val="00333698"/>
    <w:rsid w:val="00334F0B"/>
    <w:rsid w:val="003363F6"/>
    <w:rsid w:val="003368AC"/>
    <w:rsid w:val="00336B47"/>
    <w:rsid w:val="00337CB9"/>
    <w:rsid w:val="00342D31"/>
    <w:rsid w:val="0034321F"/>
    <w:rsid w:val="003517A2"/>
    <w:rsid w:val="00352ED2"/>
    <w:rsid w:val="003530B5"/>
    <w:rsid w:val="00353220"/>
    <w:rsid w:val="0035356E"/>
    <w:rsid w:val="00354127"/>
    <w:rsid w:val="003555E7"/>
    <w:rsid w:val="00355633"/>
    <w:rsid w:val="00363879"/>
    <w:rsid w:val="00364D07"/>
    <w:rsid w:val="00365CA0"/>
    <w:rsid w:val="003738A7"/>
    <w:rsid w:val="00373CB0"/>
    <w:rsid w:val="00375CBE"/>
    <w:rsid w:val="00377F5F"/>
    <w:rsid w:val="00380573"/>
    <w:rsid w:val="00381756"/>
    <w:rsid w:val="00383D68"/>
    <w:rsid w:val="00390D24"/>
    <w:rsid w:val="00392912"/>
    <w:rsid w:val="003A1490"/>
    <w:rsid w:val="003A17D6"/>
    <w:rsid w:val="003A217C"/>
    <w:rsid w:val="003A2CE0"/>
    <w:rsid w:val="003A3054"/>
    <w:rsid w:val="003A3AD3"/>
    <w:rsid w:val="003A3D51"/>
    <w:rsid w:val="003A483C"/>
    <w:rsid w:val="003A6ED7"/>
    <w:rsid w:val="003A7450"/>
    <w:rsid w:val="003B0271"/>
    <w:rsid w:val="003B207F"/>
    <w:rsid w:val="003B24FE"/>
    <w:rsid w:val="003B4E15"/>
    <w:rsid w:val="003C7EB2"/>
    <w:rsid w:val="003D0042"/>
    <w:rsid w:val="003D4BDA"/>
    <w:rsid w:val="003E18E9"/>
    <w:rsid w:val="003E726D"/>
    <w:rsid w:val="003E7670"/>
    <w:rsid w:val="003F01DF"/>
    <w:rsid w:val="003F21D5"/>
    <w:rsid w:val="003F6C3B"/>
    <w:rsid w:val="0040225B"/>
    <w:rsid w:val="00407CFA"/>
    <w:rsid w:val="0041250B"/>
    <w:rsid w:val="004138FE"/>
    <w:rsid w:val="00421488"/>
    <w:rsid w:val="00423069"/>
    <w:rsid w:val="004252CF"/>
    <w:rsid w:val="00426927"/>
    <w:rsid w:val="00427147"/>
    <w:rsid w:val="00427898"/>
    <w:rsid w:val="00427BF5"/>
    <w:rsid w:val="00431F98"/>
    <w:rsid w:val="00433375"/>
    <w:rsid w:val="00435072"/>
    <w:rsid w:val="00435A3A"/>
    <w:rsid w:val="00435A6D"/>
    <w:rsid w:val="00442E34"/>
    <w:rsid w:val="00442EF7"/>
    <w:rsid w:val="0044374E"/>
    <w:rsid w:val="004504D3"/>
    <w:rsid w:val="00450CEE"/>
    <w:rsid w:val="004521FC"/>
    <w:rsid w:val="004522EC"/>
    <w:rsid w:val="00452B26"/>
    <w:rsid w:val="00453A7C"/>
    <w:rsid w:val="004553F8"/>
    <w:rsid w:val="00455DE3"/>
    <w:rsid w:val="0045661F"/>
    <w:rsid w:val="00460406"/>
    <w:rsid w:val="00460E99"/>
    <w:rsid w:val="00463F90"/>
    <w:rsid w:val="00465418"/>
    <w:rsid w:val="0046700A"/>
    <w:rsid w:val="00471B22"/>
    <w:rsid w:val="00471F40"/>
    <w:rsid w:val="00472FAB"/>
    <w:rsid w:val="004739AE"/>
    <w:rsid w:val="00473C40"/>
    <w:rsid w:val="004762F1"/>
    <w:rsid w:val="00480BD2"/>
    <w:rsid w:val="00485F84"/>
    <w:rsid w:val="00490079"/>
    <w:rsid w:val="00490A6E"/>
    <w:rsid w:val="00490BB8"/>
    <w:rsid w:val="0049143F"/>
    <w:rsid w:val="00492663"/>
    <w:rsid w:val="00495185"/>
    <w:rsid w:val="0049589D"/>
    <w:rsid w:val="00496D5B"/>
    <w:rsid w:val="004A00C5"/>
    <w:rsid w:val="004B04C9"/>
    <w:rsid w:val="004B297C"/>
    <w:rsid w:val="004B2F0E"/>
    <w:rsid w:val="004B436D"/>
    <w:rsid w:val="004B4DED"/>
    <w:rsid w:val="004B5035"/>
    <w:rsid w:val="004C013A"/>
    <w:rsid w:val="004C2AEC"/>
    <w:rsid w:val="004C2B1E"/>
    <w:rsid w:val="004C6F1D"/>
    <w:rsid w:val="004D134D"/>
    <w:rsid w:val="004D2643"/>
    <w:rsid w:val="004D46A6"/>
    <w:rsid w:val="004D5C74"/>
    <w:rsid w:val="004D6524"/>
    <w:rsid w:val="004D6AC8"/>
    <w:rsid w:val="004D6F10"/>
    <w:rsid w:val="004E01C5"/>
    <w:rsid w:val="004E12C5"/>
    <w:rsid w:val="004E140C"/>
    <w:rsid w:val="004E57C3"/>
    <w:rsid w:val="004E67CC"/>
    <w:rsid w:val="004E681B"/>
    <w:rsid w:val="004E7957"/>
    <w:rsid w:val="004F021C"/>
    <w:rsid w:val="004F3BFE"/>
    <w:rsid w:val="004F3D16"/>
    <w:rsid w:val="0050569A"/>
    <w:rsid w:val="0051015B"/>
    <w:rsid w:val="00510C5D"/>
    <w:rsid w:val="00512F69"/>
    <w:rsid w:val="00514A3F"/>
    <w:rsid w:val="00515B17"/>
    <w:rsid w:val="00516940"/>
    <w:rsid w:val="005170B1"/>
    <w:rsid w:val="00517620"/>
    <w:rsid w:val="00517EAD"/>
    <w:rsid w:val="005234C4"/>
    <w:rsid w:val="00523A2C"/>
    <w:rsid w:val="00530DBC"/>
    <w:rsid w:val="005311D8"/>
    <w:rsid w:val="00531ED4"/>
    <w:rsid w:val="00534649"/>
    <w:rsid w:val="00534E89"/>
    <w:rsid w:val="0053664C"/>
    <w:rsid w:val="00541699"/>
    <w:rsid w:val="0054201E"/>
    <w:rsid w:val="005432AC"/>
    <w:rsid w:val="00543432"/>
    <w:rsid w:val="00544202"/>
    <w:rsid w:val="00546666"/>
    <w:rsid w:val="00551AD8"/>
    <w:rsid w:val="00551ED6"/>
    <w:rsid w:val="00555C53"/>
    <w:rsid w:val="00556248"/>
    <w:rsid w:val="005602B0"/>
    <w:rsid w:val="005647AA"/>
    <w:rsid w:val="00565CF2"/>
    <w:rsid w:val="00566323"/>
    <w:rsid w:val="00566482"/>
    <w:rsid w:val="00570173"/>
    <w:rsid w:val="0057227B"/>
    <w:rsid w:val="00576575"/>
    <w:rsid w:val="0058190A"/>
    <w:rsid w:val="00581EBC"/>
    <w:rsid w:val="00583F3E"/>
    <w:rsid w:val="00584D8E"/>
    <w:rsid w:val="0058763B"/>
    <w:rsid w:val="00590910"/>
    <w:rsid w:val="00593DA4"/>
    <w:rsid w:val="0059403D"/>
    <w:rsid w:val="005943B5"/>
    <w:rsid w:val="00595736"/>
    <w:rsid w:val="005959A8"/>
    <w:rsid w:val="005972CF"/>
    <w:rsid w:val="005973C1"/>
    <w:rsid w:val="005A1EDE"/>
    <w:rsid w:val="005A3128"/>
    <w:rsid w:val="005A53CA"/>
    <w:rsid w:val="005A67A8"/>
    <w:rsid w:val="005A6A8E"/>
    <w:rsid w:val="005A71D5"/>
    <w:rsid w:val="005B0249"/>
    <w:rsid w:val="005B3762"/>
    <w:rsid w:val="005B3DF4"/>
    <w:rsid w:val="005B5D66"/>
    <w:rsid w:val="005B6738"/>
    <w:rsid w:val="005C3740"/>
    <w:rsid w:val="005C39D1"/>
    <w:rsid w:val="005C455F"/>
    <w:rsid w:val="005C4ACE"/>
    <w:rsid w:val="005C5FDC"/>
    <w:rsid w:val="005D0750"/>
    <w:rsid w:val="005D0A80"/>
    <w:rsid w:val="005D40C6"/>
    <w:rsid w:val="005D4276"/>
    <w:rsid w:val="005E016A"/>
    <w:rsid w:val="005E274B"/>
    <w:rsid w:val="005E2B12"/>
    <w:rsid w:val="005E2EEF"/>
    <w:rsid w:val="005E2EF2"/>
    <w:rsid w:val="005E3D30"/>
    <w:rsid w:val="005E445B"/>
    <w:rsid w:val="005F0A4C"/>
    <w:rsid w:val="005F27D8"/>
    <w:rsid w:val="005F4CD2"/>
    <w:rsid w:val="005F76E1"/>
    <w:rsid w:val="005F76F7"/>
    <w:rsid w:val="00602CE5"/>
    <w:rsid w:val="00606139"/>
    <w:rsid w:val="0060664F"/>
    <w:rsid w:val="0061246C"/>
    <w:rsid w:val="0061336D"/>
    <w:rsid w:val="00614A29"/>
    <w:rsid w:val="0062178C"/>
    <w:rsid w:val="00621D65"/>
    <w:rsid w:val="006229C6"/>
    <w:rsid w:val="00623AC0"/>
    <w:rsid w:val="00625AC2"/>
    <w:rsid w:val="00633EF0"/>
    <w:rsid w:val="00637421"/>
    <w:rsid w:val="00640126"/>
    <w:rsid w:val="006434CB"/>
    <w:rsid w:val="006456C1"/>
    <w:rsid w:val="00645AD9"/>
    <w:rsid w:val="0064765C"/>
    <w:rsid w:val="00647B45"/>
    <w:rsid w:val="00652A18"/>
    <w:rsid w:val="006530D5"/>
    <w:rsid w:val="006533DA"/>
    <w:rsid w:val="00653D67"/>
    <w:rsid w:val="00653EF1"/>
    <w:rsid w:val="00654AF7"/>
    <w:rsid w:val="00655712"/>
    <w:rsid w:val="00655C24"/>
    <w:rsid w:val="00656565"/>
    <w:rsid w:val="00664335"/>
    <w:rsid w:val="0066647B"/>
    <w:rsid w:val="00667BCD"/>
    <w:rsid w:val="00672255"/>
    <w:rsid w:val="0067226A"/>
    <w:rsid w:val="00672BDE"/>
    <w:rsid w:val="006750B0"/>
    <w:rsid w:val="00675A66"/>
    <w:rsid w:val="00676FD2"/>
    <w:rsid w:val="00677499"/>
    <w:rsid w:val="00681629"/>
    <w:rsid w:val="0068215F"/>
    <w:rsid w:val="00683939"/>
    <w:rsid w:val="00683C74"/>
    <w:rsid w:val="00685CFB"/>
    <w:rsid w:val="0068666D"/>
    <w:rsid w:val="00687BC5"/>
    <w:rsid w:val="00690835"/>
    <w:rsid w:val="006932C1"/>
    <w:rsid w:val="00693448"/>
    <w:rsid w:val="006939CA"/>
    <w:rsid w:val="006942EC"/>
    <w:rsid w:val="00694DD7"/>
    <w:rsid w:val="00695632"/>
    <w:rsid w:val="00695D6F"/>
    <w:rsid w:val="00696D4B"/>
    <w:rsid w:val="00697D4B"/>
    <w:rsid w:val="006A16F6"/>
    <w:rsid w:val="006A2308"/>
    <w:rsid w:val="006A42D8"/>
    <w:rsid w:val="006A75CB"/>
    <w:rsid w:val="006B04B9"/>
    <w:rsid w:val="006B1FF5"/>
    <w:rsid w:val="006B24D9"/>
    <w:rsid w:val="006B25E1"/>
    <w:rsid w:val="006B2825"/>
    <w:rsid w:val="006B2F1E"/>
    <w:rsid w:val="006B3445"/>
    <w:rsid w:val="006B42EA"/>
    <w:rsid w:val="006B4B6C"/>
    <w:rsid w:val="006B5CC9"/>
    <w:rsid w:val="006B700E"/>
    <w:rsid w:val="006B721F"/>
    <w:rsid w:val="006C0A44"/>
    <w:rsid w:val="006C0B75"/>
    <w:rsid w:val="006C341C"/>
    <w:rsid w:val="006D424A"/>
    <w:rsid w:val="006D4FBE"/>
    <w:rsid w:val="006D55C7"/>
    <w:rsid w:val="006D59F7"/>
    <w:rsid w:val="006E0A4B"/>
    <w:rsid w:val="006E2664"/>
    <w:rsid w:val="006E4880"/>
    <w:rsid w:val="006E4F5C"/>
    <w:rsid w:val="006E764D"/>
    <w:rsid w:val="006E7D01"/>
    <w:rsid w:val="006E7DD9"/>
    <w:rsid w:val="006F11B7"/>
    <w:rsid w:val="006F3068"/>
    <w:rsid w:val="006F327B"/>
    <w:rsid w:val="006F4C04"/>
    <w:rsid w:val="006F5EE2"/>
    <w:rsid w:val="006F79AF"/>
    <w:rsid w:val="00700005"/>
    <w:rsid w:val="007017F0"/>
    <w:rsid w:val="00703AAD"/>
    <w:rsid w:val="007055B1"/>
    <w:rsid w:val="00705878"/>
    <w:rsid w:val="00705916"/>
    <w:rsid w:val="00706C8B"/>
    <w:rsid w:val="00712593"/>
    <w:rsid w:val="00712825"/>
    <w:rsid w:val="0072015B"/>
    <w:rsid w:val="00721AB8"/>
    <w:rsid w:val="00722604"/>
    <w:rsid w:val="00722954"/>
    <w:rsid w:val="00731258"/>
    <w:rsid w:val="00733009"/>
    <w:rsid w:val="00733B06"/>
    <w:rsid w:val="00735CDB"/>
    <w:rsid w:val="007401F1"/>
    <w:rsid w:val="00740C1B"/>
    <w:rsid w:val="0074184B"/>
    <w:rsid w:val="00742561"/>
    <w:rsid w:val="00745E30"/>
    <w:rsid w:val="00746D20"/>
    <w:rsid w:val="00746DFB"/>
    <w:rsid w:val="0075209E"/>
    <w:rsid w:val="007524CB"/>
    <w:rsid w:val="00754304"/>
    <w:rsid w:val="007558DB"/>
    <w:rsid w:val="0076565D"/>
    <w:rsid w:val="007706D0"/>
    <w:rsid w:val="00772B18"/>
    <w:rsid w:val="0077561C"/>
    <w:rsid w:val="00775F3F"/>
    <w:rsid w:val="00780F67"/>
    <w:rsid w:val="0078457D"/>
    <w:rsid w:val="007900ED"/>
    <w:rsid w:val="007937E0"/>
    <w:rsid w:val="007A0788"/>
    <w:rsid w:val="007A09EC"/>
    <w:rsid w:val="007A1527"/>
    <w:rsid w:val="007A26FA"/>
    <w:rsid w:val="007A2E7F"/>
    <w:rsid w:val="007A3FFA"/>
    <w:rsid w:val="007A46E2"/>
    <w:rsid w:val="007A4C86"/>
    <w:rsid w:val="007A4D4D"/>
    <w:rsid w:val="007B203A"/>
    <w:rsid w:val="007B45F0"/>
    <w:rsid w:val="007B4A4E"/>
    <w:rsid w:val="007B5936"/>
    <w:rsid w:val="007C14B5"/>
    <w:rsid w:val="007C1C31"/>
    <w:rsid w:val="007C3A65"/>
    <w:rsid w:val="007C6DD5"/>
    <w:rsid w:val="007C7C86"/>
    <w:rsid w:val="007D0E85"/>
    <w:rsid w:val="007D128B"/>
    <w:rsid w:val="007D1A16"/>
    <w:rsid w:val="007D2E4B"/>
    <w:rsid w:val="007D499C"/>
    <w:rsid w:val="007D4A54"/>
    <w:rsid w:val="007E03E4"/>
    <w:rsid w:val="007E40D6"/>
    <w:rsid w:val="007E4ACA"/>
    <w:rsid w:val="007E6E24"/>
    <w:rsid w:val="007F348C"/>
    <w:rsid w:val="007F3945"/>
    <w:rsid w:val="0080193C"/>
    <w:rsid w:val="00803A9F"/>
    <w:rsid w:val="00803C83"/>
    <w:rsid w:val="00803EB1"/>
    <w:rsid w:val="00805170"/>
    <w:rsid w:val="008066CA"/>
    <w:rsid w:val="00806D4B"/>
    <w:rsid w:val="00807805"/>
    <w:rsid w:val="008110EE"/>
    <w:rsid w:val="00811F18"/>
    <w:rsid w:val="0081539A"/>
    <w:rsid w:val="0081685C"/>
    <w:rsid w:val="00820621"/>
    <w:rsid w:val="00820A0B"/>
    <w:rsid w:val="008223CC"/>
    <w:rsid w:val="00823486"/>
    <w:rsid w:val="00823553"/>
    <w:rsid w:val="00824431"/>
    <w:rsid w:val="0082497F"/>
    <w:rsid w:val="00827768"/>
    <w:rsid w:val="008328B1"/>
    <w:rsid w:val="008352AE"/>
    <w:rsid w:val="00835A50"/>
    <w:rsid w:val="00840271"/>
    <w:rsid w:val="0084034D"/>
    <w:rsid w:val="0084493B"/>
    <w:rsid w:val="00847BD5"/>
    <w:rsid w:val="008505CF"/>
    <w:rsid w:val="008556FF"/>
    <w:rsid w:val="00857673"/>
    <w:rsid w:val="00860C15"/>
    <w:rsid w:val="00861152"/>
    <w:rsid w:val="008613A4"/>
    <w:rsid w:val="00863E9D"/>
    <w:rsid w:val="0086457F"/>
    <w:rsid w:val="00867172"/>
    <w:rsid w:val="008707B2"/>
    <w:rsid w:val="0087080A"/>
    <w:rsid w:val="0087237A"/>
    <w:rsid w:val="00876CE0"/>
    <w:rsid w:val="00884FEE"/>
    <w:rsid w:val="00885505"/>
    <w:rsid w:val="00887E7D"/>
    <w:rsid w:val="0089028A"/>
    <w:rsid w:val="008918CC"/>
    <w:rsid w:val="00892267"/>
    <w:rsid w:val="0089499E"/>
    <w:rsid w:val="00895C53"/>
    <w:rsid w:val="008A06A5"/>
    <w:rsid w:val="008A2E34"/>
    <w:rsid w:val="008A4E90"/>
    <w:rsid w:val="008A6948"/>
    <w:rsid w:val="008A6F8F"/>
    <w:rsid w:val="008B133B"/>
    <w:rsid w:val="008B39BE"/>
    <w:rsid w:val="008B5A14"/>
    <w:rsid w:val="008B5DF6"/>
    <w:rsid w:val="008C0016"/>
    <w:rsid w:val="008C190A"/>
    <w:rsid w:val="008C3D92"/>
    <w:rsid w:val="008C4881"/>
    <w:rsid w:val="008C75E8"/>
    <w:rsid w:val="008C7D42"/>
    <w:rsid w:val="008D06AD"/>
    <w:rsid w:val="008D0CDF"/>
    <w:rsid w:val="008D266A"/>
    <w:rsid w:val="008D49C5"/>
    <w:rsid w:val="008D576B"/>
    <w:rsid w:val="008D5BAC"/>
    <w:rsid w:val="008D6B8E"/>
    <w:rsid w:val="008D6F70"/>
    <w:rsid w:val="008E177C"/>
    <w:rsid w:val="008E2C83"/>
    <w:rsid w:val="008E2FEF"/>
    <w:rsid w:val="008E50BB"/>
    <w:rsid w:val="008E57C6"/>
    <w:rsid w:val="008E5AD1"/>
    <w:rsid w:val="008E6986"/>
    <w:rsid w:val="008E7314"/>
    <w:rsid w:val="008F0822"/>
    <w:rsid w:val="008F40EC"/>
    <w:rsid w:val="008F5120"/>
    <w:rsid w:val="008F5BE4"/>
    <w:rsid w:val="008F6B9B"/>
    <w:rsid w:val="008F74E3"/>
    <w:rsid w:val="00901F0F"/>
    <w:rsid w:val="0090295D"/>
    <w:rsid w:val="009042C7"/>
    <w:rsid w:val="009043D0"/>
    <w:rsid w:val="00904F30"/>
    <w:rsid w:val="00907E08"/>
    <w:rsid w:val="009115BA"/>
    <w:rsid w:val="00912021"/>
    <w:rsid w:val="00912348"/>
    <w:rsid w:val="00912BEE"/>
    <w:rsid w:val="00912F2C"/>
    <w:rsid w:val="0091585B"/>
    <w:rsid w:val="0091588B"/>
    <w:rsid w:val="00916C87"/>
    <w:rsid w:val="00921196"/>
    <w:rsid w:val="00921898"/>
    <w:rsid w:val="00923E58"/>
    <w:rsid w:val="00925C17"/>
    <w:rsid w:val="009276E2"/>
    <w:rsid w:val="00931048"/>
    <w:rsid w:val="009410D1"/>
    <w:rsid w:val="009418CB"/>
    <w:rsid w:val="00941EC1"/>
    <w:rsid w:val="009433C2"/>
    <w:rsid w:val="00944B77"/>
    <w:rsid w:val="00946A4A"/>
    <w:rsid w:val="00947197"/>
    <w:rsid w:val="00947EDE"/>
    <w:rsid w:val="00950394"/>
    <w:rsid w:val="00951405"/>
    <w:rsid w:val="0095166B"/>
    <w:rsid w:val="00951776"/>
    <w:rsid w:val="0095188C"/>
    <w:rsid w:val="0095197D"/>
    <w:rsid w:val="009521FE"/>
    <w:rsid w:val="00953BF5"/>
    <w:rsid w:val="00954032"/>
    <w:rsid w:val="009607C5"/>
    <w:rsid w:val="009632D3"/>
    <w:rsid w:val="00975162"/>
    <w:rsid w:val="00976241"/>
    <w:rsid w:val="00977074"/>
    <w:rsid w:val="009820DD"/>
    <w:rsid w:val="00982C98"/>
    <w:rsid w:val="0098467F"/>
    <w:rsid w:val="009853F0"/>
    <w:rsid w:val="009909F7"/>
    <w:rsid w:val="0099375A"/>
    <w:rsid w:val="009960A4"/>
    <w:rsid w:val="009A12D5"/>
    <w:rsid w:val="009A19AA"/>
    <w:rsid w:val="009A1E86"/>
    <w:rsid w:val="009A2BD2"/>
    <w:rsid w:val="009A3FA7"/>
    <w:rsid w:val="009A6716"/>
    <w:rsid w:val="009A7D0E"/>
    <w:rsid w:val="009B4F8B"/>
    <w:rsid w:val="009B5D59"/>
    <w:rsid w:val="009B6AE2"/>
    <w:rsid w:val="009B765C"/>
    <w:rsid w:val="009C154D"/>
    <w:rsid w:val="009C2D53"/>
    <w:rsid w:val="009C33A5"/>
    <w:rsid w:val="009C7743"/>
    <w:rsid w:val="009C7E9A"/>
    <w:rsid w:val="009D00BF"/>
    <w:rsid w:val="009D0261"/>
    <w:rsid w:val="009D40F1"/>
    <w:rsid w:val="009E2495"/>
    <w:rsid w:val="009E5053"/>
    <w:rsid w:val="009E5F11"/>
    <w:rsid w:val="009E6146"/>
    <w:rsid w:val="009E6201"/>
    <w:rsid w:val="009E65E1"/>
    <w:rsid w:val="009E6E65"/>
    <w:rsid w:val="009E74E6"/>
    <w:rsid w:val="009E78D6"/>
    <w:rsid w:val="009F048D"/>
    <w:rsid w:val="009F0FDA"/>
    <w:rsid w:val="009F2AD5"/>
    <w:rsid w:val="009F32B1"/>
    <w:rsid w:val="009F32FD"/>
    <w:rsid w:val="009F4863"/>
    <w:rsid w:val="009F598F"/>
    <w:rsid w:val="00A03088"/>
    <w:rsid w:val="00A0397D"/>
    <w:rsid w:val="00A055DA"/>
    <w:rsid w:val="00A06A8D"/>
    <w:rsid w:val="00A15045"/>
    <w:rsid w:val="00A16D01"/>
    <w:rsid w:val="00A17E00"/>
    <w:rsid w:val="00A17E84"/>
    <w:rsid w:val="00A20377"/>
    <w:rsid w:val="00A20717"/>
    <w:rsid w:val="00A23994"/>
    <w:rsid w:val="00A247A6"/>
    <w:rsid w:val="00A24F49"/>
    <w:rsid w:val="00A30CE0"/>
    <w:rsid w:val="00A322DF"/>
    <w:rsid w:val="00A363CA"/>
    <w:rsid w:val="00A42079"/>
    <w:rsid w:val="00A42E0A"/>
    <w:rsid w:val="00A42E36"/>
    <w:rsid w:val="00A46155"/>
    <w:rsid w:val="00A50AC5"/>
    <w:rsid w:val="00A513EE"/>
    <w:rsid w:val="00A52D09"/>
    <w:rsid w:val="00A56309"/>
    <w:rsid w:val="00A57855"/>
    <w:rsid w:val="00A57AF1"/>
    <w:rsid w:val="00A6142D"/>
    <w:rsid w:val="00A64149"/>
    <w:rsid w:val="00A64BD0"/>
    <w:rsid w:val="00A658F8"/>
    <w:rsid w:val="00A65D84"/>
    <w:rsid w:val="00A6670A"/>
    <w:rsid w:val="00A73DB1"/>
    <w:rsid w:val="00A76140"/>
    <w:rsid w:val="00A76160"/>
    <w:rsid w:val="00A8279D"/>
    <w:rsid w:val="00A83E22"/>
    <w:rsid w:val="00A845F6"/>
    <w:rsid w:val="00A857C9"/>
    <w:rsid w:val="00A8733D"/>
    <w:rsid w:val="00A9028C"/>
    <w:rsid w:val="00A93386"/>
    <w:rsid w:val="00A944ED"/>
    <w:rsid w:val="00A956F0"/>
    <w:rsid w:val="00AA1AFD"/>
    <w:rsid w:val="00AA6832"/>
    <w:rsid w:val="00AA7794"/>
    <w:rsid w:val="00AB001B"/>
    <w:rsid w:val="00AB05A2"/>
    <w:rsid w:val="00AB18C0"/>
    <w:rsid w:val="00AB39A6"/>
    <w:rsid w:val="00AB570D"/>
    <w:rsid w:val="00AB61E5"/>
    <w:rsid w:val="00AB656B"/>
    <w:rsid w:val="00AB6A70"/>
    <w:rsid w:val="00AB6DB7"/>
    <w:rsid w:val="00AC058D"/>
    <w:rsid w:val="00AC1C54"/>
    <w:rsid w:val="00AC1CF6"/>
    <w:rsid w:val="00AC22FE"/>
    <w:rsid w:val="00AC2A0C"/>
    <w:rsid w:val="00AC2B1C"/>
    <w:rsid w:val="00AC344B"/>
    <w:rsid w:val="00AC52C8"/>
    <w:rsid w:val="00AD087D"/>
    <w:rsid w:val="00AD1C42"/>
    <w:rsid w:val="00AD1E55"/>
    <w:rsid w:val="00AD243F"/>
    <w:rsid w:val="00AD2670"/>
    <w:rsid w:val="00AD285C"/>
    <w:rsid w:val="00AD3083"/>
    <w:rsid w:val="00AD56FC"/>
    <w:rsid w:val="00AE04D7"/>
    <w:rsid w:val="00AE1FFB"/>
    <w:rsid w:val="00AE335E"/>
    <w:rsid w:val="00AE375A"/>
    <w:rsid w:val="00AE481E"/>
    <w:rsid w:val="00AF3CC9"/>
    <w:rsid w:val="00AF761D"/>
    <w:rsid w:val="00B01145"/>
    <w:rsid w:val="00B0121B"/>
    <w:rsid w:val="00B0219F"/>
    <w:rsid w:val="00B0570D"/>
    <w:rsid w:val="00B05929"/>
    <w:rsid w:val="00B06C57"/>
    <w:rsid w:val="00B14AE8"/>
    <w:rsid w:val="00B176EC"/>
    <w:rsid w:val="00B204F0"/>
    <w:rsid w:val="00B206EA"/>
    <w:rsid w:val="00B235FF"/>
    <w:rsid w:val="00B25E0E"/>
    <w:rsid w:val="00B30847"/>
    <w:rsid w:val="00B30F80"/>
    <w:rsid w:val="00B36740"/>
    <w:rsid w:val="00B37F4A"/>
    <w:rsid w:val="00B43F57"/>
    <w:rsid w:val="00B44774"/>
    <w:rsid w:val="00B45749"/>
    <w:rsid w:val="00B46A14"/>
    <w:rsid w:val="00B46AA5"/>
    <w:rsid w:val="00B515BC"/>
    <w:rsid w:val="00B519CD"/>
    <w:rsid w:val="00B52308"/>
    <w:rsid w:val="00B53F54"/>
    <w:rsid w:val="00B54E91"/>
    <w:rsid w:val="00B55837"/>
    <w:rsid w:val="00B5583B"/>
    <w:rsid w:val="00B5605B"/>
    <w:rsid w:val="00B56080"/>
    <w:rsid w:val="00B60582"/>
    <w:rsid w:val="00B60F04"/>
    <w:rsid w:val="00B61FF4"/>
    <w:rsid w:val="00B627A7"/>
    <w:rsid w:val="00B656D5"/>
    <w:rsid w:val="00B7168C"/>
    <w:rsid w:val="00B73832"/>
    <w:rsid w:val="00B74C0D"/>
    <w:rsid w:val="00B76926"/>
    <w:rsid w:val="00B76C42"/>
    <w:rsid w:val="00B77742"/>
    <w:rsid w:val="00B80280"/>
    <w:rsid w:val="00B81F55"/>
    <w:rsid w:val="00B83572"/>
    <w:rsid w:val="00B84703"/>
    <w:rsid w:val="00B949C9"/>
    <w:rsid w:val="00B94FE7"/>
    <w:rsid w:val="00B95BFD"/>
    <w:rsid w:val="00BA0688"/>
    <w:rsid w:val="00BA0D49"/>
    <w:rsid w:val="00BA5307"/>
    <w:rsid w:val="00BA6BF4"/>
    <w:rsid w:val="00BA6C82"/>
    <w:rsid w:val="00BA70D3"/>
    <w:rsid w:val="00BB0008"/>
    <w:rsid w:val="00BB2282"/>
    <w:rsid w:val="00BB2D83"/>
    <w:rsid w:val="00BB3EC7"/>
    <w:rsid w:val="00BB4427"/>
    <w:rsid w:val="00BB5B53"/>
    <w:rsid w:val="00BB5C92"/>
    <w:rsid w:val="00BB70D3"/>
    <w:rsid w:val="00BB7E09"/>
    <w:rsid w:val="00BC1619"/>
    <w:rsid w:val="00BC47B7"/>
    <w:rsid w:val="00BC5887"/>
    <w:rsid w:val="00BC6EC5"/>
    <w:rsid w:val="00BD48CD"/>
    <w:rsid w:val="00BD4E64"/>
    <w:rsid w:val="00BD71CE"/>
    <w:rsid w:val="00BE0D8B"/>
    <w:rsid w:val="00BE1C91"/>
    <w:rsid w:val="00BE7FA2"/>
    <w:rsid w:val="00BF141B"/>
    <w:rsid w:val="00BF2E75"/>
    <w:rsid w:val="00BF30EA"/>
    <w:rsid w:val="00BF35B6"/>
    <w:rsid w:val="00BF48D4"/>
    <w:rsid w:val="00BF56FD"/>
    <w:rsid w:val="00BF6177"/>
    <w:rsid w:val="00C003FB"/>
    <w:rsid w:val="00C050F5"/>
    <w:rsid w:val="00C05745"/>
    <w:rsid w:val="00C05DD1"/>
    <w:rsid w:val="00C06F1C"/>
    <w:rsid w:val="00C10974"/>
    <w:rsid w:val="00C11CE3"/>
    <w:rsid w:val="00C12894"/>
    <w:rsid w:val="00C15329"/>
    <w:rsid w:val="00C16190"/>
    <w:rsid w:val="00C166CC"/>
    <w:rsid w:val="00C179B4"/>
    <w:rsid w:val="00C20474"/>
    <w:rsid w:val="00C21C39"/>
    <w:rsid w:val="00C331EB"/>
    <w:rsid w:val="00C3426C"/>
    <w:rsid w:val="00C35812"/>
    <w:rsid w:val="00C36D5B"/>
    <w:rsid w:val="00C37162"/>
    <w:rsid w:val="00C444C1"/>
    <w:rsid w:val="00C45A06"/>
    <w:rsid w:val="00C46628"/>
    <w:rsid w:val="00C6001E"/>
    <w:rsid w:val="00C60D61"/>
    <w:rsid w:val="00C63D75"/>
    <w:rsid w:val="00C70DA8"/>
    <w:rsid w:val="00C72C72"/>
    <w:rsid w:val="00C73457"/>
    <w:rsid w:val="00C73A66"/>
    <w:rsid w:val="00C80E92"/>
    <w:rsid w:val="00C81343"/>
    <w:rsid w:val="00C815D4"/>
    <w:rsid w:val="00C836B7"/>
    <w:rsid w:val="00C84290"/>
    <w:rsid w:val="00C84590"/>
    <w:rsid w:val="00C84FC9"/>
    <w:rsid w:val="00C91745"/>
    <w:rsid w:val="00C92AF2"/>
    <w:rsid w:val="00C92E27"/>
    <w:rsid w:val="00C94675"/>
    <w:rsid w:val="00C97B86"/>
    <w:rsid w:val="00CA21CE"/>
    <w:rsid w:val="00CA3628"/>
    <w:rsid w:val="00CA5637"/>
    <w:rsid w:val="00CA57E4"/>
    <w:rsid w:val="00CA5D4D"/>
    <w:rsid w:val="00CA6181"/>
    <w:rsid w:val="00CA66B2"/>
    <w:rsid w:val="00CA6B10"/>
    <w:rsid w:val="00CA7374"/>
    <w:rsid w:val="00CB09BB"/>
    <w:rsid w:val="00CB2616"/>
    <w:rsid w:val="00CB2AA5"/>
    <w:rsid w:val="00CB2AC1"/>
    <w:rsid w:val="00CB6435"/>
    <w:rsid w:val="00CB7BD6"/>
    <w:rsid w:val="00CC3A68"/>
    <w:rsid w:val="00CC3B1E"/>
    <w:rsid w:val="00CC4380"/>
    <w:rsid w:val="00CC49C4"/>
    <w:rsid w:val="00CC50C1"/>
    <w:rsid w:val="00CC5B99"/>
    <w:rsid w:val="00CD15F0"/>
    <w:rsid w:val="00CD33EB"/>
    <w:rsid w:val="00CD67E0"/>
    <w:rsid w:val="00CD6AC7"/>
    <w:rsid w:val="00CD7C1A"/>
    <w:rsid w:val="00CE161F"/>
    <w:rsid w:val="00CE617E"/>
    <w:rsid w:val="00CE7FA1"/>
    <w:rsid w:val="00CF2424"/>
    <w:rsid w:val="00CF408C"/>
    <w:rsid w:val="00CF4F6C"/>
    <w:rsid w:val="00D031BD"/>
    <w:rsid w:val="00D05901"/>
    <w:rsid w:val="00D13148"/>
    <w:rsid w:val="00D14D84"/>
    <w:rsid w:val="00D16A31"/>
    <w:rsid w:val="00D17B04"/>
    <w:rsid w:val="00D21002"/>
    <w:rsid w:val="00D214D9"/>
    <w:rsid w:val="00D22C93"/>
    <w:rsid w:val="00D26BD5"/>
    <w:rsid w:val="00D3102C"/>
    <w:rsid w:val="00D31F85"/>
    <w:rsid w:val="00D3566E"/>
    <w:rsid w:val="00D36FCB"/>
    <w:rsid w:val="00D423E6"/>
    <w:rsid w:val="00D45B30"/>
    <w:rsid w:val="00D5057C"/>
    <w:rsid w:val="00D505C6"/>
    <w:rsid w:val="00D51DCF"/>
    <w:rsid w:val="00D6037F"/>
    <w:rsid w:val="00D606AF"/>
    <w:rsid w:val="00D61BE6"/>
    <w:rsid w:val="00D61E5A"/>
    <w:rsid w:val="00D63078"/>
    <w:rsid w:val="00D642A1"/>
    <w:rsid w:val="00D64464"/>
    <w:rsid w:val="00D64A1E"/>
    <w:rsid w:val="00D64F17"/>
    <w:rsid w:val="00D664C0"/>
    <w:rsid w:val="00D72515"/>
    <w:rsid w:val="00D7358F"/>
    <w:rsid w:val="00D747BC"/>
    <w:rsid w:val="00D77FDB"/>
    <w:rsid w:val="00D858B5"/>
    <w:rsid w:val="00D8711F"/>
    <w:rsid w:val="00D91E6A"/>
    <w:rsid w:val="00D925F1"/>
    <w:rsid w:val="00D92D97"/>
    <w:rsid w:val="00D94B1E"/>
    <w:rsid w:val="00D94D04"/>
    <w:rsid w:val="00DA2BB0"/>
    <w:rsid w:val="00DA54B5"/>
    <w:rsid w:val="00DA5F36"/>
    <w:rsid w:val="00DA642C"/>
    <w:rsid w:val="00DB5D41"/>
    <w:rsid w:val="00DC0220"/>
    <w:rsid w:val="00DC151A"/>
    <w:rsid w:val="00DC1D10"/>
    <w:rsid w:val="00DC21D5"/>
    <w:rsid w:val="00DC3325"/>
    <w:rsid w:val="00DC3835"/>
    <w:rsid w:val="00DC653D"/>
    <w:rsid w:val="00DC6CB4"/>
    <w:rsid w:val="00DD1FC6"/>
    <w:rsid w:val="00DD2E9C"/>
    <w:rsid w:val="00DD5B49"/>
    <w:rsid w:val="00DD6F2D"/>
    <w:rsid w:val="00DD7C4D"/>
    <w:rsid w:val="00DE09A7"/>
    <w:rsid w:val="00DE164A"/>
    <w:rsid w:val="00DE1FEA"/>
    <w:rsid w:val="00DE5009"/>
    <w:rsid w:val="00DE750F"/>
    <w:rsid w:val="00DF16E7"/>
    <w:rsid w:val="00DF1A34"/>
    <w:rsid w:val="00DF2495"/>
    <w:rsid w:val="00DF2C64"/>
    <w:rsid w:val="00DF331C"/>
    <w:rsid w:val="00DF379E"/>
    <w:rsid w:val="00DF5838"/>
    <w:rsid w:val="00DF59A1"/>
    <w:rsid w:val="00E03B00"/>
    <w:rsid w:val="00E03B4D"/>
    <w:rsid w:val="00E03DD4"/>
    <w:rsid w:val="00E04032"/>
    <w:rsid w:val="00E04E9E"/>
    <w:rsid w:val="00E10E8A"/>
    <w:rsid w:val="00E201AA"/>
    <w:rsid w:val="00E2040A"/>
    <w:rsid w:val="00E2397C"/>
    <w:rsid w:val="00E251DD"/>
    <w:rsid w:val="00E252C6"/>
    <w:rsid w:val="00E25578"/>
    <w:rsid w:val="00E308CC"/>
    <w:rsid w:val="00E330AB"/>
    <w:rsid w:val="00E35B3D"/>
    <w:rsid w:val="00E366F0"/>
    <w:rsid w:val="00E36A12"/>
    <w:rsid w:val="00E379DF"/>
    <w:rsid w:val="00E43C1C"/>
    <w:rsid w:val="00E52DF0"/>
    <w:rsid w:val="00E53D4B"/>
    <w:rsid w:val="00E5506F"/>
    <w:rsid w:val="00E57465"/>
    <w:rsid w:val="00E57483"/>
    <w:rsid w:val="00E577D2"/>
    <w:rsid w:val="00E578C3"/>
    <w:rsid w:val="00E619B8"/>
    <w:rsid w:val="00E64D45"/>
    <w:rsid w:val="00E66E45"/>
    <w:rsid w:val="00E70E3F"/>
    <w:rsid w:val="00E7145E"/>
    <w:rsid w:val="00E71EB3"/>
    <w:rsid w:val="00E720A1"/>
    <w:rsid w:val="00E75AAD"/>
    <w:rsid w:val="00E7614B"/>
    <w:rsid w:val="00E761EC"/>
    <w:rsid w:val="00E76CAB"/>
    <w:rsid w:val="00E8088B"/>
    <w:rsid w:val="00E80B8D"/>
    <w:rsid w:val="00E93170"/>
    <w:rsid w:val="00E9693D"/>
    <w:rsid w:val="00E96FA0"/>
    <w:rsid w:val="00EA1E27"/>
    <w:rsid w:val="00EB4D7F"/>
    <w:rsid w:val="00EB65FE"/>
    <w:rsid w:val="00EB67E4"/>
    <w:rsid w:val="00EB6847"/>
    <w:rsid w:val="00EC097D"/>
    <w:rsid w:val="00EC1666"/>
    <w:rsid w:val="00EC2C80"/>
    <w:rsid w:val="00EC628F"/>
    <w:rsid w:val="00EC6DE8"/>
    <w:rsid w:val="00EC742C"/>
    <w:rsid w:val="00ED1071"/>
    <w:rsid w:val="00ED598D"/>
    <w:rsid w:val="00ED666B"/>
    <w:rsid w:val="00ED68F0"/>
    <w:rsid w:val="00ED7F5D"/>
    <w:rsid w:val="00EE01E3"/>
    <w:rsid w:val="00EE05D3"/>
    <w:rsid w:val="00EE6443"/>
    <w:rsid w:val="00EF0238"/>
    <w:rsid w:val="00EF1016"/>
    <w:rsid w:val="00EF1425"/>
    <w:rsid w:val="00EF14CC"/>
    <w:rsid w:val="00EF28A4"/>
    <w:rsid w:val="00EF4ABF"/>
    <w:rsid w:val="00EF6BF2"/>
    <w:rsid w:val="00EF75F8"/>
    <w:rsid w:val="00F00F40"/>
    <w:rsid w:val="00F01309"/>
    <w:rsid w:val="00F01A6F"/>
    <w:rsid w:val="00F03EF6"/>
    <w:rsid w:val="00F06BB4"/>
    <w:rsid w:val="00F119B8"/>
    <w:rsid w:val="00F134E8"/>
    <w:rsid w:val="00F13D26"/>
    <w:rsid w:val="00F151BD"/>
    <w:rsid w:val="00F1528D"/>
    <w:rsid w:val="00F15D41"/>
    <w:rsid w:val="00F22236"/>
    <w:rsid w:val="00F2261B"/>
    <w:rsid w:val="00F2681E"/>
    <w:rsid w:val="00F27C59"/>
    <w:rsid w:val="00F27EC5"/>
    <w:rsid w:val="00F30844"/>
    <w:rsid w:val="00F328B8"/>
    <w:rsid w:val="00F34697"/>
    <w:rsid w:val="00F35A0E"/>
    <w:rsid w:val="00F36DA0"/>
    <w:rsid w:val="00F376EA"/>
    <w:rsid w:val="00F40E14"/>
    <w:rsid w:val="00F40E3F"/>
    <w:rsid w:val="00F42D6F"/>
    <w:rsid w:val="00F44DBE"/>
    <w:rsid w:val="00F46FCB"/>
    <w:rsid w:val="00F52715"/>
    <w:rsid w:val="00F52D6F"/>
    <w:rsid w:val="00F5625D"/>
    <w:rsid w:val="00F57DDA"/>
    <w:rsid w:val="00F61437"/>
    <w:rsid w:val="00F6322C"/>
    <w:rsid w:val="00F645A4"/>
    <w:rsid w:val="00F647FB"/>
    <w:rsid w:val="00F65AB9"/>
    <w:rsid w:val="00F66F2D"/>
    <w:rsid w:val="00F67A88"/>
    <w:rsid w:val="00F70A76"/>
    <w:rsid w:val="00F72353"/>
    <w:rsid w:val="00F741FA"/>
    <w:rsid w:val="00F76BB0"/>
    <w:rsid w:val="00F8087F"/>
    <w:rsid w:val="00F8094B"/>
    <w:rsid w:val="00F8181A"/>
    <w:rsid w:val="00F82CB9"/>
    <w:rsid w:val="00F84DC7"/>
    <w:rsid w:val="00F86F80"/>
    <w:rsid w:val="00F905A8"/>
    <w:rsid w:val="00F90D6F"/>
    <w:rsid w:val="00F94B67"/>
    <w:rsid w:val="00F96940"/>
    <w:rsid w:val="00F97678"/>
    <w:rsid w:val="00FA18F4"/>
    <w:rsid w:val="00FA198E"/>
    <w:rsid w:val="00FA72E7"/>
    <w:rsid w:val="00FB11BA"/>
    <w:rsid w:val="00FB1273"/>
    <w:rsid w:val="00FB1C93"/>
    <w:rsid w:val="00FB25D9"/>
    <w:rsid w:val="00FB2A73"/>
    <w:rsid w:val="00FB729F"/>
    <w:rsid w:val="00FB79D2"/>
    <w:rsid w:val="00FC1568"/>
    <w:rsid w:val="00FC193C"/>
    <w:rsid w:val="00FC23FE"/>
    <w:rsid w:val="00FC247A"/>
    <w:rsid w:val="00FC3F12"/>
    <w:rsid w:val="00FC45C4"/>
    <w:rsid w:val="00FC5EEA"/>
    <w:rsid w:val="00FC705A"/>
    <w:rsid w:val="00FD4AA9"/>
    <w:rsid w:val="00FD6520"/>
    <w:rsid w:val="00FE20D7"/>
    <w:rsid w:val="00FE406D"/>
    <w:rsid w:val="00FE55AC"/>
    <w:rsid w:val="00FE6DF5"/>
    <w:rsid w:val="00FE7CBA"/>
    <w:rsid w:val="00FE7D4B"/>
    <w:rsid w:val="00FF34BF"/>
    <w:rsid w:val="00FF390E"/>
    <w:rsid w:val="00FF3CC6"/>
    <w:rsid w:val="00FF45C6"/>
    <w:rsid w:val="00FF79EE"/>
    <w:rsid w:val="00FF7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/>
    <w:lsdException w:name="Default Paragraph Font" w:locked="1" w:semiHidden="0" w:uiPriority="0" w:unhideWhenUsed="0"/>
    <w:lsdException w:name="Subtitle" w:locked="1" w:semiHidden="0" w:uiPriority="0" w:unhideWhenUsed="0"/>
    <w:lsdException w:name="Strong" w:locked="1" w:semiHidden="0" w:uiPriority="0" w:unhideWhenUsed="0"/>
    <w:lsdException w:name="Emphasis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iPriority="29" w:unhideWhenUsed="0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048"/>
    <w:rPr>
      <w:rFonts w:ascii="Arial" w:hAnsi="Arial"/>
      <w:sz w:val="24"/>
      <w:szCs w:val="24"/>
      <w:lang w:val="fr-CA"/>
    </w:rPr>
  </w:style>
  <w:style w:type="paragraph" w:styleId="Heading1">
    <w:name w:val="heading 1"/>
    <w:basedOn w:val="Normal"/>
    <w:next w:val="Normal"/>
    <w:link w:val="Heading1Char"/>
    <w:qFormat/>
    <w:locked/>
    <w:rsid w:val="00E36A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locked/>
    <w:rsid w:val="009433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locked/>
    <w:rsid w:val="009433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locked/>
    <w:rsid w:val="009433C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locked/>
    <w:rsid w:val="0093104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05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2B11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703AAD"/>
    <w:rPr>
      <w:rFonts w:ascii="Tahoma" w:hAnsi="Tahoma" w:cs="Tahoma"/>
      <w:sz w:val="16"/>
      <w:szCs w:val="16"/>
      <w:lang w:val="fr-CA"/>
    </w:rPr>
  </w:style>
  <w:style w:type="character" w:styleId="CommentReference">
    <w:name w:val="annotation reference"/>
    <w:uiPriority w:val="99"/>
    <w:semiHidden/>
    <w:rsid w:val="00CC5B99"/>
    <w:rPr>
      <w:rFonts w:cs="Times New Roman"/>
      <w:sz w:val="16"/>
      <w:lang w:val="fr-CA"/>
    </w:rPr>
  </w:style>
  <w:style w:type="paragraph" w:styleId="CommentText">
    <w:name w:val="annotation text"/>
    <w:basedOn w:val="Normal"/>
    <w:link w:val="CommentTextChar"/>
    <w:uiPriority w:val="99"/>
    <w:semiHidden/>
    <w:rsid w:val="00CC5B9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703AAD"/>
    <w:rPr>
      <w:rFonts w:ascii="Arial" w:hAnsi="Arial"/>
      <w:lang w:val="fr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5B9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703AAD"/>
    <w:rPr>
      <w:rFonts w:ascii="Arial" w:hAnsi="Arial"/>
      <w:b/>
      <w:bCs/>
      <w:lang w:val="fr-CA"/>
    </w:rPr>
  </w:style>
  <w:style w:type="paragraph" w:styleId="Header">
    <w:name w:val="header"/>
    <w:basedOn w:val="Normal"/>
    <w:link w:val="HeaderChar"/>
    <w:uiPriority w:val="99"/>
    <w:rsid w:val="00DE164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DE164A"/>
    <w:rPr>
      <w:rFonts w:ascii="Arial" w:hAnsi="Arial"/>
      <w:sz w:val="24"/>
      <w:szCs w:val="24"/>
      <w:lang w:val="fr-CA"/>
    </w:rPr>
  </w:style>
  <w:style w:type="paragraph" w:styleId="Footer">
    <w:name w:val="footer"/>
    <w:basedOn w:val="Normal"/>
    <w:link w:val="FooterChar"/>
    <w:uiPriority w:val="99"/>
    <w:rsid w:val="00DE164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DE164A"/>
    <w:rPr>
      <w:rFonts w:ascii="Arial" w:hAnsi="Arial"/>
      <w:sz w:val="24"/>
      <w:szCs w:val="24"/>
      <w:lang w:val="fr-CA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907E08"/>
    <w:pPr>
      <w:spacing w:after="200" w:line="276" w:lineRule="auto"/>
    </w:pPr>
    <w:rPr>
      <w:rFonts w:ascii="Calibri" w:hAnsi="Calibri"/>
      <w:i/>
      <w:iCs/>
      <w:color w:val="000000"/>
      <w:sz w:val="22"/>
      <w:szCs w:val="22"/>
      <w:lang w:eastAsia="ja-JP"/>
    </w:rPr>
  </w:style>
  <w:style w:type="character" w:customStyle="1" w:styleId="QuoteChar">
    <w:name w:val="Quote Char"/>
    <w:link w:val="Quote"/>
    <w:uiPriority w:val="29"/>
    <w:locked/>
    <w:rsid w:val="009433C2"/>
    <w:rPr>
      <w:rFonts w:ascii="Calibri" w:hAnsi="Calibri"/>
      <w:i/>
      <w:iCs/>
      <w:color w:val="000000"/>
      <w:sz w:val="22"/>
      <w:szCs w:val="22"/>
      <w:lang w:val="fr-CA" w:eastAsia="ja-JP"/>
    </w:rPr>
  </w:style>
  <w:style w:type="paragraph" w:styleId="ListParagraph">
    <w:name w:val="List Paragraph"/>
    <w:basedOn w:val="Normal"/>
    <w:uiPriority w:val="99"/>
    <w:rsid w:val="00CE161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54C1F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054C1F"/>
    <w:rPr>
      <w:rFonts w:ascii="Arial" w:hAnsi="Arial"/>
      <w:lang w:val="fr-CA"/>
    </w:rPr>
  </w:style>
  <w:style w:type="character" w:styleId="FootnoteReference">
    <w:name w:val="footnote reference"/>
    <w:uiPriority w:val="99"/>
    <w:semiHidden/>
    <w:unhideWhenUsed/>
    <w:rsid w:val="00054C1F"/>
    <w:rPr>
      <w:vertAlign w:val="superscript"/>
      <w:lang w:val="fr-CA"/>
    </w:rPr>
  </w:style>
  <w:style w:type="character" w:styleId="Hyperlink">
    <w:name w:val="Hyperlink"/>
    <w:uiPriority w:val="99"/>
    <w:unhideWhenUsed/>
    <w:rsid w:val="007A3FFA"/>
    <w:rPr>
      <w:color w:val="0000FF"/>
      <w:u w:val="single"/>
      <w:lang w:val="fr-CA"/>
    </w:rPr>
  </w:style>
  <w:style w:type="character" w:customStyle="1" w:styleId="Heading1Char">
    <w:name w:val="Heading 1 Char"/>
    <w:basedOn w:val="DefaultParagraphFont"/>
    <w:link w:val="Heading1"/>
    <w:rsid w:val="00E36A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9433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433C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433C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02B0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locked/>
    <w:rsid w:val="005602B0"/>
    <w:pPr>
      <w:spacing w:after="100"/>
    </w:pPr>
  </w:style>
  <w:style w:type="paragraph" w:styleId="TOC2">
    <w:name w:val="toc 2"/>
    <w:basedOn w:val="Normal"/>
    <w:next w:val="Normal"/>
    <w:autoRedefine/>
    <w:uiPriority w:val="39"/>
    <w:locked/>
    <w:rsid w:val="005602B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locked/>
    <w:rsid w:val="005602B0"/>
    <w:pPr>
      <w:spacing w:after="100"/>
      <w:ind w:left="480"/>
    </w:pPr>
  </w:style>
  <w:style w:type="character" w:customStyle="1" w:styleId="Heading5Char">
    <w:name w:val="Heading 5 Char"/>
    <w:basedOn w:val="DefaultParagraphFont"/>
    <w:link w:val="Heading5"/>
    <w:rsid w:val="0093104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LightShading1">
    <w:name w:val="Light Shading1"/>
    <w:basedOn w:val="TableNormal"/>
    <w:next w:val="LightShading"/>
    <w:uiPriority w:val="60"/>
    <w:rsid w:val="00D925F1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">
    <w:name w:val="Light Shading"/>
    <w:basedOn w:val="TableNormal"/>
    <w:uiPriority w:val="60"/>
    <w:rsid w:val="00D925F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Revision">
    <w:name w:val="Revision"/>
    <w:hidden/>
    <w:uiPriority w:val="99"/>
    <w:semiHidden/>
    <w:rsid w:val="00820621"/>
    <w:rPr>
      <w:rFonts w:ascii="Arial" w:hAnsi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4321F"/>
    <w:rPr>
      <w:color w:val="800080" w:themeColor="followedHyperlink"/>
      <w:u w:val="single"/>
    </w:rPr>
  </w:style>
  <w:style w:type="table" w:customStyle="1" w:styleId="LightShading2">
    <w:name w:val="Light Shading2"/>
    <w:basedOn w:val="TableNormal"/>
    <w:next w:val="LightShading"/>
    <w:uiPriority w:val="60"/>
    <w:rsid w:val="00323EA0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Default">
    <w:name w:val="Default"/>
    <w:rsid w:val="00074F5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/>
    <w:lsdException w:name="Default Paragraph Font" w:locked="1" w:semiHidden="0" w:uiPriority="0" w:unhideWhenUsed="0"/>
    <w:lsdException w:name="Subtitle" w:locked="1" w:semiHidden="0" w:uiPriority="0" w:unhideWhenUsed="0"/>
    <w:lsdException w:name="Strong" w:locked="1" w:semiHidden="0" w:uiPriority="0" w:unhideWhenUsed="0"/>
    <w:lsdException w:name="Emphasis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iPriority="29" w:unhideWhenUsed="0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048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E36A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locked/>
    <w:rsid w:val="009433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locked/>
    <w:rsid w:val="009433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locked/>
    <w:rsid w:val="009433C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locked/>
    <w:rsid w:val="0093104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05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2B11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cs="Times New Roman"/>
      <w:sz w:val="2"/>
    </w:rPr>
  </w:style>
  <w:style w:type="character" w:styleId="CommentReference">
    <w:name w:val="annotation reference"/>
    <w:uiPriority w:val="99"/>
    <w:semiHidden/>
    <w:rsid w:val="00CC5B99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CC5B9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5B9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Pr>
      <w:rFonts w:ascii="Arial" w:hAnsi="Arial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rsid w:val="00DE164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DE164A"/>
    <w:rPr>
      <w:rFonts w:ascii="Arial" w:hAnsi="Arial" w:cs="Times New Roman"/>
      <w:sz w:val="24"/>
    </w:rPr>
  </w:style>
  <w:style w:type="paragraph" w:styleId="Footer">
    <w:name w:val="footer"/>
    <w:basedOn w:val="Normal"/>
    <w:link w:val="FooterChar"/>
    <w:uiPriority w:val="99"/>
    <w:rsid w:val="00DE164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DE164A"/>
    <w:rPr>
      <w:rFonts w:ascii="Arial" w:hAnsi="Arial" w:cs="Times New Roman"/>
      <w:sz w:val="24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907E08"/>
    <w:pPr>
      <w:spacing w:after="200" w:line="276" w:lineRule="auto"/>
    </w:pPr>
    <w:rPr>
      <w:rFonts w:ascii="Calibri" w:hAnsi="Calibri"/>
      <w:i/>
      <w:iCs/>
      <w:color w:val="000000"/>
      <w:sz w:val="22"/>
      <w:szCs w:val="22"/>
      <w:lang w:val="en-US" w:eastAsia="ja-JP"/>
    </w:rPr>
  </w:style>
  <w:style w:type="character" w:customStyle="1" w:styleId="QuoteChar">
    <w:name w:val="Quote Char"/>
    <w:link w:val="Quote"/>
    <w:uiPriority w:val="29"/>
    <w:locked/>
    <w:rsid w:val="009433C2"/>
    <w:rPr>
      <w:rFonts w:ascii="Calibri" w:hAnsi="Calibri"/>
      <w:i/>
      <w:iCs/>
      <w:color w:val="000000"/>
      <w:sz w:val="22"/>
      <w:szCs w:val="22"/>
      <w:lang w:val="en-US" w:eastAsia="ja-JP"/>
    </w:rPr>
  </w:style>
  <w:style w:type="paragraph" w:styleId="ListParagraph">
    <w:name w:val="List Paragraph"/>
    <w:basedOn w:val="Normal"/>
    <w:uiPriority w:val="99"/>
    <w:rsid w:val="00CE161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54C1F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054C1F"/>
    <w:rPr>
      <w:rFonts w:ascii="Arial" w:hAnsi="Arial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054C1F"/>
    <w:rPr>
      <w:vertAlign w:val="superscript"/>
    </w:rPr>
  </w:style>
  <w:style w:type="character" w:styleId="Hyperlink">
    <w:name w:val="Hyperlink"/>
    <w:uiPriority w:val="99"/>
    <w:unhideWhenUsed/>
    <w:rsid w:val="007A3FF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E36A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9433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433C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433C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02B0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locked/>
    <w:rsid w:val="005602B0"/>
    <w:pPr>
      <w:spacing w:after="100"/>
    </w:pPr>
  </w:style>
  <w:style w:type="paragraph" w:styleId="TOC2">
    <w:name w:val="toc 2"/>
    <w:basedOn w:val="Normal"/>
    <w:next w:val="Normal"/>
    <w:autoRedefine/>
    <w:uiPriority w:val="39"/>
    <w:locked/>
    <w:rsid w:val="005602B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locked/>
    <w:rsid w:val="005602B0"/>
    <w:pPr>
      <w:spacing w:after="100"/>
      <w:ind w:left="480"/>
    </w:pPr>
  </w:style>
  <w:style w:type="character" w:customStyle="1" w:styleId="Heading5Char">
    <w:name w:val="Heading 5 Char"/>
    <w:basedOn w:val="DefaultParagraphFont"/>
    <w:link w:val="Heading5"/>
    <w:rsid w:val="0093104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LightShading1">
    <w:name w:val="Light Shading1"/>
    <w:basedOn w:val="TableNormal"/>
    <w:next w:val="LightShading"/>
    <w:uiPriority w:val="60"/>
    <w:rsid w:val="00D925F1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">
    <w:name w:val="Light Shading"/>
    <w:basedOn w:val="TableNormal"/>
    <w:uiPriority w:val="60"/>
    <w:rsid w:val="00D925F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Revision">
    <w:name w:val="Revision"/>
    <w:hidden/>
    <w:uiPriority w:val="99"/>
    <w:semiHidden/>
    <w:rsid w:val="00820621"/>
    <w:rPr>
      <w:rFonts w:ascii="Arial" w:hAnsi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4321F"/>
    <w:rPr>
      <w:color w:val="800080" w:themeColor="followedHyperlink"/>
      <w:u w:val="single"/>
    </w:rPr>
  </w:style>
  <w:style w:type="table" w:customStyle="1" w:styleId="LightShading2">
    <w:name w:val="Light Shading2"/>
    <w:basedOn w:val="TableNormal"/>
    <w:next w:val="LightShading"/>
    <w:uiPriority w:val="60"/>
    <w:rsid w:val="00323EA0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Default">
    <w:name w:val="Default"/>
    <w:rsid w:val="00074F5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viroinfo@ec.gc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DCDE2-673C-4066-A129-EC7534C2F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1479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>Environment Canada</Company>
  <LinksUpToDate>false</LinksUpToDate>
  <CharactersWithSpaces>9595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creator>PorterJ</dc:creator>
  <cp:lastModifiedBy>lacomeau</cp:lastModifiedBy>
  <cp:revision>4</cp:revision>
  <cp:lastPrinted>2012-07-09T14:27:00Z</cp:lastPrinted>
  <dcterms:created xsi:type="dcterms:W3CDTF">2012-09-25T18:34:00Z</dcterms:created>
  <dcterms:modified xsi:type="dcterms:W3CDTF">2012-10-09T19:00:00Z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unPrepV4.3">
    <vt:lpwstr>9/25/2012 5:36:24 PM</vt:lpwstr>
  </property>
</Properties>
</file>