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charts/chart4.xml" ContentType="application/vnd.openxmlformats-officedocument.drawingml.chart+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DD4" w:rsidRPr="00E95E93" w:rsidRDefault="000E0DD4" w:rsidP="00085537">
      <w:pPr>
        <w:spacing w:after="0" w:line="240" w:lineRule="auto"/>
        <w:jc w:val="center"/>
        <w:rPr>
          <w:b/>
          <w:bCs/>
          <w:sz w:val="36"/>
        </w:rPr>
      </w:pPr>
      <w:r w:rsidRPr="00E95E93">
        <w:rPr>
          <w:noProof/>
          <w:lang w:val="en-US"/>
        </w:rPr>
        <w:drawing>
          <wp:inline distT="0" distB="0" distL="0" distR="0">
            <wp:extent cx="3550028" cy="304800"/>
            <wp:effectExtent l="0" t="0" r="0" b="0"/>
            <wp:docPr id="1" name="Picture 1" descr="http://conference.caphc.org/storage/js/infinitecarousel/images/phac-aspc_fip_e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ference.caphc.org/storage/js/infinitecarousel/images/phac-aspc_fip_e_colour.jpg"/>
                    <pic:cNvPicPr>
                      <a:picLocks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42021" b="43692"/>
                    <a:stretch/>
                  </pic:blipFill>
                  <pic:spPr bwMode="auto">
                    <a:xfrm>
                      <a:off x="0" y="0"/>
                      <a:ext cx="3557420" cy="30543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E95E93">
        <w:rPr>
          <w:b/>
          <w:bCs/>
          <w:sz w:val="36"/>
        </w:rPr>
        <w:tab/>
      </w:r>
      <w:r w:rsidRPr="00E95E93">
        <w:rPr>
          <w:b/>
          <w:bCs/>
          <w:sz w:val="36"/>
        </w:rPr>
        <w:tab/>
      </w:r>
      <w:r w:rsidRPr="00E95E93">
        <w:rPr>
          <w:b/>
          <w:bCs/>
          <w:sz w:val="36"/>
        </w:rPr>
        <w:tab/>
      </w:r>
      <w:r w:rsidRPr="00E95E93">
        <w:rPr>
          <w:noProof/>
          <w:lang w:val="en-US"/>
        </w:rPr>
        <w:drawing>
          <wp:inline distT="0" distB="0" distL="0" distR="0">
            <wp:extent cx="1276350" cy="303793"/>
            <wp:effectExtent l="0" t="0" r="0" b="1270"/>
            <wp:docPr id="3" name="Picture 3" descr="http://atlanticsharks.org/images/Canada_wordmark_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tlanticsharks.org/images/Canada_wordmark_red.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2606" cy="305282"/>
                    </a:xfrm>
                    <a:prstGeom prst="rect">
                      <a:avLst/>
                    </a:prstGeom>
                    <a:noFill/>
                    <a:ln>
                      <a:noFill/>
                    </a:ln>
                  </pic:spPr>
                </pic:pic>
              </a:graphicData>
            </a:graphic>
          </wp:inline>
        </w:drawing>
      </w:r>
    </w:p>
    <w:p w:rsidR="000E0DD4" w:rsidRPr="00E95E93" w:rsidRDefault="000E0DD4" w:rsidP="00085537">
      <w:pPr>
        <w:spacing w:after="0" w:line="240" w:lineRule="auto"/>
        <w:jc w:val="center"/>
        <w:rPr>
          <w:b/>
          <w:bCs/>
          <w:sz w:val="16"/>
          <w:szCs w:val="16"/>
        </w:rPr>
      </w:pPr>
    </w:p>
    <w:p w:rsidR="005F1E43" w:rsidRPr="00E95E93" w:rsidRDefault="00EF7954" w:rsidP="00085537">
      <w:pPr>
        <w:spacing w:after="0" w:line="240" w:lineRule="auto"/>
        <w:jc w:val="center"/>
        <w:rPr>
          <w:b/>
          <w:bCs/>
          <w:sz w:val="72"/>
        </w:rPr>
      </w:pPr>
      <w:r w:rsidRPr="00E95E93">
        <w:rPr>
          <w:b/>
          <w:bCs/>
          <w:sz w:val="72"/>
        </w:rPr>
        <w:t xml:space="preserve">West Nile virus </w:t>
      </w:r>
    </w:p>
    <w:p w:rsidR="000B1D5C" w:rsidRPr="00E95E93" w:rsidRDefault="00EF7954" w:rsidP="00085537">
      <w:pPr>
        <w:spacing w:after="0" w:line="240" w:lineRule="auto"/>
        <w:jc w:val="center"/>
        <w:rPr>
          <w:b/>
          <w:bCs/>
          <w:sz w:val="52"/>
        </w:rPr>
      </w:pPr>
      <w:r w:rsidRPr="00E95E93">
        <w:rPr>
          <w:b/>
          <w:bCs/>
          <w:sz w:val="52"/>
        </w:rPr>
        <w:t>National Surveillance Report</w:t>
      </w:r>
    </w:p>
    <w:p w:rsidR="00EA1CFA" w:rsidRPr="00E95E93" w:rsidRDefault="002707E8" w:rsidP="00085537">
      <w:pPr>
        <w:spacing w:after="0" w:line="240" w:lineRule="auto"/>
        <w:jc w:val="center"/>
        <w:rPr>
          <w:b/>
          <w:bCs/>
          <w:sz w:val="28"/>
        </w:rPr>
      </w:pPr>
      <w:r w:rsidRPr="00E95E93">
        <w:rPr>
          <w:b/>
          <w:bCs/>
          <w:sz w:val="28"/>
        </w:rPr>
        <w:t>September</w:t>
      </w:r>
      <w:r w:rsidR="00EF7954" w:rsidRPr="00E95E93">
        <w:rPr>
          <w:b/>
          <w:bCs/>
          <w:sz w:val="28"/>
        </w:rPr>
        <w:t xml:space="preserve"> </w:t>
      </w:r>
      <w:r w:rsidR="00C21FDC" w:rsidRPr="00E95E93">
        <w:rPr>
          <w:b/>
          <w:bCs/>
          <w:sz w:val="28"/>
        </w:rPr>
        <w:t>23</w:t>
      </w:r>
      <w:r w:rsidR="006F2110" w:rsidRPr="00E95E93">
        <w:rPr>
          <w:b/>
          <w:bCs/>
          <w:sz w:val="28"/>
        </w:rPr>
        <w:t xml:space="preserve"> </w:t>
      </w:r>
      <w:r w:rsidR="006066A0" w:rsidRPr="00E95E93">
        <w:rPr>
          <w:b/>
          <w:bCs/>
          <w:sz w:val="28"/>
        </w:rPr>
        <w:t xml:space="preserve">to </w:t>
      </w:r>
      <w:r w:rsidR="002346BF" w:rsidRPr="00E95E93">
        <w:rPr>
          <w:b/>
          <w:bCs/>
          <w:sz w:val="28"/>
        </w:rPr>
        <w:t>September</w:t>
      </w:r>
      <w:r w:rsidR="0021049A" w:rsidRPr="00E95E93">
        <w:rPr>
          <w:b/>
          <w:bCs/>
          <w:sz w:val="28"/>
        </w:rPr>
        <w:t xml:space="preserve"> </w:t>
      </w:r>
      <w:r w:rsidR="00C21FDC" w:rsidRPr="00E95E93">
        <w:rPr>
          <w:b/>
          <w:bCs/>
          <w:sz w:val="28"/>
        </w:rPr>
        <w:t>29</w:t>
      </w:r>
      <w:r w:rsidR="006C2A9A" w:rsidRPr="00E95E93">
        <w:rPr>
          <w:b/>
          <w:bCs/>
          <w:sz w:val="28"/>
        </w:rPr>
        <w:t>,</w:t>
      </w:r>
      <w:r w:rsidR="00406850" w:rsidRPr="00E95E93">
        <w:rPr>
          <w:b/>
          <w:bCs/>
          <w:sz w:val="28"/>
        </w:rPr>
        <w:t xml:space="preserve"> </w:t>
      </w:r>
      <w:r w:rsidR="00EF7954" w:rsidRPr="00E95E93">
        <w:rPr>
          <w:b/>
          <w:bCs/>
          <w:sz w:val="28"/>
        </w:rPr>
        <w:t xml:space="preserve">2012 </w:t>
      </w:r>
    </w:p>
    <w:p w:rsidR="00EF7954" w:rsidRPr="00E95E93" w:rsidRDefault="00EF7954" w:rsidP="00C53E96">
      <w:pPr>
        <w:spacing w:line="240" w:lineRule="auto"/>
        <w:jc w:val="center"/>
      </w:pPr>
      <w:r w:rsidRPr="00E95E93">
        <w:t>(</w:t>
      </w:r>
      <w:r w:rsidR="006066A0" w:rsidRPr="00E95E93">
        <w:t xml:space="preserve">Report </w:t>
      </w:r>
      <w:r w:rsidRPr="00E95E93">
        <w:t xml:space="preserve">Week </w:t>
      </w:r>
      <w:r w:rsidR="008A2EB4" w:rsidRPr="00E95E93">
        <w:t>3</w:t>
      </w:r>
      <w:r w:rsidR="00C21FDC" w:rsidRPr="00E95E93">
        <w:t>9</w:t>
      </w:r>
      <w:r w:rsidRPr="00E95E93">
        <w:t>)</w:t>
      </w:r>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b/>
          <w:sz w:val="20"/>
          <w:szCs w:val="20"/>
          <w:u w:val="single"/>
        </w:rPr>
      </w:pPr>
      <w:r w:rsidRPr="00E95E93">
        <w:rPr>
          <w:rFonts w:eastAsia="Times New Roman"/>
          <w:b/>
          <w:sz w:val="20"/>
          <w:szCs w:val="20"/>
          <w:u w:val="single"/>
        </w:rPr>
        <w:t>Canada</w:t>
      </w:r>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b/>
          <w:sz w:val="20"/>
          <w:szCs w:val="20"/>
        </w:rPr>
      </w:pPr>
      <w:r w:rsidRPr="00E95E93">
        <w:rPr>
          <w:rFonts w:eastAsia="Times New Roman"/>
          <w:b/>
          <w:sz w:val="20"/>
          <w:szCs w:val="20"/>
        </w:rPr>
        <w:t>Humans:</w:t>
      </w:r>
    </w:p>
    <w:p w:rsidR="00430D7C" w:rsidRPr="00E95E93" w:rsidRDefault="00430D7C" w:rsidP="00430D7C">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sz w:val="20"/>
          <w:szCs w:val="20"/>
        </w:rPr>
      </w:pPr>
      <w:r w:rsidRPr="00E95E93">
        <w:rPr>
          <w:rFonts w:eastAsia="Times New Roman" w:cstheme="minorHAnsi"/>
          <w:sz w:val="20"/>
          <w:szCs w:val="20"/>
        </w:rPr>
        <w:t xml:space="preserve">During surveillance week 39, ending on September 29, 2012, twenty eight (28) additional clinical cases [Ontario (1), Quebec (26), and Prince Edward Island (1)] and one (1) asymptomatic infection [Quebec (1)] caused by the West Nile virus were reported to the Public Health Agency of Canada (PHAC). The case reported in Prince Edward Island was related to travel outside the province. As of week 39, there have been </w:t>
      </w:r>
      <w:r w:rsidR="00A37EB9" w:rsidRPr="00E95E93">
        <w:rPr>
          <w:rFonts w:eastAsia="Times New Roman" w:cstheme="minorHAnsi"/>
          <w:sz w:val="20"/>
          <w:szCs w:val="20"/>
        </w:rPr>
        <w:t xml:space="preserve">a total of </w:t>
      </w:r>
      <w:bookmarkStart w:id="0" w:name="_GoBack"/>
      <w:bookmarkEnd w:id="0"/>
      <w:r w:rsidRPr="00E95E93">
        <w:rPr>
          <w:rFonts w:eastAsia="Times New Roman" w:cstheme="minorHAnsi"/>
          <w:sz w:val="20"/>
          <w:szCs w:val="20"/>
        </w:rPr>
        <w:t xml:space="preserve">386 clinical cases and 16 asymptomatic infections reported to PHAC. Of the 386 clinical cases, 113 (29%) were classified as Neurological Syndrome, 206 (53%) Non-Neurological Syndrome, and 67 (17%) Unclassified.  </w:t>
      </w:r>
    </w:p>
    <w:p w:rsidR="006F2110" w:rsidRPr="00E95E93" w:rsidRDefault="00B839D2" w:rsidP="006F2110">
      <w:pPr>
        <w:pBdr>
          <w:top w:val="single" w:sz="4" w:space="1" w:color="auto"/>
          <w:left w:val="single" w:sz="4" w:space="4" w:color="auto"/>
          <w:bottom w:val="single" w:sz="4" w:space="1" w:color="auto"/>
          <w:right w:val="single" w:sz="4" w:space="4" w:color="auto"/>
        </w:pBdr>
        <w:spacing w:after="0" w:line="240" w:lineRule="auto"/>
        <w:rPr>
          <w:rFonts w:eastAsia="Times New Roman"/>
          <w:sz w:val="20"/>
          <w:szCs w:val="20"/>
        </w:rPr>
      </w:pPr>
      <w:r w:rsidRPr="00E95E93">
        <w:rPr>
          <w:rFonts w:eastAsia="Times New Roman" w:cstheme="minorHAnsi"/>
          <w:sz w:val="20"/>
          <w:szCs w:val="20"/>
        </w:rPr>
        <w:t xml:space="preserve"> </w:t>
      </w:r>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b/>
          <w:sz w:val="20"/>
          <w:szCs w:val="20"/>
        </w:rPr>
      </w:pPr>
      <w:r w:rsidRPr="00E95E93">
        <w:rPr>
          <w:rFonts w:eastAsia="Times New Roman"/>
          <w:b/>
          <w:sz w:val="20"/>
          <w:szCs w:val="20"/>
        </w:rPr>
        <w:t>Mosquitoes:</w:t>
      </w:r>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sz w:val="20"/>
          <w:szCs w:val="20"/>
        </w:rPr>
      </w:pPr>
      <w:r w:rsidRPr="00E95E93">
        <w:rPr>
          <w:rFonts w:eastAsia="Times New Roman" w:cstheme="minorHAnsi"/>
          <w:sz w:val="20"/>
          <w:szCs w:val="20"/>
        </w:rPr>
        <w:t>To date, a total of 603 positive mosquito pools have been reported in Canada: 462 in Ontario [Central East (233), Central West (97), Eastern (61), North East (2), South West (62), First Nations Community (7)]; 116 in Manitoba [Interlake-Eastern (13), Southern (48), Western (35), Winnipeg (20)]; six (6) in Saskatchewan [Sun Country (3), and Saskatoon (1), Five Hills (1), Cypress (1)] and 19 in Quebec [Laval (3), Bois-des-Filion (3), Gatineau (1), Sainte-Anne-des-Plaines (3), Terrebonne (5), Boisbriand (1), Rosemere (1), and Trois-Rivieres (2)]</w:t>
      </w:r>
      <w:r w:rsidRPr="00E95E93">
        <w:rPr>
          <w:rFonts w:eastAsia="Times New Roman"/>
          <w:sz w:val="20"/>
          <w:szCs w:val="20"/>
        </w:rPr>
        <w:t xml:space="preserve">. </w:t>
      </w:r>
    </w:p>
    <w:p w:rsidR="006F2110" w:rsidRPr="00E95E93" w:rsidRDefault="006F2110" w:rsidP="001D11B2">
      <w:pPr>
        <w:pBdr>
          <w:top w:val="single" w:sz="4" w:space="1" w:color="auto"/>
          <w:left w:val="single" w:sz="4" w:space="4" w:color="auto"/>
          <w:bottom w:val="single" w:sz="4" w:space="1" w:color="auto"/>
          <w:right w:val="single" w:sz="4" w:space="4" w:color="auto"/>
        </w:pBdr>
        <w:spacing w:after="0" w:line="240" w:lineRule="auto"/>
        <w:ind w:left="426" w:hanging="426"/>
        <w:rPr>
          <w:rFonts w:eastAsia="Times New Roman" w:cstheme="minorHAnsi"/>
          <w:sz w:val="16"/>
          <w:szCs w:val="16"/>
        </w:rPr>
      </w:pPr>
      <w:r w:rsidRPr="00E95E93">
        <w:rPr>
          <w:rFonts w:eastAsia="Times New Roman"/>
          <w:sz w:val="16"/>
          <w:szCs w:val="16"/>
        </w:rPr>
        <w:t xml:space="preserve">Note: Quebec public health authorities </w:t>
      </w:r>
      <w:r w:rsidR="001D11B2" w:rsidRPr="00E95E93">
        <w:rPr>
          <w:rFonts w:eastAsia="Times New Roman"/>
          <w:sz w:val="16"/>
          <w:szCs w:val="16"/>
        </w:rPr>
        <w:t>have not done</w:t>
      </w:r>
      <w:r w:rsidRPr="00E95E93">
        <w:rPr>
          <w:rFonts w:eastAsia="Times New Roman"/>
          <w:sz w:val="16"/>
          <w:szCs w:val="16"/>
        </w:rPr>
        <w:t xml:space="preserve"> mosquito surveillance since 2006, however, entomological surveillance is conducted in some municipalities of the province.</w:t>
      </w:r>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b/>
          <w:sz w:val="20"/>
          <w:szCs w:val="20"/>
        </w:rPr>
      </w:pPr>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b/>
          <w:sz w:val="20"/>
          <w:szCs w:val="20"/>
        </w:rPr>
      </w:pPr>
      <w:r w:rsidRPr="00E95E93">
        <w:rPr>
          <w:rFonts w:eastAsia="Times New Roman"/>
          <w:b/>
          <w:sz w:val="20"/>
          <w:szCs w:val="20"/>
        </w:rPr>
        <w:t>Dead Birds:</w:t>
      </w:r>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sz w:val="20"/>
          <w:szCs w:val="20"/>
        </w:rPr>
      </w:pPr>
      <w:r w:rsidRPr="00E95E93">
        <w:rPr>
          <w:rFonts w:eastAsia="Times New Roman"/>
          <w:sz w:val="20"/>
          <w:szCs w:val="20"/>
        </w:rPr>
        <w:t xml:space="preserve">A total of </w:t>
      </w:r>
      <w:r w:rsidR="00BE0D1A" w:rsidRPr="00E95E93">
        <w:rPr>
          <w:rFonts w:eastAsia="Times New Roman"/>
          <w:sz w:val="20"/>
          <w:szCs w:val="20"/>
        </w:rPr>
        <w:t>100</w:t>
      </w:r>
      <w:r w:rsidRPr="00E95E93">
        <w:rPr>
          <w:rFonts w:eastAsia="Times New Roman"/>
          <w:sz w:val="20"/>
          <w:szCs w:val="20"/>
        </w:rPr>
        <w:t xml:space="preserve"> dead birds have been tested for West Nile virus by the Canadian Cooperative Wildlife Health Centre (CCWHC) in Canada. Of them, </w:t>
      </w:r>
      <w:r w:rsidR="00BE0D1A" w:rsidRPr="00E95E93">
        <w:rPr>
          <w:rFonts w:eastAsia="Times New Roman"/>
          <w:sz w:val="20"/>
          <w:szCs w:val="20"/>
        </w:rPr>
        <w:t>58</w:t>
      </w:r>
      <w:r w:rsidRPr="00E95E93">
        <w:rPr>
          <w:rFonts w:eastAsia="Times New Roman"/>
          <w:sz w:val="20"/>
          <w:szCs w:val="20"/>
        </w:rPr>
        <w:t xml:space="preserve"> were positive for West Nile virus, [2</w:t>
      </w:r>
      <w:r w:rsidR="00BE0D1A" w:rsidRPr="00E95E93">
        <w:rPr>
          <w:rFonts w:eastAsia="Times New Roman"/>
          <w:sz w:val="20"/>
          <w:szCs w:val="20"/>
        </w:rPr>
        <w:t>7</w:t>
      </w:r>
      <w:r w:rsidRPr="00E95E93">
        <w:rPr>
          <w:rFonts w:eastAsia="Times New Roman"/>
          <w:sz w:val="20"/>
          <w:szCs w:val="20"/>
        </w:rPr>
        <w:t>/</w:t>
      </w:r>
      <w:r w:rsidR="00BE0D1A" w:rsidRPr="00E95E93">
        <w:rPr>
          <w:rFonts w:eastAsia="Times New Roman"/>
          <w:sz w:val="20"/>
          <w:szCs w:val="20"/>
        </w:rPr>
        <w:t>43</w:t>
      </w:r>
      <w:r w:rsidRPr="00E95E93">
        <w:rPr>
          <w:rFonts w:eastAsia="Times New Roman"/>
          <w:sz w:val="20"/>
          <w:szCs w:val="20"/>
        </w:rPr>
        <w:t xml:space="preserve"> in Ontario, 3</w:t>
      </w:r>
      <w:r w:rsidR="00BE0D1A" w:rsidRPr="00E95E93">
        <w:rPr>
          <w:rFonts w:eastAsia="Times New Roman"/>
          <w:sz w:val="20"/>
          <w:szCs w:val="20"/>
        </w:rPr>
        <w:t>0/46</w:t>
      </w:r>
      <w:r w:rsidRPr="00E95E93">
        <w:rPr>
          <w:rFonts w:eastAsia="Times New Roman"/>
          <w:sz w:val="20"/>
          <w:szCs w:val="20"/>
        </w:rPr>
        <w:t xml:space="preserve"> in Quebec and 1/</w:t>
      </w:r>
      <w:r w:rsidR="00BE0D1A" w:rsidRPr="00E95E93">
        <w:rPr>
          <w:rFonts w:eastAsia="Times New Roman"/>
          <w:sz w:val="20"/>
          <w:szCs w:val="20"/>
        </w:rPr>
        <w:t>10</w:t>
      </w:r>
      <w:r w:rsidRPr="00E95E93">
        <w:rPr>
          <w:rFonts w:eastAsia="Times New Roman"/>
          <w:sz w:val="20"/>
          <w:szCs w:val="20"/>
        </w:rPr>
        <w:t xml:space="preserve"> in Saskatchewan].</w:t>
      </w:r>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b/>
          <w:sz w:val="20"/>
          <w:szCs w:val="20"/>
        </w:rPr>
      </w:pPr>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b/>
          <w:sz w:val="20"/>
          <w:szCs w:val="20"/>
        </w:rPr>
      </w:pPr>
      <w:r w:rsidRPr="00E95E93">
        <w:rPr>
          <w:rFonts w:eastAsia="Times New Roman"/>
          <w:b/>
          <w:sz w:val="20"/>
          <w:szCs w:val="20"/>
        </w:rPr>
        <w:t>Domestic Animals:</w:t>
      </w:r>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sz w:val="20"/>
          <w:szCs w:val="20"/>
        </w:rPr>
      </w:pPr>
      <w:r w:rsidRPr="00E95E93">
        <w:rPr>
          <w:rFonts w:eastAsia="Times New Roman" w:cstheme="minorHAnsi"/>
          <w:sz w:val="20"/>
          <w:szCs w:val="20"/>
        </w:rPr>
        <w:t>As of week 3</w:t>
      </w:r>
      <w:r w:rsidR="00A43AFB" w:rsidRPr="00E95E93">
        <w:rPr>
          <w:rFonts w:eastAsia="Times New Roman" w:cstheme="minorHAnsi"/>
          <w:sz w:val="20"/>
          <w:szCs w:val="20"/>
        </w:rPr>
        <w:t>9</w:t>
      </w:r>
      <w:r w:rsidRPr="00E95E93">
        <w:rPr>
          <w:rFonts w:eastAsia="Times New Roman" w:cstheme="minorHAnsi"/>
          <w:sz w:val="20"/>
          <w:szCs w:val="20"/>
        </w:rPr>
        <w:t>,</w:t>
      </w:r>
      <w:r w:rsidR="001D11B2" w:rsidRPr="00E95E93">
        <w:rPr>
          <w:rFonts w:eastAsia="Times New Roman" w:cstheme="minorHAnsi"/>
          <w:sz w:val="20"/>
          <w:szCs w:val="20"/>
        </w:rPr>
        <w:t xml:space="preserve"> the Canadian Food Inspection Agency (CFIA) has reported 37 horses testing positive for West Nile virus</w:t>
      </w:r>
      <w:r w:rsidRPr="00E95E93">
        <w:rPr>
          <w:rFonts w:eastAsia="Times New Roman" w:cstheme="minorHAnsi"/>
          <w:sz w:val="20"/>
          <w:szCs w:val="20"/>
        </w:rPr>
        <w:t xml:space="preserve">: </w:t>
      </w:r>
      <w:r w:rsidR="001D11B2" w:rsidRPr="00E95E93">
        <w:rPr>
          <w:rFonts w:eastAsia="Times New Roman" w:cstheme="minorHAnsi"/>
          <w:sz w:val="20"/>
          <w:szCs w:val="20"/>
        </w:rPr>
        <w:t>[</w:t>
      </w:r>
      <w:r w:rsidRPr="00E95E93">
        <w:rPr>
          <w:rFonts w:eastAsia="Times New Roman" w:cstheme="minorHAnsi"/>
          <w:sz w:val="20"/>
          <w:szCs w:val="20"/>
        </w:rPr>
        <w:t>Alberta (5); Manitoba (6); Ontario (6); Quebec (13); and Saskatchewan (7)</w:t>
      </w:r>
      <w:r w:rsidR="001D11B2" w:rsidRPr="00E95E93">
        <w:rPr>
          <w:rFonts w:eastAsia="Times New Roman" w:cstheme="minorHAnsi"/>
          <w:sz w:val="20"/>
          <w:szCs w:val="20"/>
        </w:rPr>
        <w:t>]</w:t>
      </w:r>
      <w:r w:rsidRPr="00E95E93">
        <w:rPr>
          <w:rFonts w:eastAsia="Times New Roman" w:cstheme="minorHAnsi"/>
          <w:sz w:val="20"/>
          <w:szCs w:val="20"/>
        </w:rPr>
        <w:t>.</w:t>
      </w:r>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sz w:val="20"/>
          <w:szCs w:val="20"/>
        </w:rPr>
      </w:pPr>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i/>
          <w:iCs/>
          <w:sz w:val="16"/>
          <w:szCs w:val="16"/>
          <w:u w:val="single"/>
        </w:rPr>
      </w:pPr>
      <w:r w:rsidRPr="00E95E93">
        <w:rPr>
          <w:rFonts w:eastAsia="Times New Roman"/>
          <w:i/>
          <w:sz w:val="16"/>
          <w:szCs w:val="16"/>
        </w:rPr>
        <w:t xml:space="preserve">National WNv surveillance data and maps can be found on the PHAC website at: </w:t>
      </w:r>
      <w:hyperlink r:id="rId8" w:history="1">
        <w:r w:rsidRPr="00E95E93">
          <w:rPr>
            <w:rFonts w:eastAsia="Times New Roman"/>
            <w:i/>
            <w:iCs/>
            <w:sz w:val="16"/>
            <w:szCs w:val="16"/>
            <w:u w:val="single"/>
          </w:rPr>
          <w:t>http://www.phac-aspc.gc.ca/wnv-vwn/index.html</w:t>
        </w:r>
      </w:hyperlink>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b/>
          <w:bCs/>
          <w:sz w:val="20"/>
          <w:szCs w:val="20"/>
          <w:u w:val="single"/>
        </w:rPr>
      </w:pPr>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b/>
          <w:bCs/>
          <w:sz w:val="20"/>
          <w:szCs w:val="20"/>
          <w:u w:val="single"/>
        </w:rPr>
      </w:pPr>
      <w:r w:rsidRPr="00E95E93">
        <w:rPr>
          <w:rFonts w:eastAsia="Times New Roman"/>
          <w:b/>
          <w:bCs/>
          <w:sz w:val="20"/>
          <w:szCs w:val="20"/>
          <w:u w:val="single"/>
        </w:rPr>
        <w:t>United States</w:t>
      </w:r>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bCs/>
          <w:sz w:val="20"/>
          <w:szCs w:val="20"/>
        </w:rPr>
      </w:pPr>
      <w:r w:rsidRPr="00E95E93">
        <w:rPr>
          <w:rFonts w:eastAsia="Times New Roman"/>
          <w:bCs/>
          <w:sz w:val="20"/>
          <w:szCs w:val="20"/>
        </w:rPr>
        <w:t xml:space="preserve">As of </w:t>
      </w:r>
      <w:r w:rsidR="005E4126" w:rsidRPr="00E95E93">
        <w:rPr>
          <w:rFonts w:eastAsia="Times New Roman"/>
          <w:bCs/>
          <w:sz w:val="20"/>
          <w:szCs w:val="20"/>
        </w:rPr>
        <w:t>October 2</w:t>
      </w:r>
      <w:r w:rsidRPr="00E95E93">
        <w:rPr>
          <w:rFonts w:eastAsia="Times New Roman"/>
          <w:bCs/>
          <w:sz w:val="20"/>
          <w:szCs w:val="20"/>
        </w:rPr>
        <w:t>, 2012 there have been 3,</w:t>
      </w:r>
      <w:r w:rsidR="005E4126" w:rsidRPr="00E95E93">
        <w:rPr>
          <w:rFonts w:eastAsia="Times New Roman"/>
          <w:bCs/>
          <w:sz w:val="20"/>
          <w:szCs w:val="20"/>
        </w:rPr>
        <w:t>969</w:t>
      </w:r>
      <w:r w:rsidRPr="00E95E93">
        <w:rPr>
          <w:rFonts w:eastAsia="Times New Roman"/>
          <w:bCs/>
          <w:sz w:val="20"/>
          <w:szCs w:val="20"/>
        </w:rPr>
        <w:t xml:space="preserve"> human cases of West Nile virus infection reported to the Centers for Disease Control and Prevention in the United States, of which </w:t>
      </w:r>
      <w:r w:rsidR="005E4126" w:rsidRPr="00E95E93">
        <w:rPr>
          <w:rFonts w:eastAsia="Times New Roman"/>
          <w:bCs/>
          <w:sz w:val="20"/>
          <w:szCs w:val="20"/>
        </w:rPr>
        <w:t>2</w:t>
      </w:r>
      <w:r w:rsidRPr="00E95E93">
        <w:rPr>
          <w:rFonts w:eastAsia="Times New Roman"/>
          <w:bCs/>
          <w:sz w:val="20"/>
          <w:szCs w:val="20"/>
        </w:rPr>
        <w:t>,</w:t>
      </w:r>
      <w:r w:rsidR="005E4126" w:rsidRPr="00E95E93">
        <w:rPr>
          <w:rFonts w:eastAsia="Times New Roman"/>
          <w:bCs/>
          <w:sz w:val="20"/>
          <w:szCs w:val="20"/>
        </w:rPr>
        <w:t>012</w:t>
      </w:r>
      <w:r w:rsidRPr="00E95E93">
        <w:rPr>
          <w:rFonts w:eastAsia="Times New Roman"/>
          <w:bCs/>
          <w:sz w:val="20"/>
          <w:szCs w:val="20"/>
        </w:rPr>
        <w:t xml:space="preserve"> (51%) were neuroinvasive and 1,</w:t>
      </w:r>
      <w:r w:rsidR="005E4126" w:rsidRPr="00E95E93">
        <w:rPr>
          <w:rFonts w:eastAsia="Times New Roman"/>
          <w:bCs/>
          <w:sz w:val="20"/>
          <w:szCs w:val="20"/>
        </w:rPr>
        <w:t>959</w:t>
      </w:r>
      <w:r w:rsidRPr="00E95E93">
        <w:rPr>
          <w:rFonts w:eastAsia="Times New Roman"/>
          <w:bCs/>
          <w:sz w:val="20"/>
          <w:szCs w:val="20"/>
        </w:rPr>
        <w:t xml:space="preserve"> (49%) were non-neuroinvasive. 1</w:t>
      </w:r>
      <w:r w:rsidR="005E4126" w:rsidRPr="00E95E93">
        <w:rPr>
          <w:rFonts w:eastAsia="Times New Roman"/>
          <w:bCs/>
          <w:sz w:val="20"/>
          <w:szCs w:val="20"/>
        </w:rPr>
        <w:t>63</w:t>
      </w:r>
      <w:r w:rsidRPr="00E95E93">
        <w:rPr>
          <w:rFonts w:eastAsia="Times New Roman"/>
          <w:bCs/>
          <w:sz w:val="20"/>
          <w:szCs w:val="20"/>
        </w:rPr>
        <w:t xml:space="preserve"> deaths </w:t>
      </w:r>
      <w:r w:rsidR="001D11B2" w:rsidRPr="00E95E93">
        <w:rPr>
          <w:rFonts w:eastAsia="Times New Roman"/>
          <w:bCs/>
          <w:sz w:val="20"/>
          <w:szCs w:val="20"/>
        </w:rPr>
        <w:t xml:space="preserve">have been </w:t>
      </w:r>
      <w:r w:rsidRPr="00E95E93">
        <w:rPr>
          <w:rFonts w:eastAsia="Times New Roman"/>
          <w:bCs/>
          <w:sz w:val="20"/>
          <w:szCs w:val="20"/>
        </w:rPr>
        <w:t xml:space="preserve">reported. In addition, </w:t>
      </w:r>
      <w:r w:rsidR="005E4126" w:rsidRPr="00E95E93">
        <w:rPr>
          <w:rFonts w:eastAsia="Times New Roman"/>
          <w:bCs/>
          <w:sz w:val="20"/>
          <w:szCs w:val="20"/>
        </w:rPr>
        <w:t>508</w:t>
      </w:r>
      <w:r w:rsidRPr="00E95E93">
        <w:rPr>
          <w:rFonts w:eastAsia="Times New Roman"/>
          <w:bCs/>
          <w:sz w:val="20"/>
          <w:szCs w:val="20"/>
        </w:rPr>
        <w:t xml:space="preserve"> West Nile virus presumptive viremic blood donors have been reported.</w:t>
      </w:r>
    </w:p>
    <w:p w:rsidR="001D11B2" w:rsidRPr="00E95E93" w:rsidRDefault="001D11B2" w:rsidP="006F2110">
      <w:pPr>
        <w:pBdr>
          <w:top w:val="single" w:sz="4" w:space="1" w:color="auto"/>
          <w:left w:val="single" w:sz="4" w:space="4" w:color="auto"/>
          <w:bottom w:val="single" w:sz="4" w:space="1" w:color="auto"/>
          <w:right w:val="single" w:sz="4" w:space="4" w:color="auto"/>
        </w:pBdr>
        <w:spacing w:after="0" w:line="240" w:lineRule="auto"/>
        <w:rPr>
          <w:rFonts w:eastAsia="Times New Roman"/>
          <w:i/>
          <w:iCs/>
          <w:sz w:val="20"/>
          <w:szCs w:val="20"/>
          <w:u w:val="single"/>
        </w:rPr>
      </w:pPr>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bCs/>
          <w:i/>
          <w:sz w:val="16"/>
          <w:szCs w:val="16"/>
          <w:lang w:val="fr-CA"/>
        </w:rPr>
      </w:pPr>
      <w:r w:rsidRPr="00E95E93">
        <w:rPr>
          <w:rFonts w:eastAsia="Times New Roman"/>
          <w:bCs/>
          <w:i/>
          <w:sz w:val="16"/>
          <w:szCs w:val="16"/>
          <w:lang w:val="fr-CA"/>
        </w:rPr>
        <w:t xml:space="preserve">Source: </w:t>
      </w:r>
      <w:hyperlink r:id="rId9" w:history="1">
        <w:r w:rsidRPr="00E95E93">
          <w:rPr>
            <w:rFonts w:eastAsia="Times New Roman" w:cstheme="minorHAnsi"/>
            <w:i/>
            <w:sz w:val="16"/>
            <w:szCs w:val="16"/>
            <w:u w:val="single"/>
            <w:lang w:val="fr-CA"/>
          </w:rPr>
          <w:t>http://www.cdc.gov/ncidod/dvbid/westnile/surv&amp;controlCaseCount12_detailed.htm</w:t>
        </w:r>
      </w:hyperlink>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bCs/>
          <w:sz w:val="20"/>
          <w:szCs w:val="20"/>
          <w:lang w:val="fr-CA"/>
        </w:rPr>
      </w:pPr>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b/>
          <w:bCs/>
          <w:sz w:val="20"/>
          <w:szCs w:val="20"/>
          <w:u w:val="single"/>
        </w:rPr>
      </w:pPr>
      <w:r w:rsidRPr="00E95E93">
        <w:rPr>
          <w:rFonts w:eastAsia="Times New Roman"/>
          <w:b/>
          <w:bCs/>
          <w:sz w:val="20"/>
          <w:szCs w:val="20"/>
          <w:u w:val="single"/>
        </w:rPr>
        <w:t>Europe and Neighbouring countries</w:t>
      </w:r>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bCs/>
          <w:sz w:val="20"/>
          <w:szCs w:val="20"/>
        </w:rPr>
      </w:pPr>
      <w:r w:rsidRPr="00E95E93">
        <w:rPr>
          <w:rFonts w:eastAsia="Times New Roman"/>
          <w:bCs/>
          <w:sz w:val="20"/>
          <w:szCs w:val="20"/>
        </w:rPr>
        <w:t>As of September 2</w:t>
      </w:r>
      <w:r w:rsidR="009462CC" w:rsidRPr="00E95E93">
        <w:rPr>
          <w:rFonts w:eastAsia="Times New Roman"/>
          <w:bCs/>
          <w:sz w:val="20"/>
          <w:szCs w:val="20"/>
        </w:rPr>
        <w:t>7</w:t>
      </w:r>
      <w:r w:rsidRPr="00E95E93">
        <w:rPr>
          <w:rFonts w:eastAsia="Times New Roman"/>
          <w:bCs/>
          <w:sz w:val="20"/>
          <w:szCs w:val="20"/>
        </w:rPr>
        <w:t>, 2012 there have been 6</w:t>
      </w:r>
      <w:r w:rsidR="009462CC" w:rsidRPr="00E95E93">
        <w:rPr>
          <w:rFonts w:eastAsia="Times New Roman"/>
          <w:bCs/>
          <w:sz w:val="20"/>
          <w:szCs w:val="20"/>
        </w:rPr>
        <w:t>65</w:t>
      </w:r>
      <w:r w:rsidRPr="00E95E93">
        <w:rPr>
          <w:rFonts w:eastAsia="Times New Roman"/>
          <w:bCs/>
          <w:sz w:val="20"/>
          <w:szCs w:val="20"/>
        </w:rPr>
        <w:t xml:space="preserve"> confirmed human cases of West Nile virus infection reported in Europe and Neighbouring countries [Greece (1</w:t>
      </w:r>
      <w:r w:rsidR="009462CC" w:rsidRPr="00E95E93">
        <w:rPr>
          <w:rFonts w:eastAsia="Times New Roman"/>
          <w:bCs/>
          <w:sz w:val="20"/>
          <w:szCs w:val="20"/>
        </w:rPr>
        <w:t>5</w:t>
      </w:r>
      <w:r w:rsidRPr="00E95E93">
        <w:rPr>
          <w:rFonts w:eastAsia="Times New Roman"/>
          <w:bCs/>
          <w:sz w:val="20"/>
          <w:szCs w:val="20"/>
        </w:rPr>
        <w:t>2), Hungary (</w:t>
      </w:r>
      <w:r w:rsidR="009462CC" w:rsidRPr="00E95E93">
        <w:rPr>
          <w:rFonts w:eastAsia="Times New Roman"/>
          <w:bCs/>
          <w:sz w:val="20"/>
          <w:szCs w:val="20"/>
        </w:rPr>
        <w:t>8</w:t>
      </w:r>
      <w:r w:rsidRPr="00E95E93">
        <w:rPr>
          <w:rFonts w:eastAsia="Times New Roman"/>
          <w:bCs/>
          <w:sz w:val="20"/>
          <w:szCs w:val="20"/>
        </w:rPr>
        <w:t>), Italy (</w:t>
      </w:r>
      <w:r w:rsidR="009462CC" w:rsidRPr="00E95E93">
        <w:rPr>
          <w:rFonts w:eastAsia="Times New Roman"/>
          <w:bCs/>
          <w:sz w:val="20"/>
          <w:szCs w:val="20"/>
        </w:rPr>
        <w:t>30</w:t>
      </w:r>
      <w:r w:rsidRPr="00E95E93">
        <w:rPr>
          <w:rFonts w:eastAsia="Times New Roman"/>
          <w:bCs/>
          <w:sz w:val="20"/>
          <w:szCs w:val="20"/>
        </w:rPr>
        <w:t>), Romania (14), Croatia (</w:t>
      </w:r>
      <w:r w:rsidR="009462CC" w:rsidRPr="00E95E93">
        <w:rPr>
          <w:rFonts w:eastAsia="Times New Roman"/>
          <w:bCs/>
          <w:sz w:val="20"/>
          <w:szCs w:val="20"/>
        </w:rPr>
        <w:t>5</w:t>
      </w:r>
      <w:r w:rsidRPr="00E95E93">
        <w:rPr>
          <w:rFonts w:eastAsia="Times New Roman"/>
          <w:bCs/>
          <w:sz w:val="20"/>
          <w:szCs w:val="20"/>
        </w:rPr>
        <w:t xml:space="preserve">), </w:t>
      </w:r>
      <w:r w:rsidR="009462CC" w:rsidRPr="00E95E93">
        <w:rPr>
          <w:rFonts w:eastAsia="Times New Roman"/>
          <w:bCs/>
          <w:sz w:val="20"/>
          <w:szCs w:val="20"/>
        </w:rPr>
        <w:t xml:space="preserve">Yugoslav (4), </w:t>
      </w:r>
      <w:r w:rsidRPr="00E95E93">
        <w:rPr>
          <w:rFonts w:eastAsia="Times New Roman"/>
          <w:bCs/>
          <w:sz w:val="20"/>
          <w:szCs w:val="20"/>
        </w:rPr>
        <w:t>Israel (</w:t>
      </w:r>
      <w:r w:rsidR="009462CC" w:rsidRPr="00E95E93">
        <w:rPr>
          <w:rFonts w:eastAsia="Times New Roman"/>
          <w:bCs/>
          <w:sz w:val="20"/>
          <w:szCs w:val="20"/>
        </w:rPr>
        <w:t>46</w:t>
      </w:r>
      <w:r w:rsidRPr="00E95E93">
        <w:rPr>
          <w:rFonts w:eastAsia="Times New Roman"/>
          <w:bCs/>
          <w:sz w:val="20"/>
          <w:szCs w:val="20"/>
        </w:rPr>
        <w:t>), Kosovo (</w:t>
      </w:r>
      <w:r w:rsidR="009462CC" w:rsidRPr="00E95E93">
        <w:rPr>
          <w:rFonts w:eastAsia="Times New Roman"/>
          <w:bCs/>
          <w:sz w:val="20"/>
          <w:szCs w:val="20"/>
        </w:rPr>
        <w:t>4</w:t>
      </w:r>
      <w:r w:rsidRPr="00E95E93">
        <w:rPr>
          <w:rFonts w:eastAsia="Times New Roman"/>
          <w:bCs/>
          <w:sz w:val="20"/>
          <w:szCs w:val="20"/>
        </w:rPr>
        <w:t>), Palestin</w:t>
      </w:r>
      <w:r w:rsidR="009462CC" w:rsidRPr="00E95E93">
        <w:rPr>
          <w:rFonts w:eastAsia="Times New Roman"/>
          <w:bCs/>
          <w:sz w:val="20"/>
          <w:szCs w:val="20"/>
        </w:rPr>
        <w:t>e</w:t>
      </w:r>
      <w:r w:rsidRPr="00E95E93">
        <w:rPr>
          <w:rFonts w:eastAsia="Times New Roman"/>
          <w:bCs/>
          <w:sz w:val="20"/>
          <w:szCs w:val="20"/>
        </w:rPr>
        <w:t xml:space="preserve"> (2), Russian Federation (3</w:t>
      </w:r>
      <w:r w:rsidR="009462CC" w:rsidRPr="00E95E93">
        <w:rPr>
          <w:rFonts w:eastAsia="Times New Roman"/>
          <w:bCs/>
          <w:sz w:val="20"/>
          <w:szCs w:val="20"/>
        </w:rPr>
        <w:t>66</w:t>
      </w:r>
      <w:r w:rsidRPr="00E95E93">
        <w:rPr>
          <w:rFonts w:eastAsia="Times New Roman"/>
          <w:bCs/>
          <w:sz w:val="20"/>
          <w:szCs w:val="20"/>
        </w:rPr>
        <w:t xml:space="preserve">), Serbia (30), </w:t>
      </w:r>
      <w:r w:rsidR="00013BEB" w:rsidRPr="00E95E93">
        <w:rPr>
          <w:rFonts w:eastAsia="Times New Roman"/>
          <w:bCs/>
          <w:sz w:val="20"/>
          <w:szCs w:val="20"/>
        </w:rPr>
        <w:t>and Tunisia</w:t>
      </w:r>
      <w:r w:rsidRPr="00E95E93">
        <w:rPr>
          <w:rFonts w:eastAsia="Times New Roman"/>
          <w:bCs/>
          <w:sz w:val="20"/>
          <w:szCs w:val="20"/>
        </w:rPr>
        <w:t xml:space="preserve"> (4)].</w:t>
      </w:r>
    </w:p>
    <w:p w:rsidR="001D11B2" w:rsidRPr="00E95E93" w:rsidRDefault="001D11B2" w:rsidP="006F2110">
      <w:pPr>
        <w:pBdr>
          <w:top w:val="single" w:sz="4" w:space="1" w:color="auto"/>
          <w:left w:val="single" w:sz="4" w:space="4" w:color="auto"/>
          <w:bottom w:val="single" w:sz="4" w:space="1" w:color="auto"/>
          <w:right w:val="single" w:sz="4" w:space="4" w:color="auto"/>
        </w:pBdr>
        <w:spacing w:after="0" w:line="240" w:lineRule="auto"/>
        <w:rPr>
          <w:rFonts w:eastAsia="Times New Roman"/>
          <w:bCs/>
          <w:sz w:val="20"/>
          <w:szCs w:val="20"/>
        </w:rPr>
      </w:pPr>
    </w:p>
    <w:p w:rsidR="006F2110" w:rsidRPr="00E95E93" w:rsidRDefault="006F2110" w:rsidP="006F2110">
      <w:pPr>
        <w:pBdr>
          <w:top w:val="single" w:sz="4" w:space="1" w:color="auto"/>
          <w:left w:val="single" w:sz="4" w:space="4" w:color="auto"/>
          <w:bottom w:val="single" w:sz="4" w:space="1" w:color="auto"/>
          <w:right w:val="single" w:sz="4" w:space="4" w:color="auto"/>
        </w:pBdr>
        <w:spacing w:after="0" w:line="240" w:lineRule="auto"/>
        <w:rPr>
          <w:rFonts w:eastAsia="Times New Roman"/>
          <w:bCs/>
          <w:sz w:val="16"/>
          <w:szCs w:val="16"/>
          <w:lang w:val="fr-CA"/>
        </w:rPr>
      </w:pPr>
      <w:r w:rsidRPr="00E95E93">
        <w:rPr>
          <w:rFonts w:eastAsia="Times New Roman"/>
          <w:bCs/>
          <w:i/>
          <w:sz w:val="16"/>
          <w:szCs w:val="16"/>
          <w:lang w:val="fr-CA"/>
        </w:rPr>
        <w:t xml:space="preserve">Source: </w:t>
      </w:r>
      <w:hyperlink r:id="rId10" w:history="1">
        <w:r w:rsidRPr="00E95E93">
          <w:rPr>
            <w:rFonts w:eastAsia="Times New Roman" w:cstheme="minorHAnsi"/>
            <w:i/>
            <w:sz w:val="16"/>
            <w:szCs w:val="16"/>
            <w:u w:val="single"/>
            <w:lang w:val="fr-CA"/>
          </w:rPr>
          <w:t>http://ecdc.europa.eu/en/healthtopics/west_nile_fever/West-Nile-fever-maps/Pages/index.aspx</w:t>
        </w:r>
      </w:hyperlink>
    </w:p>
    <w:p w:rsidR="00854CC0" w:rsidRPr="00E95E93" w:rsidRDefault="00854CC0">
      <w:pPr>
        <w:rPr>
          <w:b/>
          <w:bCs/>
          <w:sz w:val="20"/>
          <w:szCs w:val="20"/>
          <w:lang w:val="fr-CA"/>
        </w:rPr>
      </w:pPr>
      <w:r w:rsidRPr="00E95E93">
        <w:rPr>
          <w:b/>
          <w:bCs/>
          <w:sz w:val="20"/>
          <w:szCs w:val="20"/>
          <w:lang w:val="fr-CA"/>
        </w:rPr>
        <w:br w:type="page"/>
      </w:r>
    </w:p>
    <w:p w:rsidR="00854CC0" w:rsidRPr="00E95E93" w:rsidRDefault="00854CC0" w:rsidP="00854CC0">
      <w:pPr>
        <w:spacing w:after="0" w:line="240" w:lineRule="auto"/>
        <w:rPr>
          <w:b/>
          <w:bCs/>
          <w:sz w:val="20"/>
          <w:szCs w:val="20"/>
          <w:lang w:val="fr-CA"/>
        </w:rPr>
        <w:sectPr w:rsidR="00854CC0" w:rsidRPr="00E95E93" w:rsidSect="00951F8F">
          <w:headerReference w:type="even" r:id="rId11"/>
          <w:headerReference w:type="default" r:id="rId12"/>
          <w:footerReference w:type="even" r:id="rId13"/>
          <w:footerReference w:type="default" r:id="rId14"/>
          <w:headerReference w:type="first" r:id="rId15"/>
          <w:footerReference w:type="first" r:id="rId16"/>
          <w:pgSz w:w="12240" w:h="15840"/>
          <w:pgMar w:top="851" w:right="1440" w:bottom="851" w:left="1440" w:header="708" w:footer="708" w:gutter="0"/>
          <w:cols w:space="708"/>
          <w:docGrid w:linePitch="360"/>
        </w:sectPr>
      </w:pPr>
    </w:p>
    <w:p w:rsidR="00854CC0" w:rsidRPr="00E95E93" w:rsidRDefault="00854CC0">
      <w:pPr>
        <w:rPr>
          <w:b/>
          <w:bCs/>
          <w:sz w:val="20"/>
          <w:szCs w:val="20"/>
          <w:lang w:val="fr-CA"/>
        </w:rPr>
      </w:pPr>
    </w:p>
    <w:p w:rsidR="00942546" w:rsidRPr="00E95E93" w:rsidRDefault="00942546" w:rsidP="000E0DD4">
      <w:pPr>
        <w:spacing w:after="0" w:line="240" w:lineRule="auto"/>
        <w:jc w:val="center"/>
        <w:rPr>
          <w:b/>
          <w:sz w:val="20"/>
        </w:rPr>
      </w:pPr>
      <w:r w:rsidRPr="00E95E93">
        <w:rPr>
          <w:b/>
          <w:sz w:val="20"/>
        </w:rPr>
        <w:t>WNv clinical cases and asymptomatic infections, by Province / Territory and by report week, 2012 season</w:t>
      </w:r>
    </w:p>
    <w:p w:rsidR="00115617" w:rsidRPr="00E95E93" w:rsidRDefault="00115617" w:rsidP="00115617">
      <w:pPr>
        <w:spacing w:after="0" w:line="240" w:lineRule="auto"/>
        <w:jc w:val="center"/>
      </w:pPr>
    </w:p>
    <w:p w:rsidR="000C78EE" w:rsidRPr="00E95E93" w:rsidRDefault="00092AA0" w:rsidP="00254756">
      <w:pPr>
        <w:spacing w:after="0" w:line="240" w:lineRule="auto"/>
        <w:jc w:val="center"/>
      </w:pPr>
      <w:r w:rsidRPr="00E95E93">
        <w:rPr>
          <w:noProof/>
          <w:lang w:val="en-US"/>
        </w:rPr>
        <w:drawing>
          <wp:inline distT="0" distB="0" distL="0" distR="0">
            <wp:extent cx="9175898" cy="2828260"/>
            <wp:effectExtent l="0" t="0" r="25400" b="107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23A43" w:rsidRPr="00E95E93" w:rsidRDefault="000E0DD4" w:rsidP="00623A43">
      <w:pPr>
        <w:spacing w:after="0" w:line="240" w:lineRule="auto"/>
      </w:pPr>
      <w:r w:rsidRPr="00E95E93">
        <w:t xml:space="preserve">Link </w:t>
      </w:r>
      <w:r w:rsidR="00B53DDB" w:rsidRPr="00E95E93">
        <w:t xml:space="preserve">Figure 1 </w:t>
      </w:r>
      <w:r w:rsidRPr="00E95E93">
        <w:t xml:space="preserve">to </w:t>
      </w:r>
      <w:r w:rsidR="00623A43" w:rsidRPr="00E95E93">
        <w:t xml:space="preserve">the following </w:t>
      </w:r>
      <w:r w:rsidRPr="00E95E93">
        <w:t>table</w:t>
      </w:r>
      <w:r w:rsidR="00B53DDB" w:rsidRPr="00E95E93">
        <w:t xml:space="preserve"> 1</w:t>
      </w:r>
      <w:r w:rsidR="00A615F3" w:rsidRPr="00E95E93">
        <w:t xml:space="preserve"> below</w:t>
      </w:r>
    </w:p>
    <w:tbl>
      <w:tblPr>
        <w:tblW w:w="1493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52"/>
        <w:gridCol w:w="458"/>
        <w:gridCol w:w="458"/>
        <w:gridCol w:w="458"/>
        <w:gridCol w:w="458"/>
        <w:gridCol w:w="458"/>
        <w:gridCol w:w="458"/>
        <w:gridCol w:w="458"/>
        <w:gridCol w:w="458"/>
        <w:gridCol w:w="458"/>
        <w:gridCol w:w="458"/>
        <w:gridCol w:w="458"/>
        <w:gridCol w:w="458"/>
        <w:gridCol w:w="458"/>
        <w:gridCol w:w="458"/>
        <w:gridCol w:w="458"/>
        <w:gridCol w:w="458"/>
        <w:gridCol w:w="458"/>
        <w:gridCol w:w="458"/>
        <w:gridCol w:w="458"/>
        <w:gridCol w:w="458"/>
        <w:gridCol w:w="458"/>
        <w:gridCol w:w="458"/>
        <w:gridCol w:w="458"/>
        <w:gridCol w:w="458"/>
        <w:gridCol w:w="458"/>
        <w:gridCol w:w="458"/>
        <w:gridCol w:w="458"/>
        <w:gridCol w:w="458"/>
        <w:gridCol w:w="458"/>
      </w:tblGrid>
      <w:tr w:rsidR="00B61BF6" w:rsidRPr="00E95E93" w:rsidTr="000F2AD8">
        <w:trPr>
          <w:trHeight w:val="300"/>
        </w:trPr>
        <w:tc>
          <w:tcPr>
            <w:tcW w:w="1652" w:type="dxa"/>
            <w:shd w:val="clear" w:color="auto" w:fill="auto"/>
            <w:noWrap/>
            <w:vAlign w:val="center"/>
          </w:tcPr>
          <w:p w:rsidR="00917E63" w:rsidRPr="00E95E93" w:rsidRDefault="00917E63" w:rsidP="000F2AD8">
            <w:pPr>
              <w:spacing w:after="0" w:line="240" w:lineRule="auto"/>
              <w:jc w:val="center"/>
              <w:rPr>
                <w:rFonts w:ascii="Calibri" w:eastAsia="Times New Roman" w:hAnsi="Calibri" w:cs="Calibri"/>
                <w:sz w:val="16"/>
                <w:szCs w:val="20"/>
                <w:lang w:eastAsia="en-CA"/>
              </w:rPr>
            </w:pPr>
          </w:p>
        </w:tc>
        <w:tc>
          <w:tcPr>
            <w:tcW w:w="13282" w:type="dxa"/>
            <w:gridSpan w:val="29"/>
            <w:shd w:val="clear" w:color="auto" w:fill="auto"/>
            <w:noWrap/>
            <w:vAlign w:val="center"/>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Report Week of 2012</w:t>
            </w:r>
          </w:p>
        </w:tc>
      </w:tr>
      <w:tr w:rsidR="00B61BF6" w:rsidRPr="00E95E93" w:rsidTr="00917E63">
        <w:trPr>
          <w:trHeight w:val="300"/>
        </w:trPr>
        <w:tc>
          <w:tcPr>
            <w:tcW w:w="1652"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17</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18</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19</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20</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21</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22</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23</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24</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25</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26</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27</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28</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29</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30</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31</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32</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33</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34</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35</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36</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37</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38</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39</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40</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41</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42</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43</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44</w:t>
            </w:r>
          </w:p>
        </w:tc>
        <w:tc>
          <w:tcPr>
            <w:tcW w:w="458" w:type="dxa"/>
            <w:shd w:val="clear" w:color="auto" w:fill="auto"/>
            <w:noWrap/>
            <w:vAlign w:val="center"/>
            <w:hideMark/>
          </w:tcPr>
          <w:p w:rsidR="00917E63" w:rsidRPr="00E95E93" w:rsidRDefault="00917E63"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45</w:t>
            </w:r>
          </w:p>
        </w:tc>
      </w:tr>
      <w:tr w:rsidR="00B61BF6" w:rsidRPr="00E95E93" w:rsidTr="00BE0D1A">
        <w:trPr>
          <w:trHeight w:val="300"/>
        </w:trPr>
        <w:tc>
          <w:tcPr>
            <w:tcW w:w="1652" w:type="dxa"/>
            <w:shd w:val="clear" w:color="auto" w:fill="D9D9D9" w:themeFill="background1" w:themeFillShade="D9"/>
            <w:noWrap/>
            <w:vAlign w:val="center"/>
            <w:hideMark/>
          </w:tcPr>
          <w:p w:rsidR="00BE0D1A" w:rsidRPr="00E95E93" w:rsidRDefault="00BE0D1A" w:rsidP="000F2AD8">
            <w:pPr>
              <w:spacing w:after="0" w:line="240" w:lineRule="auto"/>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Newfoundland</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BE0D1A" w:rsidRPr="00E95E93" w:rsidRDefault="00BE0D1A" w:rsidP="0065038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r>
      <w:tr w:rsidR="00B61BF6" w:rsidRPr="00E95E93" w:rsidTr="005F0211">
        <w:trPr>
          <w:trHeight w:val="300"/>
        </w:trPr>
        <w:tc>
          <w:tcPr>
            <w:tcW w:w="1652" w:type="dxa"/>
            <w:shd w:val="clear" w:color="auto" w:fill="auto"/>
            <w:noWrap/>
            <w:vAlign w:val="center"/>
            <w:hideMark/>
          </w:tcPr>
          <w:p w:rsidR="00BE0D1A" w:rsidRPr="00E95E93" w:rsidRDefault="00BE0D1A" w:rsidP="000F2AD8">
            <w:pPr>
              <w:spacing w:after="0" w:line="240" w:lineRule="auto"/>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Prince Edward Island</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BE0D1A" w:rsidRPr="00E95E93" w:rsidRDefault="00005CFE" w:rsidP="0065038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1</w:t>
            </w: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r>
      <w:tr w:rsidR="00B61BF6" w:rsidRPr="00E95E93" w:rsidTr="00BE0D1A">
        <w:trPr>
          <w:trHeight w:val="300"/>
        </w:trPr>
        <w:tc>
          <w:tcPr>
            <w:tcW w:w="1652" w:type="dxa"/>
            <w:shd w:val="clear" w:color="auto" w:fill="D9D9D9" w:themeFill="background1" w:themeFillShade="D9"/>
            <w:noWrap/>
            <w:vAlign w:val="center"/>
            <w:hideMark/>
          </w:tcPr>
          <w:p w:rsidR="00BE0D1A" w:rsidRPr="00E95E93" w:rsidRDefault="00BE0D1A" w:rsidP="000F2AD8">
            <w:pPr>
              <w:spacing w:after="0" w:line="240" w:lineRule="auto"/>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Nova Scotia</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BE0D1A" w:rsidRPr="00E95E93" w:rsidRDefault="00BE0D1A" w:rsidP="0065038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r>
      <w:tr w:rsidR="00B61BF6" w:rsidRPr="00E95E93" w:rsidTr="00BE0D1A">
        <w:trPr>
          <w:trHeight w:val="300"/>
        </w:trPr>
        <w:tc>
          <w:tcPr>
            <w:tcW w:w="1652" w:type="dxa"/>
            <w:shd w:val="clear" w:color="auto" w:fill="D9D9D9" w:themeFill="background1" w:themeFillShade="D9"/>
            <w:noWrap/>
            <w:vAlign w:val="center"/>
            <w:hideMark/>
          </w:tcPr>
          <w:p w:rsidR="00BE0D1A" w:rsidRPr="00E95E93" w:rsidRDefault="00BE0D1A" w:rsidP="000F2AD8">
            <w:pPr>
              <w:spacing w:after="0" w:line="240" w:lineRule="auto"/>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New Brunswick</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BE0D1A" w:rsidRPr="00E95E93" w:rsidRDefault="00BE0D1A" w:rsidP="0065038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r>
      <w:tr w:rsidR="00B61BF6" w:rsidRPr="00E95E93" w:rsidTr="005F0211">
        <w:trPr>
          <w:trHeight w:val="300"/>
        </w:trPr>
        <w:tc>
          <w:tcPr>
            <w:tcW w:w="1652" w:type="dxa"/>
            <w:shd w:val="clear" w:color="auto" w:fill="auto"/>
            <w:noWrap/>
            <w:vAlign w:val="center"/>
            <w:hideMark/>
          </w:tcPr>
          <w:p w:rsidR="0067447F" w:rsidRPr="00E95E93" w:rsidRDefault="0067447F" w:rsidP="0067447F">
            <w:pPr>
              <w:spacing w:after="0" w:line="240" w:lineRule="auto"/>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Quebec</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1</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1</w:t>
            </w:r>
          </w:p>
        </w:tc>
        <w:tc>
          <w:tcPr>
            <w:tcW w:w="458" w:type="dxa"/>
            <w:shd w:val="clear" w:color="auto" w:fill="D9D9D9" w:themeFill="background1" w:themeFillShade="D9"/>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0</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2</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6</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10</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9</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13</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22</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16</w:t>
            </w: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27</w:t>
            </w: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r>
      <w:tr w:rsidR="00B61BF6" w:rsidRPr="00E95E93" w:rsidTr="005F0211">
        <w:trPr>
          <w:trHeight w:val="300"/>
        </w:trPr>
        <w:tc>
          <w:tcPr>
            <w:tcW w:w="1652" w:type="dxa"/>
            <w:shd w:val="clear" w:color="auto" w:fill="auto"/>
            <w:noWrap/>
            <w:vAlign w:val="center"/>
            <w:hideMark/>
          </w:tcPr>
          <w:p w:rsidR="0067447F" w:rsidRPr="00E95E93" w:rsidRDefault="0067447F" w:rsidP="0067447F">
            <w:pPr>
              <w:spacing w:after="0" w:line="240" w:lineRule="auto"/>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Ontario</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1</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2</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3</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8</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13</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21</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40</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41</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39</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30</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16</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17</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4</w:t>
            </w: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1</w:t>
            </w: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r>
      <w:tr w:rsidR="00B61BF6" w:rsidRPr="00E95E93" w:rsidTr="005F0211">
        <w:trPr>
          <w:trHeight w:val="300"/>
        </w:trPr>
        <w:tc>
          <w:tcPr>
            <w:tcW w:w="1652" w:type="dxa"/>
            <w:shd w:val="clear" w:color="auto" w:fill="auto"/>
            <w:noWrap/>
            <w:vAlign w:val="center"/>
            <w:hideMark/>
          </w:tcPr>
          <w:p w:rsidR="0067447F" w:rsidRPr="00E95E93" w:rsidRDefault="0067447F" w:rsidP="0067447F">
            <w:pPr>
              <w:spacing w:after="0" w:line="240" w:lineRule="auto"/>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Manitoba</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1</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1</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4</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7</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7</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6</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7</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1</w:t>
            </w:r>
          </w:p>
        </w:tc>
        <w:tc>
          <w:tcPr>
            <w:tcW w:w="458" w:type="dxa"/>
            <w:shd w:val="clear" w:color="auto" w:fill="auto"/>
            <w:noWrap/>
            <w:vAlign w:val="center"/>
            <w:hideMark/>
          </w:tcPr>
          <w:p w:rsidR="0067447F" w:rsidRPr="00E95E93" w:rsidRDefault="00092AA0" w:rsidP="0067447F">
            <w:pPr>
              <w:spacing w:after="0"/>
              <w:jc w:val="center"/>
              <w:rPr>
                <w:rFonts w:ascii="Calibri" w:hAnsi="Calibri" w:cs="Calibri"/>
                <w:sz w:val="16"/>
                <w:szCs w:val="16"/>
              </w:rPr>
            </w:pPr>
            <w:r w:rsidRPr="00E95E93">
              <w:rPr>
                <w:rFonts w:ascii="Calibri" w:hAnsi="Calibri" w:cs="Calibri"/>
                <w:sz w:val="16"/>
                <w:szCs w:val="16"/>
              </w:rPr>
              <w:t>3</w:t>
            </w:r>
          </w:p>
        </w:tc>
        <w:tc>
          <w:tcPr>
            <w:tcW w:w="458" w:type="dxa"/>
            <w:shd w:val="clear" w:color="auto" w:fill="auto"/>
            <w:noWrap/>
            <w:vAlign w:val="center"/>
            <w:hideMark/>
          </w:tcPr>
          <w:p w:rsidR="0067447F" w:rsidRPr="00E95E93" w:rsidRDefault="00092AA0" w:rsidP="0067447F">
            <w:pPr>
              <w:spacing w:after="0"/>
              <w:jc w:val="center"/>
              <w:rPr>
                <w:rFonts w:ascii="Calibri" w:hAnsi="Calibri" w:cs="Calibri"/>
                <w:sz w:val="16"/>
                <w:szCs w:val="16"/>
              </w:rPr>
            </w:pPr>
            <w:r w:rsidRPr="00E95E93">
              <w:rPr>
                <w:rFonts w:ascii="Calibri" w:hAnsi="Calibri" w:cs="Calibri"/>
                <w:sz w:val="16"/>
                <w:szCs w:val="16"/>
              </w:rPr>
              <w:t>2</w:t>
            </w: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r>
      <w:tr w:rsidR="00B61BF6" w:rsidRPr="00E95E93" w:rsidTr="005F0211">
        <w:trPr>
          <w:trHeight w:val="300"/>
        </w:trPr>
        <w:tc>
          <w:tcPr>
            <w:tcW w:w="1652" w:type="dxa"/>
            <w:shd w:val="clear" w:color="auto" w:fill="auto"/>
            <w:noWrap/>
            <w:vAlign w:val="center"/>
            <w:hideMark/>
          </w:tcPr>
          <w:p w:rsidR="0067447F" w:rsidRPr="00E95E93" w:rsidRDefault="0067447F" w:rsidP="0067447F">
            <w:pPr>
              <w:spacing w:after="0" w:line="240" w:lineRule="auto"/>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Saskatchewan</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2</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1</w:t>
            </w:r>
          </w:p>
        </w:tc>
        <w:tc>
          <w:tcPr>
            <w:tcW w:w="458" w:type="dxa"/>
            <w:shd w:val="clear" w:color="auto" w:fill="D9D9D9" w:themeFill="background1" w:themeFillShade="D9"/>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0</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3</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3</w:t>
            </w: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r>
      <w:tr w:rsidR="00B61BF6" w:rsidRPr="00E95E93" w:rsidTr="005F0211">
        <w:trPr>
          <w:trHeight w:val="300"/>
        </w:trPr>
        <w:tc>
          <w:tcPr>
            <w:tcW w:w="1652" w:type="dxa"/>
            <w:shd w:val="clear" w:color="auto" w:fill="auto"/>
            <w:noWrap/>
            <w:vAlign w:val="center"/>
            <w:hideMark/>
          </w:tcPr>
          <w:p w:rsidR="0067447F" w:rsidRPr="00E95E93" w:rsidRDefault="0067447F" w:rsidP="0067447F">
            <w:pPr>
              <w:spacing w:after="0" w:line="240" w:lineRule="auto"/>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Alberta</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D9D9D9" w:themeFill="background1" w:themeFillShade="D9"/>
            <w:noWrap/>
            <w:vAlign w:val="center"/>
            <w:hideMark/>
          </w:tcPr>
          <w:p w:rsidR="0067447F" w:rsidRPr="00E95E93" w:rsidRDefault="00E95E93" w:rsidP="0067447F">
            <w:pPr>
              <w:spacing w:after="0"/>
              <w:jc w:val="center"/>
              <w:rPr>
                <w:rFonts w:ascii="Calibri" w:hAnsi="Calibri" w:cs="Calibri"/>
                <w:sz w:val="16"/>
                <w:szCs w:val="16"/>
              </w:rPr>
            </w:pPr>
            <w:r>
              <w:rPr>
                <w:rFonts w:ascii="Calibri" w:hAnsi="Calibri" w:cs="Calibri"/>
                <w:sz w:val="16"/>
                <w:szCs w:val="16"/>
              </w:rPr>
              <w:t xml:space="preserve"> </w:t>
            </w:r>
            <w:r w:rsidR="0067447F" w:rsidRPr="00E95E93">
              <w:rPr>
                <w:rFonts w:ascii="Calibri" w:hAnsi="Calibri" w:cs="Calibri"/>
                <w:sz w:val="16"/>
                <w:szCs w:val="16"/>
              </w:rPr>
              <w:t>0</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4</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2</w:t>
            </w:r>
          </w:p>
        </w:tc>
        <w:tc>
          <w:tcPr>
            <w:tcW w:w="458" w:type="dxa"/>
            <w:shd w:val="clear" w:color="auto" w:fill="D9D9D9" w:themeFill="background1" w:themeFillShade="D9"/>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0</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1</w:t>
            </w:r>
          </w:p>
        </w:tc>
        <w:tc>
          <w:tcPr>
            <w:tcW w:w="458" w:type="dxa"/>
            <w:shd w:val="clear" w:color="auto" w:fill="auto"/>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2</w:t>
            </w:r>
          </w:p>
        </w:tc>
        <w:tc>
          <w:tcPr>
            <w:tcW w:w="458" w:type="dxa"/>
            <w:shd w:val="clear" w:color="auto" w:fill="D9D9D9" w:themeFill="background1" w:themeFillShade="D9"/>
            <w:noWrap/>
            <w:vAlign w:val="center"/>
            <w:hideMark/>
          </w:tcPr>
          <w:p w:rsidR="0067447F" w:rsidRPr="00E95E93" w:rsidRDefault="0067447F" w:rsidP="0067447F">
            <w:pPr>
              <w:spacing w:after="0"/>
              <w:jc w:val="center"/>
              <w:rPr>
                <w:rFonts w:ascii="Calibri" w:hAnsi="Calibri" w:cs="Calibri"/>
                <w:sz w:val="16"/>
                <w:szCs w:val="16"/>
              </w:rPr>
            </w:pPr>
            <w:r w:rsidRPr="00E95E93">
              <w:rPr>
                <w:rFonts w:ascii="Calibri" w:hAnsi="Calibri" w:cs="Calibri"/>
                <w:sz w:val="16"/>
                <w:szCs w:val="16"/>
              </w:rPr>
              <w:t>0</w:t>
            </w: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67447F" w:rsidRPr="00E95E93" w:rsidRDefault="0067447F" w:rsidP="0067447F">
            <w:pPr>
              <w:spacing w:after="0" w:line="240" w:lineRule="auto"/>
              <w:jc w:val="center"/>
              <w:rPr>
                <w:rFonts w:ascii="Calibri" w:eastAsia="Times New Roman" w:hAnsi="Calibri" w:cs="Calibri"/>
                <w:sz w:val="16"/>
                <w:szCs w:val="20"/>
                <w:lang w:eastAsia="en-CA"/>
              </w:rPr>
            </w:pPr>
          </w:p>
        </w:tc>
      </w:tr>
      <w:tr w:rsidR="00B61BF6" w:rsidRPr="00E95E93" w:rsidTr="00BE0D1A">
        <w:trPr>
          <w:trHeight w:val="300"/>
        </w:trPr>
        <w:tc>
          <w:tcPr>
            <w:tcW w:w="1652" w:type="dxa"/>
            <w:shd w:val="clear" w:color="auto" w:fill="D9D9D9" w:themeFill="background1" w:themeFillShade="D9"/>
            <w:noWrap/>
            <w:vAlign w:val="center"/>
            <w:hideMark/>
          </w:tcPr>
          <w:p w:rsidR="00BE0D1A" w:rsidRPr="00E95E93" w:rsidRDefault="00BE0D1A" w:rsidP="000F2AD8">
            <w:pPr>
              <w:spacing w:after="0" w:line="240" w:lineRule="auto"/>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British Columbia</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BE0D1A" w:rsidRPr="00E95E93" w:rsidRDefault="00BE0D1A" w:rsidP="0065038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r>
      <w:tr w:rsidR="00B61BF6" w:rsidRPr="00E95E93" w:rsidTr="00BE0D1A">
        <w:trPr>
          <w:trHeight w:val="300"/>
        </w:trPr>
        <w:tc>
          <w:tcPr>
            <w:tcW w:w="1652" w:type="dxa"/>
            <w:shd w:val="clear" w:color="auto" w:fill="D9D9D9" w:themeFill="background1" w:themeFillShade="D9"/>
            <w:noWrap/>
            <w:vAlign w:val="center"/>
            <w:hideMark/>
          </w:tcPr>
          <w:p w:rsidR="00BE0D1A" w:rsidRPr="00E95E93" w:rsidRDefault="00BE0D1A" w:rsidP="000F2AD8">
            <w:pPr>
              <w:spacing w:after="0" w:line="240" w:lineRule="auto"/>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Yukon Territory</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BE0D1A" w:rsidRPr="00E95E93" w:rsidRDefault="00BE0D1A" w:rsidP="0065038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r>
      <w:tr w:rsidR="00B61BF6" w:rsidRPr="00E95E93" w:rsidTr="00BE0D1A">
        <w:trPr>
          <w:trHeight w:val="300"/>
        </w:trPr>
        <w:tc>
          <w:tcPr>
            <w:tcW w:w="1652" w:type="dxa"/>
            <w:shd w:val="clear" w:color="auto" w:fill="D9D9D9" w:themeFill="background1" w:themeFillShade="D9"/>
            <w:noWrap/>
            <w:vAlign w:val="center"/>
            <w:hideMark/>
          </w:tcPr>
          <w:p w:rsidR="00BE0D1A" w:rsidRPr="00E95E93" w:rsidRDefault="00BE0D1A" w:rsidP="000F2AD8">
            <w:pPr>
              <w:spacing w:after="0" w:line="240" w:lineRule="auto"/>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Northwest Territory</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BE0D1A" w:rsidRPr="00E95E93" w:rsidRDefault="00BE0D1A" w:rsidP="0065038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r>
      <w:tr w:rsidR="00B61BF6" w:rsidRPr="00E95E93" w:rsidTr="00BE0D1A">
        <w:trPr>
          <w:trHeight w:val="300"/>
        </w:trPr>
        <w:tc>
          <w:tcPr>
            <w:tcW w:w="1652" w:type="dxa"/>
            <w:shd w:val="clear" w:color="auto" w:fill="D9D9D9" w:themeFill="background1" w:themeFillShade="D9"/>
            <w:noWrap/>
            <w:vAlign w:val="center"/>
            <w:hideMark/>
          </w:tcPr>
          <w:p w:rsidR="00BE0D1A" w:rsidRPr="00E95E93" w:rsidRDefault="00BE0D1A" w:rsidP="000F2AD8">
            <w:pPr>
              <w:spacing w:after="0" w:line="240" w:lineRule="auto"/>
              <w:rPr>
                <w:rFonts w:ascii="Calibri" w:eastAsia="Times New Roman" w:hAnsi="Calibri" w:cs="Calibri"/>
                <w:sz w:val="16"/>
                <w:szCs w:val="20"/>
                <w:lang w:eastAsia="en-CA"/>
              </w:rPr>
            </w:pPr>
            <w:r w:rsidRPr="00E95E93">
              <w:rPr>
                <w:rFonts w:ascii="Calibri" w:eastAsia="Times New Roman" w:hAnsi="Calibri" w:cs="Calibri"/>
                <w:sz w:val="16"/>
                <w:szCs w:val="20"/>
                <w:lang w:eastAsia="en-CA"/>
              </w:rPr>
              <w:lastRenderedPageBreak/>
              <w:t>Nunavut</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D9D9D9" w:themeFill="background1" w:themeFillShade="D9"/>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BE0D1A" w:rsidRPr="00E95E93" w:rsidRDefault="00BE0D1A" w:rsidP="00650388">
            <w:pPr>
              <w:spacing w:after="0" w:line="240" w:lineRule="auto"/>
              <w:jc w:val="center"/>
              <w:rPr>
                <w:rFonts w:ascii="Calibri" w:eastAsia="Times New Roman" w:hAnsi="Calibri" w:cs="Calibri"/>
                <w:sz w:val="16"/>
                <w:szCs w:val="20"/>
                <w:lang w:eastAsia="en-CA"/>
              </w:rPr>
            </w:pPr>
            <w:r w:rsidRPr="00E95E93">
              <w:rPr>
                <w:rFonts w:ascii="Calibri" w:eastAsia="Times New Roman" w:hAnsi="Calibri" w:cs="Calibri"/>
                <w:sz w:val="16"/>
                <w:szCs w:val="20"/>
                <w:lang w:eastAsia="en-CA"/>
              </w:rPr>
              <w:t>0</w:t>
            </w: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c>
          <w:tcPr>
            <w:tcW w:w="458" w:type="dxa"/>
            <w:shd w:val="clear" w:color="auto" w:fill="auto"/>
            <w:noWrap/>
            <w:vAlign w:val="center"/>
            <w:hideMark/>
          </w:tcPr>
          <w:p w:rsidR="00BE0D1A" w:rsidRPr="00E95E93" w:rsidRDefault="00BE0D1A" w:rsidP="000F2AD8">
            <w:pPr>
              <w:spacing w:after="0" w:line="240" w:lineRule="auto"/>
              <w:jc w:val="center"/>
              <w:rPr>
                <w:rFonts w:ascii="Calibri" w:eastAsia="Times New Roman" w:hAnsi="Calibri" w:cs="Calibri"/>
                <w:sz w:val="16"/>
                <w:szCs w:val="20"/>
                <w:lang w:eastAsia="en-CA"/>
              </w:rPr>
            </w:pPr>
          </w:p>
        </w:tc>
      </w:tr>
    </w:tbl>
    <w:p w:rsidR="00623A43" w:rsidRPr="00E95E93" w:rsidRDefault="00F87595" w:rsidP="00136439">
      <w:pPr>
        <w:jc w:val="center"/>
      </w:pPr>
      <w:r w:rsidRPr="00E95E93">
        <w:br w:type="page"/>
      </w:r>
      <w:r w:rsidR="00B53DDB" w:rsidRPr="00E95E93">
        <w:lastRenderedPageBreak/>
        <w:t>Table 2</w:t>
      </w:r>
    </w:p>
    <w:p w:rsidR="009C172D" w:rsidRPr="00E95E93" w:rsidRDefault="009C172D" w:rsidP="009C172D">
      <w:pPr>
        <w:spacing w:after="0" w:line="240" w:lineRule="auto"/>
        <w:jc w:val="center"/>
        <w:rPr>
          <w:b/>
          <w:sz w:val="20"/>
        </w:rPr>
      </w:pPr>
      <w:r w:rsidRPr="00E95E93">
        <w:rPr>
          <w:b/>
          <w:sz w:val="20"/>
        </w:rPr>
        <w:t xml:space="preserve">West Nile virus human clinical cases and asymptomatic infections </w:t>
      </w:r>
      <w:r w:rsidR="00CF5B5D" w:rsidRPr="00E95E93">
        <w:rPr>
          <w:b/>
          <w:sz w:val="20"/>
        </w:rPr>
        <w:t xml:space="preserve">by Province / Territory </w:t>
      </w:r>
      <w:r w:rsidRPr="00E95E93">
        <w:rPr>
          <w:b/>
          <w:sz w:val="20"/>
        </w:rPr>
        <w:t xml:space="preserve">for the current </w:t>
      </w:r>
      <w:r w:rsidR="004B098D" w:rsidRPr="00E95E93">
        <w:rPr>
          <w:b/>
          <w:sz w:val="20"/>
        </w:rPr>
        <w:t>R</w:t>
      </w:r>
      <w:r w:rsidRPr="00E95E93">
        <w:rPr>
          <w:b/>
          <w:sz w:val="20"/>
        </w:rPr>
        <w:t xml:space="preserve">eport </w:t>
      </w:r>
      <w:r w:rsidR="004B098D" w:rsidRPr="00E95E93">
        <w:rPr>
          <w:b/>
          <w:sz w:val="20"/>
        </w:rPr>
        <w:t>W</w:t>
      </w:r>
      <w:r w:rsidRPr="00E95E93">
        <w:rPr>
          <w:b/>
          <w:sz w:val="20"/>
        </w:rPr>
        <w:t>eek</w:t>
      </w:r>
      <w:r w:rsidR="00B17B61" w:rsidRPr="00E95E93">
        <w:rPr>
          <w:b/>
          <w:sz w:val="20"/>
        </w:rPr>
        <w:t xml:space="preserve"> and year to date</w:t>
      </w:r>
      <w:r w:rsidRPr="00E95E93">
        <w:rPr>
          <w:b/>
          <w:sz w:val="20"/>
        </w:rPr>
        <w:t>, 2012 Season</w:t>
      </w:r>
    </w:p>
    <w:p w:rsidR="00C53E96" w:rsidRPr="00E95E93" w:rsidRDefault="00C53E96" w:rsidP="009C172D">
      <w:pPr>
        <w:spacing w:after="0" w:line="240" w:lineRule="auto"/>
        <w:jc w:val="center"/>
        <w:rPr>
          <w:b/>
          <w:sz w:val="20"/>
        </w:rPr>
      </w:pPr>
    </w:p>
    <w:tbl>
      <w:tblPr>
        <w:tblStyle w:val="TableGrid"/>
        <w:tblW w:w="9356" w:type="dxa"/>
        <w:jc w:val="center"/>
        <w:tblLook w:val="04A0"/>
      </w:tblPr>
      <w:tblGrid>
        <w:gridCol w:w="1759"/>
        <w:gridCol w:w="1408"/>
        <w:gridCol w:w="1596"/>
        <w:gridCol w:w="1050"/>
        <w:gridCol w:w="953"/>
        <w:gridCol w:w="990"/>
        <w:gridCol w:w="1600"/>
      </w:tblGrid>
      <w:tr w:rsidR="00B61BF6" w:rsidRPr="00E95E93" w:rsidTr="003E1211">
        <w:trPr>
          <w:jc w:val="center"/>
        </w:trPr>
        <w:tc>
          <w:tcPr>
            <w:tcW w:w="9356" w:type="dxa"/>
            <w:gridSpan w:val="7"/>
            <w:tcBorders>
              <w:bottom w:val="single" w:sz="4" w:space="0" w:color="auto"/>
            </w:tcBorders>
          </w:tcPr>
          <w:p w:rsidR="003E1211" w:rsidRPr="00E95E93" w:rsidRDefault="003E1211" w:rsidP="004D75C1">
            <w:pPr>
              <w:jc w:val="center"/>
              <w:rPr>
                <w:bCs/>
                <w:sz w:val="18"/>
              </w:rPr>
            </w:pPr>
            <w:r w:rsidRPr="00E95E93">
              <w:rPr>
                <w:bCs/>
                <w:sz w:val="18"/>
              </w:rPr>
              <w:t xml:space="preserve">September </w:t>
            </w:r>
            <w:r w:rsidR="004D75C1" w:rsidRPr="00E95E93">
              <w:rPr>
                <w:bCs/>
                <w:sz w:val="18"/>
              </w:rPr>
              <w:t>23</w:t>
            </w:r>
            <w:r w:rsidRPr="00E95E93">
              <w:rPr>
                <w:bCs/>
                <w:sz w:val="18"/>
              </w:rPr>
              <w:t xml:space="preserve"> to September </w:t>
            </w:r>
            <w:r w:rsidR="006F2110" w:rsidRPr="00E95E93">
              <w:rPr>
                <w:bCs/>
                <w:sz w:val="18"/>
              </w:rPr>
              <w:t>2</w:t>
            </w:r>
            <w:r w:rsidR="004D75C1" w:rsidRPr="00E95E93">
              <w:rPr>
                <w:bCs/>
                <w:sz w:val="18"/>
              </w:rPr>
              <w:t>9</w:t>
            </w:r>
            <w:r w:rsidRPr="00E95E93">
              <w:rPr>
                <w:bCs/>
                <w:sz w:val="18"/>
              </w:rPr>
              <w:t>, 2012 (Week 3</w:t>
            </w:r>
            <w:r w:rsidR="004D75C1" w:rsidRPr="00E95E93">
              <w:rPr>
                <w:bCs/>
                <w:sz w:val="18"/>
              </w:rPr>
              <w:t>9</w:t>
            </w:r>
            <w:r w:rsidRPr="00E95E93">
              <w:rPr>
                <w:bCs/>
                <w:sz w:val="18"/>
              </w:rPr>
              <w:t>)</w:t>
            </w:r>
          </w:p>
        </w:tc>
      </w:tr>
      <w:tr w:rsidR="00B61BF6" w:rsidRPr="00E95E93" w:rsidTr="003E1211">
        <w:trPr>
          <w:jc w:val="center"/>
        </w:trPr>
        <w:tc>
          <w:tcPr>
            <w:tcW w:w="1759" w:type="dxa"/>
            <w:tcBorders>
              <w:top w:val="single" w:sz="4" w:space="0" w:color="auto"/>
              <w:bottom w:val="nil"/>
            </w:tcBorders>
          </w:tcPr>
          <w:p w:rsidR="004315FC" w:rsidRPr="00E95E93" w:rsidRDefault="004315FC" w:rsidP="00623A43">
            <w:pPr>
              <w:jc w:val="center"/>
              <w:rPr>
                <w:sz w:val="16"/>
                <w:szCs w:val="16"/>
              </w:rPr>
            </w:pPr>
          </w:p>
        </w:tc>
        <w:tc>
          <w:tcPr>
            <w:tcW w:w="1408" w:type="dxa"/>
            <w:tcBorders>
              <w:top w:val="single" w:sz="4" w:space="0" w:color="auto"/>
            </w:tcBorders>
          </w:tcPr>
          <w:p w:rsidR="004315FC" w:rsidRPr="00E95E93" w:rsidRDefault="004315FC" w:rsidP="00623A43">
            <w:pPr>
              <w:jc w:val="center"/>
              <w:rPr>
                <w:sz w:val="16"/>
                <w:szCs w:val="16"/>
              </w:rPr>
            </w:pPr>
            <w:r w:rsidRPr="00E95E93">
              <w:rPr>
                <w:sz w:val="16"/>
                <w:szCs w:val="16"/>
              </w:rPr>
              <w:t>West Nile virus Neurological syndrome</w:t>
            </w:r>
          </w:p>
        </w:tc>
        <w:tc>
          <w:tcPr>
            <w:tcW w:w="1596" w:type="dxa"/>
            <w:tcBorders>
              <w:top w:val="single" w:sz="4" w:space="0" w:color="auto"/>
            </w:tcBorders>
          </w:tcPr>
          <w:p w:rsidR="004315FC" w:rsidRPr="00E95E93" w:rsidRDefault="004315FC" w:rsidP="00623A43">
            <w:pPr>
              <w:jc w:val="center"/>
              <w:rPr>
                <w:sz w:val="16"/>
                <w:szCs w:val="16"/>
              </w:rPr>
            </w:pPr>
            <w:r w:rsidRPr="00E95E93">
              <w:rPr>
                <w:sz w:val="16"/>
                <w:szCs w:val="16"/>
              </w:rPr>
              <w:t xml:space="preserve">West Nile virus </w:t>
            </w:r>
          </w:p>
          <w:p w:rsidR="004315FC" w:rsidRPr="00E95E93" w:rsidRDefault="004315FC" w:rsidP="00623A43">
            <w:pPr>
              <w:jc w:val="center"/>
              <w:rPr>
                <w:sz w:val="16"/>
                <w:szCs w:val="16"/>
              </w:rPr>
            </w:pPr>
            <w:r w:rsidRPr="00E95E93">
              <w:rPr>
                <w:sz w:val="16"/>
                <w:szCs w:val="16"/>
              </w:rPr>
              <w:t>Non-Neurological syndrome</w:t>
            </w:r>
          </w:p>
        </w:tc>
        <w:tc>
          <w:tcPr>
            <w:tcW w:w="1050" w:type="dxa"/>
            <w:vMerge w:val="restart"/>
            <w:tcBorders>
              <w:top w:val="single" w:sz="4" w:space="0" w:color="auto"/>
            </w:tcBorders>
            <w:vAlign w:val="center"/>
          </w:tcPr>
          <w:p w:rsidR="004315FC" w:rsidRPr="00E95E93" w:rsidRDefault="004315FC" w:rsidP="00623A43">
            <w:pPr>
              <w:jc w:val="center"/>
              <w:rPr>
                <w:sz w:val="16"/>
                <w:szCs w:val="16"/>
              </w:rPr>
            </w:pPr>
            <w:r w:rsidRPr="00E95E93">
              <w:rPr>
                <w:sz w:val="16"/>
                <w:szCs w:val="16"/>
              </w:rPr>
              <w:t>Unclassified /</w:t>
            </w:r>
          </w:p>
          <w:p w:rsidR="004315FC" w:rsidRPr="00E95E93" w:rsidRDefault="004315FC" w:rsidP="00623A43">
            <w:pPr>
              <w:jc w:val="center"/>
              <w:rPr>
                <w:sz w:val="16"/>
                <w:szCs w:val="16"/>
              </w:rPr>
            </w:pPr>
            <w:r w:rsidRPr="00E95E93">
              <w:rPr>
                <w:sz w:val="16"/>
                <w:szCs w:val="16"/>
              </w:rPr>
              <w:t xml:space="preserve"> Unspecified</w:t>
            </w:r>
          </w:p>
        </w:tc>
        <w:tc>
          <w:tcPr>
            <w:tcW w:w="953" w:type="dxa"/>
            <w:vMerge w:val="restart"/>
            <w:tcBorders>
              <w:top w:val="single" w:sz="4" w:space="0" w:color="auto"/>
            </w:tcBorders>
            <w:vAlign w:val="center"/>
          </w:tcPr>
          <w:p w:rsidR="004315FC" w:rsidRPr="00E95E93" w:rsidRDefault="004315FC" w:rsidP="00623A43">
            <w:pPr>
              <w:jc w:val="center"/>
              <w:rPr>
                <w:sz w:val="16"/>
                <w:szCs w:val="16"/>
              </w:rPr>
            </w:pPr>
            <w:r w:rsidRPr="00E95E93">
              <w:rPr>
                <w:sz w:val="16"/>
                <w:szCs w:val="16"/>
              </w:rPr>
              <w:t xml:space="preserve">Total clinical </w:t>
            </w:r>
          </w:p>
          <w:p w:rsidR="004315FC" w:rsidRPr="00E95E93" w:rsidRDefault="004315FC" w:rsidP="00623A43">
            <w:pPr>
              <w:jc w:val="center"/>
              <w:rPr>
                <w:sz w:val="16"/>
                <w:szCs w:val="16"/>
              </w:rPr>
            </w:pPr>
            <w:r w:rsidRPr="00E95E93">
              <w:rPr>
                <w:sz w:val="16"/>
                <w:szCs w:val="16"/>
              </w:rPr>
              <w:t>cases</w:t>
            </w:r>
            <w:r w:rsidRPr="00E95E93">
              <w:rPr>
                <w:sz w:val="16"/>
                <w:szCs w:val="16"/>
                <w:vertAlign w:val="superscript"/>
              </w:rPr>
              <w:t>1</w:t>
            </w:r>
          </w:p>
        </w:tc>
        <w:tc>
          <w:tcPr>
            <w:tcW w:w="990" w:type="dxa"/>
            <w:vMerge w:val="restart"/>
            <w:tcBorders>
              <w:top w:val="single" w:sz="4" w:space="0" w:color="auto"/>
            </w:tcBorders>
            <w:vAlign w:val="center"/>
          </w:tcPr>
          <w:p w:rsidR="004315FC" w:rsidRPr="00E95E93" w:rsidRDefault="004315FC" w:rsidP="00623A43">
            <w:pPr>
              <w:jc w:val="center"/>
              <w:rPr>
                <w:sz w:val="16"/>
                <w:szCs w:val="16"/>
              </w:rPr>
            </w:pPr>
            <w:r w:rsidRPr="00E95E93">
              <w:rPr>
                <w:sz w:val="16"/>
                <w:szCs w:val="16"/>
              </w:rPr>
              <w:t xml:space="preserve"># of travel </w:t>
            </w:r>
          </w:p>
          <w:p w:rsidR="004315FC" w:rsidRPr="00E95E93" w:rsidRDefault="004315FC" w:rsidP="00623A43">
            <w:pPr>
              <w:jc w:val="center"/>
              <w:rPr>
                <w:sz w:val="16"/>
                <w:szCs w:val="16"/>
              </w:rPr>
            </w:pPr>
            <w:r w:rsidRPr="00E95E93">
              <w:rPr>
                <w:sz w:val="16"/>
                <w:szCs w:val="16"/>
              </w:rPr>
              <w:t>related cases</w:t>
            </w:r>
            <w:r w:rsidRPr="00E95E93">
              <w:rPr>
                <w:sz w:val="16"/>
                <w:szCs w:val="16"/>
                <w:vertAlign w:val="superscript"/>
              </w:rPr>
              <w:t>2</w:t>
            </w:r>
          </w:p>
        </w:tc>
        <w:tc>
          <w:tcPr>
            <w:tcW w:w="1600" w:type="dxa"/>
            <w:vMerge w:val="restart"/>
            <w:tcBorders>
              <w:top w:val="single" w:sz="4" w:space="0" w:color="auto"/>
            </w:tcBorders>
            <w:vAlign w:val="center"/>
          </w:tcPr>
          <w:p w:rsidR="004315FC" w:rsidRPr="00E95E93" w:rsidRDefault="004315FC" w:rsidP="00623A43">
            <w:pPr>
              <w:jc w:val="center"/>
              <w:rPr>
                <w:sz w:val="16"/>
                <w:szCs w:val="16"/>
              </w:rPr>
            </w:pPr>
            <w:r w:rsidRPr="00E95E93">
              <w:rPr>
                <w:sz w:val="16"/>
                <w:szCs w:val="16"/>
              </w:rPr>
              <w:t xml:space="preserve">West Nile virus </w:t>
            </w:r>
          </w:p>
          <w:p w:rsidR="004315FC" w:rsidRPr="00E95E93" w:rsidRDefault="004315FC" w:rsidP="00623A43">
            <w:pPr>
              <w:jc w:val="center"/>
              <w:rPr>
                <w:sz w:val="16"/>
                <w:szCs w:val="16"/>
              </w:rPr>
            </w:pPr>
            <w:r w:rsidRPr="00E95E93">
              <w:rPr>
                <w:sz w:val="16"/>
                <w:szCs w:val="16"/>
              </w:rPr>
              <w:t>asymptomatic infections</w:t>
            </w:r>
            <w:r w:rsidRPr="00E95E93">
              <w:rPr>
                <w:sz w:val="16"/>
                <w:szCs w:val="16"/>
                <w:vertAlign w:val="superscript"/>
              </w:rPr>
              <w:t>3</w:t>
            </w:r>
          </w:p>
        </w:tc>
      </w:tr>
      <w:tr w:rsidR="00B61BF6" w:rsidRPr="00E95E93" w:rsidTr="007064AF">
        <w:trPr>
          <w:jc w:val="center"/>
        </w:trPr>
        <w:tc>
          <w:tcPr>
            <w:tcW w:w="1759" w:type="dxa"/>
            <w:tcBorders>
              <w:top w:val="nil"/>
            </w:tcBorders>
          </w:tcPr>
          <w:p w:rsidR="004315FC" w:rsidRPr="00E95E93" w:rsidRDefault="004315FC" w:rsidP="00623A43">
            <w:pPr>
              <w:jc w:val="center"/>
              <w:rPr>
                <w:sz w:val="16"/>
                <w:szCs w:val="16"/>
              </w:rPr>
            </w:pPr>
          </w:p>
        </w:tc>
        <w:tc>
          <w:tcPr>
            <w:tcW w:w="1408" w:type="dxa"/>
          </w:tcPr>
          <w:p w:rsidR="004315FC" w:rsidRPr="00E95E93" w:rsidRDefault="004315FC" w:rsidP="00623A43">
            <w:pPr>
              <w:jc w:val="center"/>
              <w:rPr>
                <w:sz w:val="16"/>
                <w:szCs w:val="16"/>
              </w:rPr>
            </w:pPr>
            <w:r w:rsidRPr="00E95E93">
              <w:rPr>
                <w:sz w:val="16"/>
                <w:szCs w:val="16"/>
              </w:rPr>
              <w:t># cases</w:t>
            </w:r>
          </w:p>
        </w:tc>
        <w:tc>
          <w:tcPr>
            <w:tcW w:w="1596" w:type="dxa"/>
          </w:tcPr>
          <w:p w:rsidR="004315FC" w:rsidRPr="00E95E93" w:rsidRDefault="004315FC" w:rsidP="00623A43">
            <w:pPr>
              <w:jc w:val="center"/>
              <w:rPr>
                <w:sz w:val="16"/>
                <w:szCs w:val="16"/>
              </w:rPr>
            </w:pPr>
            <w:r w:rsidRPr="00E95E93">
              <w:rPr>
                <w:sz w:val="16"/>
                <w:szCs w:val="16"/>
              </w:rPr>
              <w:t># cases</w:t>
            </w:r>
          </w:p>
        </w:tc>
        <w:tc>
          <w:tcPr>
            <w:tcW w:w="1050" w:type="dxa"/>
            <w:vMerge/>
          </w:tcPr>
          <w:p w:rsidR="004315FC" w:rsidRPr="00E95E93" w:rsidRDefault="004315FC" w:rsidP="00623A43">
            <w:pPr>
              <w:rPr>
                <w:sz w:val="16"/>
                <w:szCs w:val="16"/>
              </w:rPr>
            </w:pPr>
          </w:p>
        </w:tc>
        <w:tc>
          <w:tcPr>
            <w:tcW w:w="953" w:type="dxa"/>
            <w:vMerge/>
          </w:tcPr>
          <w:p w:rsidR="004315FC" w:rsidRPr="00E95E93" w:rsidRDefault="004315FC" w:rsidP="00623A43">
            <w:pPr>
              <w:rPr>
                <w:sz w:val="16"/>
                <w:szCs w:val="16"/>
                <w:vertAlign w:val="superscript"/>
              </w:rPr>
            </w:pPr>
          </w:p>
        </w:tc>
        <w:tc>
          <w:tcPr>
            <w:tcW w:w="990" w:type="dxa"/>
            <w:vMerge/>
          </w:tcPr>
          <w:p w:rsidR="004315FC" w:rsidRPr="00E95E93" w:rsidRDefault="004315FC" w:rsidP="00623A43">
            <w:pPr>
              <w:rPr>
                <w:sz w:val="16"/>
                <w:szCs w:val="16"/>
                <w:vertAlign w:val="superscript"/>
              </w:rPr>
            </w:pPr>
          </w:p>
        </w:tc>
        <w:tc>
          <w:tcPr>
            <w:tcW w:w="1600" w:type="dxa"/>
            <w:vMerge/>
          </w:tcPr>
          <w:p w:rsidR="004315FC" w:rsidRPr="00E95E93" w:rsidRDefault="004315FC" w:rsidP="00623A43">
            <w:pPr>
              <w:rPr>
                <w:sz w:val="16"/>
                <w:szCs w:val="16"/>
                <w:vertAlign w:val="superscript"/>
              </w:rPr>
            </w:pPr>
          </w:p>
        </w:tc>
      </w:tr>
      <w:tr w:rsidR="00B61BF6" w:rsidRPr="00E95E93" w:rsidTr="004315FC">
        <w:trPr>
          <w:jc w:val="center"/>
        </w:trPr>
        <w:tc>
          <w:tcPr>
            <w:tcW w:w="1759" w:type="dxa"/>
            <w:shd w:val="clear" w:color="auto" w:fill="D9D9D9" w:themeFill="background1" w:themeFillShade="D9"/>
            <w:vAlign w:val="center"/>
          </w:tcPr>
          <w:p w:rsidR="004315FC" w:rsidRPr="00E95E93" w:rsidRDefault="004315FC"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Newfoundland</w:t>
            </w:r>
          </w:p>
        </w:tc>
        <w:tc>
          <w:tcPr>
            <w:tcW w:w="1408"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99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r>
      <w:tr w:rsidR="00B61BF6" w:rsidRPr="00E95E93" w:rsidTr="00005CFE">
        <w:trPr>
          <w:jc w:val="center"/>
        </w:trPr>
        <w:tc>
          <w:tcPr>
            <w:tcW w:w="1759" w:type="dxa"/>
            <w:shd w:val="clear" w:color="auto" w:fill="auto"/>
            <w:vAlign w:val="center"/>
          </w:tcPr>
          <w:p w:rsidR="004315FC" w:rsidRPr="00E95E93" w:rsidRDefault="004315FC"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Prince Edward Island</w:t>
            </w:r>
          </w:p>
        </w:tc>
        <w:tc>
          <w:tcPr>
            <w:tcW w:w="1408" w:type="dxa"/>
            <w:shd w:val="clear" w:color="auto" w:fill="auto"/>
            <w:vAlign w:val="center"/>
          </w:tcPr>
          <w:p w:rsidR="004315FC" w:rsidRPr="00E95E93" w:rsidRDefault="00005CFE" w:rsidP="000C7045">
            <w:pPr>
              <w:jc w:val="center"/>
              <w:rPr>
                <w:rFonts w:ascii="Calibri" w:hAnsi="Calibri" w:cs="Calibri"/>
                <w:sz w:val="16"/>
                <w:szCs w:val="16"/>
              </w:rPr>
            </w:pPr>
            <w:r w:rsidRPr="00E95E93">
              <w:rPr>
                <w:rFonts w:ascii="Calibri" w:hAnsi="Calibri" w:cs="Calibri"/>
                <w:sz w:val="16"/>
                <w:szCs w:val="16"/>
              </w:rPr>
              <w:t>1</w:t>
            </w:r>
          </w:p>
        </w:tc>
        <w:tc>
          <w:tcPr>
            <w:tcW w:w="1596" w:type="dxa"/>
            <w:shd w:val="clear" w:color="auto" w:fill="auto"/>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auto"/>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auto"/>
            <w:vAlign w:val="center"/>
          </w:tcPr>
          <w:p w:rsidR="004315FC" w:rsidRPr="00E95E93" w:rsidRDefault="00005CFE" w:rsidP="000C7045">
            <w:pPr>
              <w:jc w:val="center"/>
              <w:rPr>
                <w:rFonts w:ascii="Calibri" w:hAnsi="Calibri" w:cs="Calibri"/>
                <w:sz w:val="16"/>
                <w:szCs w:val="16"/>
              </w:rPr>
            </w:pPr>
            <w:r w:rsidRPr="00E95E93">
              <w:rPr>
                <w:rFonts w:ascii="Calibri" w:hAnsi="Calibri" w:cs="Calibri"/>
                <w:sz w:val="16"/>
                <w:szCs w:val="16"/>
              </w:rPr>
              <w:t>1</w:t>
            </w:r>
          </w:p>
        </w:tc>
        <w:tc>
          <w:tcPr>
            <w:tcW w:w="990" w:type="dxa"/>
            <w:shd w:val="clear" w:color="auto" w:fill="auto"/>
            <w:vAlign w:val="center"/>
          </w:tcPr>
          <w:p w:rsidR="004315FC" w:rsidRPr="00E95E93" w:rsidRDefault="00005CFE" w:rsidP="000C7045">
            <w:pPr>
              <w:jc w:val="center"/>
              <w:rPr>
                <w:rFonts w:ascii="Calibri" w:hAnsi="Calibri" w:cs="Calibri"/>
                <w:sz w:val="16"/>
                <w:szCs w:val="16"/>
              </w:rPr>
            </w:pPr>
            <w:r w:rsidRPr="00E95E93">
              <w:rPr>
                <w:rFonts w:ascii="Calibri" w:hAnsi="Calibri" w:cs="Calibri"/>
                <w:sz w:val="16"/>
                <w:szCs w:val="16"/>
              </w:rPr>
              <w:t>1</w:t>
            </w:r>
          </w:p>
        </w:tc>
        <w:tc>
          <w:tcPr>
            <w:tcW w:w="1600" w:type="dxa"/>
            <w:shd w:val="clear" w:color="auto" w:fill="auto"/>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shd w:val="clear" w:color="auto" w:fill="D9D9D9" w:themeFill="background1" w:themeFillShade="D9"/>
            <w:vAlign w:val="center"/>
          </w:tcPr>
          <w:p w:rsidR="004315FC" w:rsidRPr="00E95E93" w:rsidRDefault="004315FC"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Nova Scotia</w:t>
            </w:r>
          </w:p>
        </w:tc>
        <w:tc>
          <w:tcPr>
            <w:tcW w:w="1408"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99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shd w:val="clear" w:color="auto" w:fill="D9D9D9" w:themeFill="background1" w:themeFillShade="D9"/>
            <w:vAlign w:val="center"/>
          </w:tcPr>
          <w:p w:rsidR="004315FC" w:rsidRPr="00E95E93" w:rsidRDefault="004315FC"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New Brunswick</w:t>
            </w:r>
          </w:p>
        </w:tc>
        <w:tc>
          <w:tcPr>
            <w:tcW w:w="1408"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99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shd w:val="clear" w:color="auto" w:fill="auto"/>
            <w:vAlign w:val="center"/>
          </w:tcPr>
          <w:p w:rsidR="004315FC" w:rsidRPr="00E95E93" w:rsidRDefault="004315FC"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Quebec</w:t>
            </w:r>
          </w:p>
        </w:tc>
        <w:tc>
          <w:tcPr>
            <w:tcW w:w="1408" w:type="dxa"/>
            <w:shd w:val="clear" w:color="auto" w:fill="auto"/>
            <w:vAlign w:val="bottom"/>
          </w:tcPr>
          <w:p w:rsidR="004315FC" w:rsidRPr="00E95E93" w:rsidRDefault="00005CFE">
            <w:pPr>
              <w:jc w:val="center"/>
              <w:rPr>
                <w:rFonts w:ascii="Calibri" w:hAnsi="Calibri" w:cs="Calibri"/>
                <w:sz w:val="16"/>
                <w:szCs w:val="16"/>
              </w:rPr>
            </w:pPr>
            <w:r w:rsidRPr="00E95E93">
              <w:rPr>
                <w:rFonts w:ascii="Calibri" w:hAnsi="Calibri" w:cs="Calibri"/>
                <w:sz w:val="16"/>
                <w:szCs w:val="16"/>
              </w:rPr>
              <w:t>5</w:t>
            </w:r>
          </w:p>
        </w:tc>
        <w:tc>
          <w:tcPr>
            <w:tcW w:w="1596" w:type="dxa"/>
            <w:shd w:val="clear" w:color="auto" w:fill="auto"/>
            <w:vAlign w:val="bottom"/>
          </w:tcPr>
          <w:p w:rsidR="004315FC" w:rsidRPr="00E95E93" w:rsidRDefault="00005CFE">
            <w:pPr>
              <w:jc w:val="center"/>
              <w:rPr>
                <w:rFonts w:ascii="Calibri" w:hAnsi="Calibri" w:cs="Calibri"/>
                <w:sz w:val="16"/>
                <w:szCs w:val="16"/>
              </w:rPr>
            </w:pPr>
            <w:r w:rsidRPr="00E95E93">
              <w:rPr>
                <w:rFonts w:ascii="Calibri" w:hAnsi="Calibri" w:cs="Calibri"/>
                <w:sz w:val="16"/>
                <w:szCs w:val="16"/>
              </w:rPr>
              <w:t>2</w:t>
            </w:r>
          </w:p>
        </w:tc>
        <w:tc>
          <w:tcPr>
            <w:tcW w:w="1050" w:type="dxa"/>
            <w:shd w:val="clear" w:color="auto" w:fill="auto"/>
            <w:vAlign w:val="bottom"/>
          </w:tcPr>
          <w:p w:rsidR="004315FC" w:rsidRPr="00E95E93" w:rsidRDefault="00005CFE">
            <w:pPr>
              <w:jc w:val="center"/>
              <w:rPr>
                <w:rFonts w:ascii="Calibri" w:hAnsi="Calibri" w:cs="Calibri"/>
                <w:sz w:val="16"/>
                <w:szCs w:val="16"/>
              </w:rPr>
            </w:pPr>
            <w:r w:rsidRPr="00E95E93">
              <w:rPr>
                <w:rFonts w:ascii="Calibri" w:hAnsi="Calibri" w:cs="Calibri"/>
                <w:sz w:val="16"/>
                <w:szCs w:val="16"/>
              </w:rPr>
              <w:t>19</w:t>
            </w:r>
          </w:p>
        </w:tc>
        <w:tc>
          <w:tcPr>
            <w:tcW w:w="953" w:type="dxa"/>
            <w:shd w:val="clear" w:color="auto" w:fill="auto"/>
            <w:vAlign w:val="bottom"/>
          </w:tcPr>
          <w:p w:rsidR="004315FC" w:rsidRPr="00E95E93" w:rsidRDefault="00005CFE">
            <w:pPr>
              <w:jc w:val="center"/>
              <w:rPr>
                <w:rFonts w:ascii="Calibri" w:hAnsi="Calibri" w:cs="Calibri"/>
                <w:sz w:val="16"/>
                <w:szCs w:val="16"/>
              </w:rPr>
            </w:pPr>
            <w:r w:rsidRPr="00E95E93">
              <w:rPr>
                <w:rFonts w:ascii="Calibri" w:hAnsi="Calibri" w:cs="Calibri"/>
                <w:sz w:val="16"/>
                <w:szCs w:val="16"/>
              </w:rPr>
              <w:t>26</w:t>
            </w:r>
          </w:p>
        </w:tc>
        <w:tc>
          <w:tcPr>
            <w:tcW w:w="990" w:type="dxa"/>
            <w:shd w:val="clear" w:color="auto" w:fill="auto"/>
            <w:vAlign w:val="bottom"/>
          </w:tcPr>
          <w:p w:rsidR="004315FC" w:rsidRPr="00E95E93" w:rsidRDefault="00005CFE" w:rsidP="00AC7282">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auto"/>
            <w:vAlign w:val="bottom"/>
          </w:tcPr>
          <w:p w:rsidR="004315FC" w:rsidRPr="00E95E93" w:rsidRDefault="00650388" w:rsidP="00AC7282">
            <w:pPr>
              <w:jc w:val="center"/>
              <w:rPr>
                <w:rFonts w:ascii="Calibri" w:hAnsi="Calibri" w:cs="Calibri"/>
                <w:sz w:val="16"/>
                <w:szCs w:val="16"/>
              </w:rPr>
            </w:pPr>
            <w:r w:rsidRPr="00E95E93">
              <w:rPr>
                <w:rFonts w:ascii="Calibri" w:hAnsi="Calibri" w:cs="Calibri"/>
                <w:sz w:val="16"/>
                <w:szCs w:val="16"/>
              </w:rPr>
              <w:t>1</w:t>
            </w:r>
          </w:p>
        </w:tc>
      </w:tr>
      <w:tr w:rsidR="00B61BF6" w:rsidRPr="00E95E93" w:rsidTr="004315FC">
        <w:trPr>
          <w:jc w:val="center"/>
        </w:trPr>
        <w:tc>
          <w:tcPr>
            <w:tcW w:w="1759" w:type="dxa"/>
            <w:shd w:val="clear" w:color="auto" w:fill="auto"/>
            <w:vAlign w:val="center"/>
          </w:tcPr>
          <w:p w:rsidR="004315FC" w:rsidRPr="00E95E93" w:rsidRDefault="004315FC"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Ontario</w:t>
            </w:r>
          </w:p>
        </w:tc>
        <w:tc>
          <w:tcPr>
            <w:tcW w:w="1408" w:type="dxa"/>
            <w:shd w:val="clear" w:color="auto" w:fill="auto"/>
            <w:vAlign w:val="center"/>
          </w:tcPr>
          <w:p w:rsidR="004315FC" w:rsidRPr="00E95E93" w:rsidRDefault="00005CFE">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auto"/>
            <w:vAlign w:val="center"/>
          </w:tcPr>
          <w:p w:rsidR="004315FC" w:rsidRPr="00E95E93" w:rsidRDefault="00005CFE">
            <w:pPr>
              <w:jc w:val="center"/>
              <w:rPr>
                <w:rFonts w:ascii="Calibri" w:hAnsi="Calibri" w:cs="Calibri"/>
                <w:sz w:val="16"/>
                <w:szCs w:val="16"/>
              </w:rPr>
            </w:pPr>
            <w:r w:rsidRPr="00E95E93">
              <w:rPr>
                <w:rFonts w:ascii="Calibri" w:hAnsi="Calibri" w:cs="Calibri"/>
                <w:sz w:val="16"/>
                <w:szCs w:val="16"/>
              </w:rPr>
              <w:t>1</w:t>
            </w:r>
          </w:p>
        </w:tc>
        <w:tc>
          <w:tcPr>
            <w:tcW w:w="1050" w:type="dxa"/>
            <w:shd w:val="clear" w:color="auto" w:fill="auto"/>
            <w:vAlign w:val="center"/>
          </w:tcPr>
          <w:p w:rsidR="004315FC" w:rsidRPr="00E95E93" w:rsidRDefault="00005CFE">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auto"/>
            <w:vAlign w:val="center"/>
          </w:tcPr>
          <w:p w:rsidR="004315FC" w:rsidRPr="00E95E93" w:rsidRDefault="00005CFE">
            <w:pPr>
              <w:jc w:val="center"/>
              <w:rPr>
                <w:rFonts w:ascii="Calibri" w:hAnsi="Calibri" w:cs="Calibri"/>
                <w:sz w:val="16"/>
                <w:szCs w:val="16"/>
              </w:rPr>
            </w:pPr>
            <w:r w:rsidRPr="00E95E93">
              <w:rPr>
                <w:rFonts w:ascii="Calibri" w:hAnsi="Calibri" w:cs="Calibri"/>
                <w:sz w:val="16"/>
                <w:szCs w:val="16"/>
              </w:rPr>
              <w:t>1</w:t>
            </w:r>
          </w:p>
        </w:tc>
        <w:tc>
          <w:tcPr>
            <w:tcW w:w="990" w:type="dxa"/>
            <w:shd w:val="clear" w:color="auto" w:fill="auto"/>
            <w:vAlign w:val="bottom"/>
          </w:tcPr>
          <w:p w:rsidR="004315FC" w:rsidRPr="00E95E93" w:rsidRDefault="00005CFE" w:rsidP="00AC7282">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auto"/>
            <w:vAlign w:val="bottom"/>
          </w:tcPr>
          <w:p w:rsidR="004315FC" w:rsidRPr="00E95E93" w:rsidRDefault="00005CFE" w:rsidP="00AC7282">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shd w:val="clear" w:color="auto" w:fill="auto"/>
            <w:vAlign w:val="center"/>
          </w:tcPr>
          <w:p w:rsidR="004315FC" w:rsidRPr="00E95E93" w:rsidRDefault="004315FC"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Manitoba</w:t>
            </w:r>
          </w:p>
        </w:tc>
        <w:tc>
          <w:tcPr>
            <w:tcW w:w="1408" w:type="dxa"/>
            <w:shd w:val="clear" w:color="auto" w:fill="auto"/>
            <w:vAlign w:val="bottom"/>
          </w:tcPr>
          <w:p w:rsidR="004315FC" w:rsidRPr="00E95E93" w:rsidRDefault="00005CFE" w:rsidP="006F259F">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auto"/>
            <w:vAlign w:val="bottom"/>
          </w:tcPr>
          <w:p w:rsidR="004315FC" w:rsidRPr="00E95E93" w:rsidRDefault="00005CFE" w:rsidP="006F259F">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auto"/>
            <w:vAlign w:val="bottom"/>
          </w:tcPr>
          <w:p w:rsidR="004315FC" w:rsidRPr="00E95E93" w:rsidRDefault="00005CFE" w:rsidP="006F259F">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auto"/>
            <w:vAlign w:val="bottom"/>
          </w:tcPr>
          <w:p w:rsidR="004315FC" w:rsidRPr="00E95E93" w:rsidRDefault="00005CFE" w:rsidP="006F259F">
            <w:pPr>
              <w:jc w:val="center"/>
              <w:rPr>
                <w:rFonts w:ascii="Calibri" w:hAnsi="Calibri" w:cs="Calibri"/>
                <w:sz w:val="16"/>
                <w:szCs w:val="16"/>
              </w:rPr>
            </w:pPr>
            <w:r w:rsidRPr="00E95E93">
              <w:rPr>
                <w:rFonts w:ascii="Calibri" w:hAnsi="Calibri" w:cs="Calibri"/>
                <w:sz w:val="16"/>
                <w:szCs w:val="16"/>
              </w:rPr>
              <w:t>0</w:t>
            </w:r>
          </w:p>
        </w:tc>
        <w:tc>
          <w:tcPr>
            <w:tcW w:w="990" w:type="dxa"/>
            <w:shd w:val="clear" w:color="auto" w:fill="auto"/>
            <w:vAlign w:val="bottom"/>
          </w:tcPr>
          <w:p w:rsidR="004315FC" w:rsidRPr="00E95E93" w:rsidRDefault="00005CFE" w:rsidP="006F259F">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auto"/>
            <w:vAlign w:val="bottom"/>
          </w:tcPr>
          <w:p w:rsidR="004315FC" w:rsidRPr="00E95E93" w:rsidRDefault="00005CFE" w:rsidP="006F259F">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shd w:val="clear" w:color="auto" w:fill="auto"/>
            <w:vAlign w:val="center"/>
          </w:tcPr>
          <w:p w:rsidR="003C248F" w:rsidRPr="00E95E93" w:rsidRDefault="003C248F"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Saskatchewan</w:t>
            </w:r>
          </w:p>
        </w:tc>
        <w:tc>
          <w:tcPr>
            <w:tcW w:w="1408" w:type="dxa"/>
            <w:shd w:val="clear" w:color="auto" w:fill="auto"/>
            <w:vAlign w:val="bottom"/>
          </w:tcPr>
          <w:p w:rsidR="003C248F" w:rsidRPr="00E95E93" w:rsidRDefault="00005CFE" w:rsidP="00865DD4">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auto"/>
            <w:vAlign w:val="bottom"/>
          </w:tcPr>
          <w:p w:rsidR="003C248F" w:rsidRPr="00E95E93" w:rsidRDefault="00005CFE" w:rsidP="00865DD4">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auto"/>
            <w:vAlign w:val="bottom"/>
          </w:tcPr>
          <w:p w:rsidR="003C248F" w:rsidRPr="00E95E93" w:rsidRDefault="00005CFE" w:rsidP="00865DD4">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auto"/>
            <w:vAlign w:val="bottom"/>
          </w:tcPr>
          <w:p w:rsidR="003C248F" w:rsidRPr="00E95E93" w:rsidRDefault="00005CFE" w:rsidP="00865DD4">
            <w:pPr>
              <w:jc w:val="center"/>
              <w:rPr>
                <w:rFonts w:ascii="Calibri" w:hAnsi="Calibri" w:cs="Calibri"/>
                <w:sz w:val="16"/>
                <w:szCs w:val="16"/>
              </w:rPr>
            </w:pPr>
            <w:r w:rsidRPr="00E95E93">
              <w:rPr>
                <w:rFonts w:ascii="Calibri" w:hAnsi="Calibri" w:cs="Calibri"/>
                <w:sz w:val="16"/>
                <w:szCs w:val="16"/>
              </w:rPr>
              <w:t>0</w:t>
            </w:r>
          </w:p>
        </w:tc>
        <w:tc>
          <w:tcPr>
            <w:tcW w:w="990" w:type="dxa"/>
            <w:shd w:val="clear" w:color="auto" w:fill="auto"/>
            <w:vAlign w:val="bottom"/>
          </w:tcPr>
          <w:p w:rsidR="003C248F" w:rsidRPr="00E95E93" w:rsidRDefault="00005CFE" w:rsidP="00865DD4">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auto"/>
            <w:vAlign w:val="bottom"/>
          </w:tcPr>
          <w:p w:rsidR="003C248F" w:rsidRPr="00E95E93" w:rsidRDefault="00005CFE" w:rsidP="00865DD4">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shd w:val="clear" w:color="auto" w:fill="auto"/>
            <w:vAlign w:val="center"/>
          </w:tcPr>
          <w:p w:rsidR="003C248F" w:rsidRPr="00E95E93" w:rsidRDefault="003C248F"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Alberta</w:t>
            </w:r>
          </w:p>
        </w:tc>
        <w:tc>
          <w:tcPr>
            <w:tcW w:w="1408" w:type="dxa"/>
            <w:shd w:val="clear" w:color="auto" w:fill="auto"/>
            <w:vAlign w:val="bottom"/>
          </w:tcPr>
          <w:p w:rsidR="003C248F" w:rsidRPr="00E95E93" w:rsidRDefault="00005CFE" w:rsidP="00865DD4">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auto"/>
            <w:vAlign w:val="bottom"/>
          </w:tcPr>
          <w:p w:rsidR="003C248F" w:rsidRPr="00E95E93" w:rsidRDefault="00005CFE" w:rsidP="00865DD4">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auto"/>
            <w:vAlign w:val="bottom"/>
          </w:tcPr>
          <w:p w:rsidR="003C248F" w:rsidRPr="00E95E93" w:rsidRDefault="00005CFE" w:rsidP="00865DD4">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auto"/>
            <w:vAlign w:val="bottom"/>
          </w:tcPr>
          <w:p w:rsidR="003C248F" w:rsidRPr="00E95E93" w:rsidRDefault="00005CFE" w:rsidP="00865DD4">
            <w:pPr>
              <w:jc w:val="center"/>
              <w:rPr>
                <w:rFonts w:ascii="Calibri" w:hAnsi="Calibri" w:cs="Calibri"/>
                <w:sz w:val="16"/>
                <w:szCs w:val="16"/>
              </w:rPr>
            </w:pPr>
            <w:r w:rsidRPr="00E95E93">
              <w:rPr>
                <w:rFonts w:ascii="Calibri" w:hAnsi="Calibri" w:cs="Calibri"/>
                <w:sz w:val="16"/>
                <w:szCs w:val="16"/>
              </w:rPr>
              <w:t>0</w:t>
            </w:r>
          </w:p>
        </w:tc>
        <w:tc>
          <w:tcPr>
            <w:tcW w:w="990" w:type="dxa"/>
            <w:shd w:val="clear" w:color="auto" w:fill="auto"/>
            <w:vAlign w:val="bottom"/>
          </w:tcPr>
          <w:p w:rsidR="003C248F" w:rsidRPr="00E95E93" w:rsidRDefault="00005CFE" w:rsidP="00865DD4">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auto"/>
            <w:vAlign w:val="bottom"/>
          </w:tcPr>
          <w:p w:rsidR="003C248F" w:rsidRPr="00E95E93" w:rsidRDefault="00005CFE" w:rsidP="00865DD4">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shd w:val="clear" w:color="auto" w:fill="D9D9D9" w:themeFill="background1" w:themeFillShade="D9"/>
            <w:vAlign w:val="center"/>
          </w:tcPr>
          <w:p w:rsidR="004315FC" w:rsidRPr="00E95E93" w:rsidRDefault="004315FC"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British Columbia</w:t>
            </w:r>
          </w:p>
        </w:tc>
        <w:tc>
          <w:tcPr>
            <w:tcW w:w="1408"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99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shd w:val="clear" w:color="auto" w:fill="D9D9D9" w:themeFill="background1" w:themeFillShade="D9"/>
            <w:vAlign w:val="center"/>
          </w:tcPr>
          <w:p w:rsidR="004315FC" w:rsidRPr="00E95E93" w:rsidRDefault="004315FC"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Yukon Territory</w:t>
            </w:r>
          </w:p>
        </w:tc>
        <w:tc>
          <w:tcPr>
            <w:tcW w:w="1408"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99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shd w:val="clear" w:color="auto" w:fill="D9D9D9" w:themeFill="background1" w:themeFillShade="D9"/>
            <w:vAlign w:val="center"/>
          </w:tcPr>
          <w:p w:rsidR="004315FC" w:rsidRPr="00E95E93" w:rsidRDefault="004315FC"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Northwest Territory</w:t>
            </w:r>
          </w:p>
        </w:tc>
        <w:tc>
          <w:tcPr>
            <w:tcW w:w="1408"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99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shd w:val="clear" w:color="auto" w:fill="D9D9D9" w:themeFill="background1" w:themeFillShade="D9"/>
            <w:vAlign w:val="center"/>
          </w:tcPr>
          <w:p w:rsidR="004315FC" w:rsidRPr="00E95E93" w:rsidRDefault="004315FC"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Nunavut</w:t>
            </w:r>
          </w:p>
        </w:tc>
        <w:tc>
          <w:tcPr>
            <w:tcW w:w="1408"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99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D9D9D9" w:themeFill="background1" w:themeFillShade="D9"/>
            <w:vAlign w:val="center"/>
          </w:tcPr>
          <w:p w:rsidR="004315FC" w:rsidRPr="00E95E93" w:rsidRDefault="004315FC" w:rsidP="000C7045">
            <w:pPr>
              <w:jc w:val="center"/>
              <w:rPr>
                <w:rFonts w:ascii="Calibri" w:hAnsi="Calibri" w:cs="Calibri"/>
                <w:sz w:val="16"/>
                <w:szCs w:val="16"/>
              </w:rPr>
            </w:pPr>
            <w:r w:rsidRPr="00E95E93">
              <w:rPr>
                <w:rFonts w:ascii="Calibri" w:hAnsi="Calibri" w:cs="Calibri"/>
                <w:sz w:val="16"/>
                <w:szCs w:val="16"/>
              </w:rPr>
              <w:t>0</w:t>
            </w:r>
          </w:p>
        </w:tc>
      </w:tr>
      <w:tr w:rsidR="00B61BF6" w:rsidRPr="00E95E93" w:rsidTr="007064AF">
        <w:trPr>
          <w:jc w:val="center"/>
        </w:trPr>
        <w:tc>
          <w:tcPr>
            <w:tcW w:w="1759" w:type="dxa"/>
            <w:shd w:val="clear" w:color="auto" w:fill="auto"/>
          </w:tcPr>
          <w:p w:rsidR="004315FC" w:rsidRPr="00E95E93" w:rsidRDefault="004315FC" w:rsidP="005D7D85">
            <w:pPr>
              <w:rPr>
                <w:b/>
                <w:sz w:val="18"/>
                <w:szCs w:val="16"/>
              </w:rPr>
            </w:pPr>
            <w:r w:rsidRPr="00E95E93">
              <w:rPr>
                <w:b/>
                <w:sz w:val="18"/>
                <w:szCs w:val="16"/>
              </w:rPr>
              <w:t>Total</w:t>
            </w:r>
          </w:p>
        </w:tc>
        <w:tc>
          <w:tcPr>
            <w:tcW w:w="1408" w:type="dxa"/>
            <w:tcBorders>
              <w:bottom w:val="single" w:sz="4" w:space="0" w:color="auto"/>
            </w:tcBorders>
            <w:shd w:val="clear" w:color="auto" w:fill="auto"/>
          </w:tcPr>
          <w:p w:rsidR="004315FC" w:rsidRPr="00E95E93" w:rsidRDefault="00F53DA5" w:rsidP="00ED5DEF">
            <w:pPr>
              <w:jc w:val="center"/>
              <w:rPr>
                <w:b/>
                <w:szCs w:val="16"/>
              </w:rPr>
            </w:pPr>
            <w:r w:rsidRPr="00E95E93">
              <w:rPr>
                <w:b/>
                <w:szCs w:val="16"/>
              </w:rPr>
              <w:t>6</w:t>
            </w:r>
          </w:p>
        </w:tc>
        <w:tc>
          <w:tcPr>
            <w:tcW w:w="1596" w:type="dxa"/>
            <w:tcBorders>
              <w:bottom w:val="single" w:sz="4" w:space="0" w:color="auto"/>
            </w:tcBorders>
            <w:shd w:val="clear" w:color="auto" w:fill="auto"/>
          </w:tcPr>
          <w:p w:rsidR="004315FC" w:rsidRPr="00E95E93" w:rsidRDefault="00F53DA5" w:rsidP="00ED5DEF">
            <w:pPr>
              <w:jc w:val="center"/>
              <w:rPr>
                <w:b/>
                <w:szCs w:val="16"/>
              </w:rPr>
            </w:pPr>
            <w:r w:rsidRPr="00E95E93">
              <w:rPr>
                <w:b/>
                <w:szCs w:val="16"/>
              </w:rPr>
              <w:t>3</w:t>
            </w:r>
          </w:p>
        </w:tc>
        <w:tc>
          <w:tcPr>
            <w:tcW w:w="1050" w:type="dxa"/>
            <w:tcBorders>
              <w:bottom w:val="single" w:sz="4" w:space="0" w:color="auto"/>
            </w:tcBorders>
            <w:shd w:val="clear" w:color="auto" w:fill="auto"/>
            <w:vAlign w:val="center"/>
          </w:tcPr>
          <w:p w:rsidR="004315FC" w:rsidRPr="00E95E93" w:rsidRDefault="00F53DA5" w:rsidP="00D74BCD">
            <w:pPr>
              <w:jc w:val="center"/>
              <w:rPr>
                <w:rFonts w:ascii="Calibri" w:hAnsi="Calibri" w:cs="Calibri"/>
                <w:b/>
                <w:szCs w:val="16"/>
              </w:rPr>
            </w:pPr>
            <w:r w:rsidRPr="00E95E93">
              <w:rPr>
                <w:rFonts w:ascii="Calibri" w:hAnsi="Calibri" w:cs="Calibri"/>
                <w:b/>
                <w:szCs w:val="16"/>
              </w:rPr>
              <w:t>19</w:t>
            </w:r>
          </w:p>
        </w:tc>
        <w:tc>
          <w:tcPr>
            <w:tcW w:w="953" w:type="dxa"/>
            <w:tcBorders>
              <w:bottom w:val="single" w:sz="4" w:space="0" w:color="auto"/>
            </w:tcBorders>
            <w:shd w:val="clear" w:color="auto" w:fill="auto"/>
            <w:vAlign w:val="center"/>
          </w:tcPr>
          <w:p w:rsidR="004315FC" w:rsidRPr="00E95E93" w:rsidRDefault="00F53DA5" w:rsidP="00CF45C1">
            <w:pPr>
              <w:jc w:val="center"/>
              <w:rPr>
                <w:rFonts w:ascii="Calibri" w:hAnsi="Calibri" w:cs="Calibri"/>
                <w:b/>
                <w:szCs w:val="16"/>
              </w:rPr>
            </w:pPr>
            <w:r w:rsidRPr="00E95E93">
              <w:rPr>
                <w:rFonts w:ascii="Calibri" w:hAnsi="Calibri" w:cs="Calibri"/>
                <w:b/>
                <w:szCs w:val="16"/>
              </w:rPr>
              <w:t>28</w:t>
            </w:r>
          </w:p>
        </w:tc>
        <w:tc>
          <w:tcPr>
            <w:tcW w:w="990" w:type="dxa"/>
            <w:tcBorders>
              <w:bottom w:val="single" w:sz="4" w:space="0" w:color="auto"/>
            </w:tcBorders>
            <w:shd w:val="clear" w:color="auto" w:fill="auto"/>
            <w:vAlign w:val="center"/>
          </w:tcPr>
          <w:p w:rsidR="004315FC" w:rsidRPr="00E95E93" w:rsidRDefault="00F53DA5" w:rsidP="00ED5DEF">
            <w:pPr>
              <w:jc w:val="center"/>
              <w:rPr>
                <w:rFonts w:ascii="Calibri" w:hAnsi="Calibri" w:cs="Calibri"/>
                <w:b/>
                <w:szCs w:val="16"/>
              </w:rPr>
            </w:pPr>
            <w:r w:rsidRPr="00E95E93">
              <w:rPr>
                <w:rFonts w:ascii="Calibri" w:hAnsi="Calibri" w:cs="Calibri"/>
                <w:b/>
                <w:szCs w:val="16"/>
              </w:rPr>
              <w:t>1</w:t>
            </w:r>
          </w:p>
        </w:tc>
        <w:tc>
          <w:tcPr>
            <w:tcW w:w="1600" w:type="dxa"/>
            <w:tcBorders>
              <w:bottom w:val="single" w:sz="4" w:space="0" w:color="auto"/>
            </w:tcBorders>
            <w:shd w:val="clear" w:color="auto" w:fill="auto"/>
            <w:vAlign w:val="center"/>
          </w:tcPr>
          <w:p w:rsidR="004315FC" w:rsidRPr="00E95E93" w:rsidRDefault="00650388" w:rsidP="00ED5DEF">
            <w:pPr>
              <w:jc w:val="center"/>
              <w:rPr>
                <w:rFonts w:ascii="Calibri" w:hAnsi="Calibri" w:cs="Calibri"/>
                <w:b/>
                <w:szCs w:val="16"/>
              </w:rPr>
            </w:pPr>
            <w:r w:rsidRPr="00E95E93">
              <w:rPr>
                <w:rFonts w:ascii="Calibri" w:hAnsi="Calibri" w:cs="Calibri"/>
                <w:b/>
                <w:szCs w:val="16"/>
              </w:rPr>
              <w:t>1</w:t>
            </w:r>
          </w:p>
        </w:tc>
      </w:tr>
      <w:tr w:rsidR="00B61BF6" w:rsidRPr="00E95E93" w:rsidTr="00865DD4">
        <w:trPr>
          <w:jc w:val="center"/>
        </w:trPr>
        <w:tc>
          <w:tcPr>
            <w:tcW w:w="9356" w:type="dxa"/>
            <w:gridSpan w:val="7"/>
          </w:tcPr>
          <w:p w:rsidR="003E1211" w:rsidRPr="00E95E93" w:rsidRDefault="003E1211" w:rsidP="004D75C1">
            <w:pPr>
              <w:jc w:val="center"/>
              <w:rPr>
                <w:bCs/>
                <w:sz w:val="18"/>
                <w:szCs w:val="18"/>
              </w:rPr>
            </w:pPr>
            <w:r w:rsidRPr="00E95E93">
              <w:rPr>
                <w:sz w:val="18"/>
                <w:szCs w:val="18"/>
              </w:rPr>
              <w:t xml:space="preserve">Year to date: From January 1 to </w:t>
            </w:r>
            <w:r w:rsidRPr="00E95E93">
              <w:rPr>
                <w:bCs/>
                <w:sz w:val="18"/>
                <w:szCs w:val="18"/>
              </w:rPr>
              <w:t xml:space="preserve">September </w:t>
            </w:r>
            <w:r w:rsidR="006F2110" w:rsidRPr="00E95E93">
              <w:rPr>
                <w:bCs/>
                <w:sz w:val="18"/>
                <w:szCs w:val="18"/>
              </w:rPr>
              <w:t>2</w:t>
            </w:r>
            <w:r w:rsidR="004D75C1" w:rsidRPr="00E95E93">
              <w:rPr>
                <w:bCs/>
                <w:sz w:val="18"/>
                <w:szCs w:val="18"/>
              </w:rPr>
              <w:t>9</w:t>
            </w:r>
            <w:r w:rsidRPr="00E95E93">
              <w:rPr>
                <w:bCs/>
                <w:sz w:val="18"/>
                <w:szCs w:val="18"/>
              </w:rPr>
              <w:t>, 2012</w:t>
            </w:r>
          </w:p>
        </w:tc>
      </w:tr>
      <w:tr w:rsidR="00B61BF6" w:rsidRPr="00E95E93" w:rsidTr="004315FC">
        <w:trPr>
          <w:jc w:val="center"/>
        </w:trPr>
        <w:tc>
          <w:tcPr>
            <w:tcW w:w="1759" w:type="dxa"/>
            <w:shd w:val="clear" w:color="auto" w:fill="D9D9D9" w:themeFill="background1" w:themeFillShade="D9"/>
            <w:vAlign w:val="center"/>
          </w:tcPr>
          <w:p w:rsidR="004315FC" w:rsidRPr="00E95E93" w:rsidRDefault="004315FC"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Newfoundland</w:t>
            </w:r>
          </w:p>
        </w:tc>
        <w:tc>
          <w:tcPr>
            <w:tcW w:w="1408" w:type="dxa"/>
            <w:shd w:val="clear" w:color="auto" w:fill="D9D9D9" w:themeFill="background1" w:themeFillShade="D9"/>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D9D9D9" w:themeFill="background1" w:themeFillShade="D9"/>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D9D9D9" w:themeFill="background1" w:themeFillShade="D9"/>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D9D9D9" w:themeFill="background1" w:themeFillShade="D9"/>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c>
          <w:tcPr>
            <w:tcW w:w="990" w:type="dxa"/>
            <w:shd w:val="clear" w:color="auto" w:fill="D9D9D9" w:themeFill="background1" w:themeFillShade="D9"/>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D9D9D9" w:themeFill="background1" w:themeFillShade="D9"/>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r>
      <w:tr w:rsidR="00B61BF6" w:rsidRPr="00E95E93" w:rsidTr="00005CFE">
        <w:trPr>
          <w:jc w:val="center"/>
        </w:trPr>
        <w:tc>
          <w:tcPr>
            <w:tcW w:w="1759" w:type="dxa"/>
            <w:shd w:val="clear" w:color="auto" w:fill="auto"/>
            <w:vAlign w:val="center"/>
          </w:tcPr>
          <w:p w:rsidR="004315FC" w:rsidRPr="00E95E93" w:rsidRDefault="004315FC"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Prince Edward Island</w:t>
            </w:r>
          </w:p>
        </w:tc>
        <w:tc>
          <w:tcPr>
            <w:tcW w:w="1408" w:type="dxa"/>
            <w:shd w:val="clear" w:color="auto" w:fill="auto"/>
            <w:vAlign w:val="center"/>
          </w:tcPr>
          <w:p w:rsidR="004315FC" w:rsidRPr="00E95E93" w:rsidRDefault="00005CFE" w:rsidP="006E6AC6">
            <w:pPr>
              <w:jc w:val="center"/>
              <w:rPr>
                <w:rFonts w:ascii="Calibri" w:hAnsi="Calibri" w:cs="Calibri"/>
                <w:sz w:val="16"/>
                <w:szCs w:val="16"/>
              </w:rPr>
            </w:pPr>
            <w:r w:rsidRPr="00E95E93">
              <w:rPr>
                <w:rFonts w:ascii="Calibri" w:hAnsi="Calibri" w:cs="Calibri"/>
                <w:sz w:val="16"/>
                <w:szCs w:val="16"/>
              </w:rPr>
              <w:t>1</w:t>
            </w:r>
          </w:p>
        </w:tc>
        <w:tc>
          <w:tcPr>
            <w:tcW w:w="1596" w:type="dxa"/>
            <w:shd w:val="clear" w:color="auto" w:fill="auto"/>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auto"/>
            <w:vAlign w:val="center"/>
          </w:tcPr>
          <w:p w:rsidR="004315FC" w:rsidRPr="00E95E93" w:rsidRDefault="00005CFE" w:rsidP="006E6AC6">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auto"/>
            <w:vAlign w:val="center"/>
          </w:tcPr>
          <w:p w:rsidR="004315FC" w:rsidRPr="00E95E93" w:rsidRDefault="00005CFE" w:rsidP="006E6AC6">
            <w:pPr>
              <w:jc w:val="center"/>
              <w:rPr>
                <w:rFonts w:ascii="Calibri" w:hAnsi="Calibri" w:cs="Calibri"/>
                <w:sz w:val="16"/>
                <w:szCs w:val="16"/>
              </w:rPr>
            </w:pPr>
            <w:r w:rsidRPr="00E95E93">
              <w:rPr>
                <w:rFonts w:ascii="Calibri" w:hAnsi="Calibri" w:cs="Calibri"/>
                <w:sz w:val="16"/>
                <w:szCs w:val="16"/>
              </w:rPr>
              <w:t>1</w:t>
            </w:r>
          </w:p>
        </w:tc>
        <w:tc>
          <w:tcPr>
            <w:tcW w:w="990" w:type="dxa"/>
            <w:shd w:val="clear" w:color="auto" w:fill="auto"/>
            <w:vAlign w:val="center"/>
          </w:tcPr>
          <w:p w:rsidR="004315FC" w:rsidRPr="00E95E93" w:rsidRDefault="00005CFE" w:rsidP="006E6AC6">
            <w:pPr>
              <w:jc w:val="center"/>
              <w:rPr>
                <w:rFonts w:ascii="Calibri" w:hAnsi="Calibri" w:cs="Calibri"/>
                <w:sz w:val="16"/>
                <w:szCs w:val="16"/>
              </w:rPr>
            </w:pPr>
            <w:r w:rsidRPr="00E95E93">
              <w:rPr>
                <w:rFonts w:ascii="Calibri" w:hAnsi="Calibri" w:cs="Calibri"/>
                <w:sz w:val="16"/>
                <w:szCs w:val="16"/>
              </w:rPr>
              <w:t>1</w:t>
            </w:r>
          </w:p>
        </w:tc>
        <w:tc>
          <w:tcPr>
            <w:tcW w:w="1600" w:type="dxa"/>
            <w:shd w:val="clear" w:color="auto" w:fill="auto"/>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shd w:val="clear" w:color="auto" w:fill="D9D9D9" w:themeFill="background1" w:themeFillShade="D9"/>
            <w:vAlign w:val="center"/>
          </w:tcPr>
          <w:p w:rsidR="004315FC" w:rsidRPr="00E95E93" w:rsidRDefault="004315FC"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Nova Scotia</w:t>
            </w:r>
          </w:p>
        </w:tc>
        <w:tc>
          <w:tcPr>
            <w:tcW w:w="1408" w:type="dxa"/>
            <w:shd w:val="clear" w:color="auto" w:fill="D9D9D9" w:themeFill="background1" w:themeFillShade="D9"/>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D9D9D9" w:themeFill="background1" w:themeFillShade="D9"/>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D9D9D9" w:themeFill="background1" w:themeFillShade="D9"/>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D9D9D9" w:themeFill="background1" w:themeFillShade="D9"/>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c>
          <w:tcPr>
            <w:tcW w:w="990" w:type="dxa"/>
            <w:shd w:val="clear" w:color="auto" w:fill="D9D9D9" w:themeFill="background1" w:themeFillShade="D9"/>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D9D9D9" w:themeFill="background1" w:themeFillShade="D9"/>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shd w:val="clear" w:color="auto" w:fill="D9D9D9" w:themeFill="background1" w:themeFillShade="D9"/>
            <w:vAlign w:val="center"/>
          </w:tcPr>
          <w:p w:rsidR="004315FC" w:rsidRPr="00E95E93" w:rsidRDefault="004315FC"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New Brunswick</w:t>
            </w:r>
          </w:p>
        </w:tc>
        <w:tc>
          <w:tcPr>
            <w:tcW w:w="1408" w:type="dxa"/>
            <w:shd w:val="clear" w:color="auto" w:fill="D9D9D9" w:themeFill="background1" w:themeFillShade="D9"/>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D9D9D9" w:themeFill="background1" w:themeFillShade="D9"/>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D9D9D9" w:themeFill="background1" w:themeFillShade="D9"/>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D9D9D9" w:themeFill="background1" w:themeFillShade="D9"/>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c>
          <w:tcPr>
            <w:tcW w:w="990" w:type="dxa"/>
            <w:shd w:val="clear" w:color="auto" w:fill="D9D9D9" w:themeFill="background1" w:themeFillShade="D9"/>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D9D9D9" w:themeFill="background1" w:themeFillShade="D9"/>
            <w:vAlign w:val="center"/>
          </w:tcPr>
          <w:p w:rsidR="004315FC" w:rsidRPr="00E95E93" w:rsidRDefault="004315FC" w:rsidP="006E6AC6">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vAlign w:val="center"/>
          </w:tcPr>
          <w:p w:rsidR="000F2AD8" w:rsidRPr="00E95E93" w:rsidRDefault="000F2AD8"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Quebec</w:t>
            </w:r>
          </w:p>
        </w:tc>
        <w:tc>
          <w:tcPr>
            <w:tcW w:w="1408"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49</w:t>
            </w:r>
          </w:p>
        </w:tc>
        <w:tc>
          <w:tcPr>
            <w:tcW w:w="1596"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26</w:t>
            </w:r>
          </w:p>
        </w:tc>
        <w:tc>
          <w:tcPr>
            <w:tcW w:w="1050" w:type="dxa"/>
            <w:shd w:val="clear" w:color="auto" w:fill="auto"/>
            <w:vAlign w:val="bottom"/>
          </w:tcPr>
          <w:p w:rsidR="000F2AD8" w:rsidRPr="00E95E93" w:rsidRDefault="00005CFE" w:rsidP="00B7323C">
            <w:pPr>
              <w:jc w:val="center"/>
              <w:rPr>
                <w:rFonts w:ascii="Calibri" w:hAnsi="Calibri" w:cs="Calibri"/>
                <w:sz w:val="16"/>
                <w:szCs w:val="16"/>
              </w:rPr>
            </w:pPr>
            <w:r w:rsidRPr="00E95E93">
              <w:rPr>
                <w:rFonts w:ascii="Calibri" w:hAnsi="Calibri" w:cs="Calibri"/>
                <w:sz w:val="16"/>
                <w:szCs w:val="16"/>
              </w:rPr>
              <w:t>2</w:t>
            </w:r>
            <w:r w:rsidR="00B7323C" w:rsidRPr="00E95E93">
              <w:rPr>
                <w:rFonts w:ascii="Calibri" w:hAnsi="Calibri" w:cs="Calibri"/>
                <w:sz w:val="16"/>
                <w:szCs w:val="16"/>
              </w:rPr>
              <w:t>7</w:t>
            </w:r>
          </w:p>
        </w:tc>
        <w:tc>
          <w:tcPr>
            <w:tcW w:w="953" w:type="dxa"/>
            <w:shd w:val="clear" w:color="auto" w:fill="auto"/>
            <w:vAlign w:val="bottom"/>
          </w:tcPr>
          <w:p w:rsidR="000F2AD8" w:rsidRPr="00E95E93" w:rsidRDefault="00005CFE" w:rsidP="00B7323C">
            <w:pPr>
              <w:jc w:val="center"/>
              <w:rPr>
                <w:rFonts w:ascii="Calibri" w:hAnsi="Calibri" w:cs="Calibri"/>
                <w:sz w:val="16"/>
                <w:szCs w:val="16"/>
              </w:rPr>
            </w:pPr>
            <w:r w:rsidRPr="00E95E93">
              <w:rPr>
                <w:rFonts w:ascii="Calibri" w:hAnsi="Calibri" w:cs="Calibri"/>
                <w:sz w:val="16"/>
                <w:szCs w:val="16"/>
              </w:rPr>
              <w:t>10</w:t>
            </w:r>
            <w:r w:rsidR="00B7323C" w:rsidRPr="00E95E93">
              <w:rPr>
                <w:rFonts w:ascii="Calibri" w:hAnsi="Calibri" w:cs="Calibri"/>
                <w:sz w:val="16"/>
                <w:szCs w:val="16"/>
              </w:rPr>
              <w:t>2</w:t>
            </w:r>
          </w:p>
        </w:tc>
        <w:tc>
          <w:tcPr>
            <w:tcW w:w="990"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6</w:t>
            </w:r>
          </w:p>
        </w:tc>
      </w:tr>
      <w:tr w:rsidR="00B61BF6" w:rsidRPr="00E95E93" w:rsidTr="00865DD4">
        <w:trPr>
          <w:jc w:val="center"/>
        </w:trPr>
        <w:tc>
          <w:tcPr>
            <w:tcW w:w="1759" w:type="dxa"/>
            <w:vAlign w:val="center"/>
          </w:tcPr>
          <w:p w:rsidR="000F2AD8" w:rsidRPr="00E95E93" w:rsidRDefault="000F2AD8"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Ontario</w:t>
            </w:r>
          </w:p>
        </w:tc>
        <w:tc>
          <w:tcPr>
            <w:tcW w:w="1408" w:type="dxa"/>
            <w:shd w:val="clear" w:color="auto" w:fill="auto"/>
            <w:vAlign w:val="center"/>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53</w:t>
            </w:r>
          </w:p>
        </w:tc>
        <w:tc>
          <w:tcPr>
            <w:tcW w:w="1596" w:type="dxa"/>
            <w:shd w:val="clear" w:color="auto" w:fill="auto"/>
            <w:vAlign w:val="center"/>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138</w:t>
            </w:r>
          </w:p>
        </w:tc>
        <w:tc>
          <w:tcPr>
            <w:tcW w:w="1050" w:type="dxa"/>
            <w:shd w:val="clear" w:color="auto" w:fill="auto"/>
            <w:vAlign w:val="center"/>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35</w:t>
            </w:r>
          </w:p>
        </w:tc>
        <w:tc>
          <w:tcPr>
            <w:tcW w:w="953" w:type="dxa"/>
            <w:shd w:val="clear" w:color="auto" w:fill="auto"/>
            <w:vAlign w:val="center"/>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226</w:t>
            </w:r>
          </w:p>
        </w:tc>
        <w:tc>
          <w:tcPr>
            <w:tcW w:w="990"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11</w:t>
            </w:r>
          </w:p>
        </w:tc>
        <w:tc>
          <w:tcPr>
            <w:tcW w:w="1600"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10</w:t>
            </w:r>
          </w:p>
        </w:tc>
      </w:tr>
      <w:tr w:rsidR="00B61BF6" w:rsidRPr="00E95E93" w:rsidTr="004315FC">
        <w:trPr>
          <w:jc w:val="center"/>
        </w:trPr>
        <w:tc>
          <w:tcPr>
            <w:tcW w:w="1759" w:type="dxa"/>
            <w:vAlign w:val="center"/>
          </w:tcPr>
          <w:p w:rsidR="000F2AD8" w:rsidRPr="00E95E93" w:rsidRDefault="000F2AD8"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Manitoba</w:t>
            </w:r>
          </w:p>
        </w:tc>
        <w:tc>
          <w:tcPr>
            <w:tcW w:w="1408"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6</w:t>
            </w:r>
          </w:p>
        </w:tc>
        <w:tc>
          <w:tcPr>
            <w:tcW w:w="1596"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28</w:t>
            </w:r>
          </w:p>
        </w:tc>
        <w:tc>
          <w:tcPr>
            <w:tcW w:w="1050" w:type="dxa"/>
            <w:shd w:val="clear" w:color="auto" w:fill="auto"/>
            <w:vAlign w:val="bottom"/>
          </w:tcPr>
          <w:p w:rsidR="000F2AD8" w:rsidRPr="00E95E93" w:rsidRDefault="00C505D4" w:rsidP="000F2AD8">
            <w:pPr>
              <w:jc w:val="center"/>
              <w:rPr>
                <w:rFonts w:ascii="Calibri" w:hAnsi="Calibri" w:cs="Calibri"/>
                <w:sz w:val="16"/>
                <w:szCs w:val="16"/>
              </w:rPr>
            </w:pPr>
            <w:r w:rsidRPr="00E95E93">
              <w:rPr>
                <w:rFonts w:ascii="Calibri" w:hAnsi="Calibri" w:cs="Calibri"/>
                <w:sz w:val="16"/>
                <w:szCs w:val="16"/>
              </w:rPr>
              <w:t>5</w:t>
            </w:r>
          </w:p>
        </w:tc>
        <w:tc>
          <w:tcPr>
            <w:tcW w:w="953" w:type="dxa"/>
            <w:shd w:val="clear" w:color="auto" w:fill="auto"/>
            <w:vAlign w:val="bottom"/>
          </w:tcPr>
          <w:p w:rsidR="000F2AD8" w:rsidRPr="00E95E93" w:rsidRDefault="00005CFE" w:rsidP="00C505D4">
            <w:pPr>
              <w:jc w:val="center"/>
              <w:rPr>
                <w:rFonts w:ascii="Calibri" w:hAnsi="Calibri" w:cs="Calibri"/>
                <w:sz w:val="16"/>
                <w:szCs w:val="16"/>
              </w:rPr>
            </w:pPr>
            <w:r w:rsidRPr="00E95E93">
              <w:rPr>
                <w:rFonts w:ascii="Calibri" w:hAnsi="Calibri" w:cs="Calibri"/>
                <w:sz w:val="16"/>
                <w:szCs w:val="16"/>
              </w:rPr>
              <w:t>3</w:t>
            </w:r>
            <w:r w:rsidR="00C505D4" w:rsidRPr="00E95E93">
              <w:rPr>
                <w:rFonts w:ascii="Calibri" w:hAnsi="Calibri" w:cs="Calibri"/>
                <w:sz w:val="16"/>
                <w:szCs w:val="16"/>
              </w:rPr>
              <w:t>9</w:t>
            </w:r>
          </w:p>
        </w:tc>
        <w:tc>
          <w:tcPr>
            <w:tcW w:w="990" w:type="dxa"/>
            <w:shd w:val="clear" w:color="auto" w:fill="auto"/>
            <w:vAlign w:val="bottom"/>
          </w:tcPr>
          <w:p w:rsidR="000F2AD8" w:rsidRPr="00E95E93" w:rsidRDefault="00BA6613" w:rsidP="000F2AD8">
            <w:pPr>
              <w:jc w:val="center"/>
              <w:rPr>
                <w:rFonts w:ascii="Calibri" w:hAnsi="Calibri" w:cs="Calibri"/>
                <w:sz w:val="16"/>
                <w:szCs w:val="16"/>
              </w:rPr>
            </w:pPr>
            <w:r w:rsidRPr="00E95E93">
              <w:rPr>
                <w:rFonts w:ascii="Calibri" w:hAnsi="Calibri" w:cs="Calibri"/>
                <w:sz w:val="16"/>
                <w:szCs w:val="16"/>
              </w:rPr>
              <w:t>2</w:t>
            </w:r>
          </w:p>
        </w:tc>
        <w:tc>
          <w:tcPr>
            <w:tcW w:w="1600" w:type="dxa"/>
            <w:shd w:val="clear" w:color="auto" w:fill="auto"/>
            <w:vAlign w:val="bottom"/>
          </w:tcPr>
          <w:p w:rsidR="000F2AD8" w:rsidRPr="00E95E93" w:rsidRDefault="00BA6613" w:rsidP="000F2AD8">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vAlign w:val="center"/>
          </w:tcPr>
          <w:p w:rsidR="000F2AD8" w:rsidRPr="00E95E93" w:rsidRDefault="000F2AD8"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Saskatchewan</w:t>
            </w:r>
          </w:p>
        </w:tc>
        <w:tc>
          <w:tcPr>
            <w:tcW w:w="1408"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9</w:t>
            </w:r>
          </w:p>
        </w:tc>
        <w:tc>
          <w:tcPr>
            <w:tcW w:w="1050"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9</w:t>
            </w:r>
          </w:p>
        </w:tc>
        <w:tc>
          <w:tcPr>
            <w:tcW w:w="990"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2</w:t>
            </w:r>
          </w:p>
        </w:tc>
        <w:tc>
          <w:tcPr>
            <w:tcW w:w="1600"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shd w:val="clear" w:color="auto" w:fill="auto"/>
            <w:vAlign w:val="center"/>
          </w:tcPr>
          <w:p w:rsidR="000F2AD8" w:rsidRPr="00E95E93" w:rsidRDefault="000F2AD8"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Alberta</w:t>
            </w:r>
          </w:p>
        </w:tc>
        <w:tc>
          <w:tcPr>
            <w:tcW w:w="1408"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4</w:t>
            </w:r>
          </w:p>
        </w:tc>
        <w:tc>
          <w:tcPr>
            <w:tcW w:w="1596"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5</w:t>
            </w:r>
          </w:p>
        </w:tc>
        <w:tc>
          <w:tcPr>
            <w:tcW w:w="1050"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9</w:t>
            </w:r>
          </w:p>
        </w:tc>
        <w:tc>
          <w:tcPr>
            <w:tcW w:w="990"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2</w:t>
            </w:r>
          </w:p>
        </w:tc>
        <w:tc>
          <w:tcPr>
            <w:tcW w:w="1600" w:type="dxa"/>
            <w:shd w:val="clear" w:color="auto" w:fill="auto"/>
            <w:vAlign w:val="bottom"/>
          </w:tcPr>
          <w:p w:rsidR="000F2AD8" w:rsidRPr="00E95E93" w:rsidRDefault="00005CFE" w:rsidP="000F2AD8">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shd w:val="clear" w:color="auto" w:fill="D9D9D9" w:themeFill="background1" w:themeFillShade="D9"/>
            <w:vAlign w:val="center"/>
          </w:tcPr>
          <w:p w:rsidR="000F2AD8" w:rsidRPr="00E95E93" w:rsidRDefault="000F2AD8"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British Columbia</w:t>
            </w:r>
          </w:p>
        </w:tc>
        <w:tc>
          <w:tcPr>
            <w:tcW w:w="1408"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990"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shd w:val="clear" w:color="auto" w:fill="D9D9D9" w:themeFill="background1" w:themeFillShade="D9"/>
            <w:vAlign w:val="center"/>
          </w:tcPr>
          <w:p w:rsidR="000F2AD8" w:rsidRPr="00E95E93" w:rsidRDefault="000F2AD8"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Yukon Territory</w:t>
            </w:r>
          </w:p>
        </w:tc>
        <w:tc>
          <w:tcPr>
            <w:tcW w:w="1408"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990"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shd w:val="clear" w:color="auto" w:fill="D9D9D9" w:themeFill="background1" w:themeFillShade="D9"/>
            <w:vAlign w:val="center"/>
          </w:tcPr>
          <w:p w:rsidR="000F2AD8" w:rsidRPr="00E95E93" w:rsidRDefault="000F2AD8"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Northwest Territory</w:t>
            </w:r>
          </w:p>
        </w:tc>
        <w:tc>
          <w:tcPr>
            <w:tcW w:w="1408"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990"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r>
      <w:tr w:rsidR="00B61BF6" w:rsidRPr="00E95E93" w:rsidTr="004315FC">
        <w:trPr>
          <w:jc w:val="center"/>
        </w:trPr>
        <w:tc>
          <w:tcPr>
            <w:tcW w:w="1759" w:type="dxa"/>
            <w:shd w:val="clear" w:color="auto" w:fill="D9D9D9" w:themeFill="background1" w:themeFillShade="D9"/>
            <w:vAlign w:val="center"/>
          </w:tcPr>
          <w:p w:rsidR="000F2AD8" w:rsidRPr="00E95E93" w:rsidRDefault="000F2AD8" w:rsidP="004B098D">
            <w:pP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Nunavut</w:t>
            </w:r>
          </w:p>
        </w:tc>
        <w:tc>
          <w:tcPr>
            <w:tcW w:w="1408"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1596"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1050"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953"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990"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c>
          <w:tcPr>
            <w:tcW w:w="1600" w:type="dxa"/>
            <w:shd w:val="clear" w:color="auto" w:fill="D9D9D9" w:themeFill="background1" w:themeFillShade="D9"/>
            <w:vAlign w:val="center"/>
          </w:tcPr>
          <w:p w:rsidR="000F2AD8" w:rsidRPr="00E95E93" w:rsidRDefault="000F2AD8" w:rsidP="000F2AD8">
            <w:pPr>
              <w:jc w:val="center"/>
              <w:rPr>
                <w:rFonts w:ascii="Calibri" w:hAnsi="Calibri" w:cs="Calibri"/>
                <w:sz w:val="16"/>
                <w:szCs w:val="16"/>
              </w:rPr>
            </w:pPr>
            <w:r w:rsidRPr="00E95E93">
              <w:rPr>
                <w:rFonts w:ascii="Calibri" w:hAnsi="Calibri" w:cs="Calibri"/>
                <w:sz w:val="16"/>
                <w:szCs w:val="16"/>
              </w:rPr>
              <w:t>0</w:t>
            </w:r>
          </w:p>
        </w:tc>
      </w:tr>
      <w:tr w:rsidR="000F2AD8" w:rsidRPr="00E95E93" w:rsidTr="000F2AD8">
        <w:trPr>
          <w:jc w:val="center"/>
        </w:trPr>
        <w:tc>
          <w:tcPr>
            <w:tcW w:w="1759" w:type="dxa"/>
            <w:shd w:val="clear" w:color="auto" w:fill="auto"/>
          </w:tcPr>
          <w:p w:rsidR="000F2AD8" w:rsidRPr="00E95E93" w:rsidRDefault="000F2AD8" w:rsidP="005D7D85">
            <w:pPr>
              <w:rPr>
                <w:b/>
                <w:sz w:val="18"/>
                <w:szCs w:val="16"/>
              </w:rPr>
            </w:pPr>
            <w:r w:rsidRPr="00E95E93">
              <w:rPr>
                <w:b/>
                <w:sz w:val="18"/>
                <w:szCs w:val="16"/>
              </w:rPr>
              <w:t>Total</w:t>
            </w:r>
          </w:p>
        </w:tc>
        <w:tc>
          <w:tcPr>
            <w:tcW w:w="1408" w:type="dxa"/>
            <w:shd w:val="clear" w:color="auto" w:fill="auto"/>
          </w:tcPr>
          <w:p w:rsidR="000F2AD8" w:rsidRPr="00E95E93" w:rsidRDefault="00F53DA5" w:rsidP="000F2AD8">
            <w:pPr>
              <w:jc w:val="center"/>
              <w:rPr>
                <w:b/>
                <w:szCs w:val="16"/>
              </w:rPr>
            </w:pPr>
            <w:r w:rsidRPr="00E95E93">
              <w:rPr>
                <w:b/>
                <w:szCs w:val="16"/>
              </w:rPr>
              <w:t>113</w:t>
            </w:r>
          </w:p>
        </w:tc>
        <w:tc>
          <w:tcPr>
            <w:tcW w:w="1596" w:type="dxa"/>
            <w:shd w:val="clear" w:color="auto" w:fill="auto"/>
          </w:tcPr>
          <w:p w:rsidR="000F2AD8" w:rsidRPr="00E95E93" w:rsidRDefault="00F53DA5" w:rsidP="000F2AD8">
            <w:pPr>
              <w:jc w:val="center"/>
              <w:rPr>
                <w:b/>
                <w:szCs w:val="16"/>
              </w:rPr>
            </w:pPr>
            <w:r w:rsidRPr="00E95E93">
              <w:rPr>
                <w:b/>
                <w:szCs w:val="16"/>
              </w:rPr>
              <w:t>206</w:t>
            </w:r>
          </w:p>
        </w:tc>
        <w:tc>
          <w:tcPr>
            <w:tcW w:w="1050" w:type="dxa"/>
            <w:shd w:val="clear" w:color="auto" w:fill="auto"/>
            <w:vAlign w:val="center"/>
          </w:tcPr>
          <w:p w:rsidR="000F2AD8" w:rsidRPr="00E95E93" w:rsidRDefault="00F53DA5" w:rsidP="00B7323C">
            <w:pPr>
              <w:jc w:val="center"/>
              <w:rPr>
                <w:rFonts w:ascii="Calibri" w:hAnsi="Calibri" w:cs="Calibri"/>
                <w:b/>
                <w:szCs w:val="16"/>
              </w:rPr>
            </w:pPr>
            <w:r w:rsidRPr="00E95E93">
              <w:rPr>
                <w:rFonts w:ascii="Calibri" w:hAnsi="Calibri" w:cs="Calibri"/>
                <w:b/>
                <w:szCs w:val="16"/>
              </w:rPr>
              <w:t>6</w:t>
            </w:r>
            <w:r w:rsidR="00B7323C" w:rsidRPr="00E95E93">
              <w:rPr>
                <w:rFonts w:ascii="Calibri" w:hAnsi="Calibri" w:cs="Calibri"/>
                <w:b/>
                <w:szCs w:val="16"/>
              </w:rPr>
              <w:t>7</w:t>
            </w:r>
          </w:p>
        </w:tc>
        <w:tc>
          <w:tcPr>
            <w:tcW w:w="953" w:type="dxa"/>
            <w:shd w:val="clear" w:color="auto" w:fill="auto"/>
            <w:vAlign w:val="center"/>
          </w:tcPr>
          <w:p w:rsidR="000F2AD8" w:rsidRPr="00E95E93" w:rsidRDefault="00F53DA5" w:rsidP="00B7323C">
            <w:pPr>
              <w:jc w:val="center"/>
              <w:rPr>
                <w:rFonts w:ascii="Calibri" w:hAnsi="Calibri" w:cs="Calibri"/>
                <w:b/>
                <w:szCs w:val="16"/>
              </w:rPr>
            </w:pPr>
            <w:r w:rsidRPr="00E95E93">
              <w:rPr>
                <w:rFonts w:ascii="Calibri" w:hAnsi="Calibri" w:cs="Calibri"/>
                <w:b/>
                <w:szCs w:val="16"/>
              </w:rPr>
              <w:t>38</w:t>
            </w:r>
            <w:r w:rsidR="00B7323C" w:rsidRPr="00E95E93">
              <w:rPr>
                <w:rFonts w:ascii="Calibri" w:hAnsi="Calibri" w:cs="Calibri"/>
                <w:b/>
                <w:szCs w:val="16"/>
              </w:rPr>
              <w:t>6</w:t>
            </w:r>
          </w:p>
        </w:tc>
        <w:tc>
          <w:tcPr>
            <w:tcW w:w="990" w:type="dxa"/>
            <w:shd w:val="clear" w:color="auto" w:fill="auto"/>
            <w:vAlign w:val="center"/>
          </w:tcPr>
          <w:p w:rsidR="000F2AD8" w:rsidRPr="00E95E93" w:rsidRDefault="00F53DA5" w:rsidP="000F2AD8">
            <w:pPr>
              <w:jc w:val="center"/>
              <w:rPr>
                <w:rFonts w:ascii="Calibri" w:hAnsi="Calibri" w:cs="Calibri"/>
                <w:b/>
                <w:szCs w:val="16"/>
              </w:rPr>
            </w:pPr>
            <w:r w:rsidRPr="00E95E93">
              <w:rPr>
                <w:rFonts w:ascii="Calibri" w:hAnsi="Calibri" w:cs="Calibri"/>
                <w:b/>
                <w:szCs w:val="16"/>
              </w:rPr>
              <w:t>18</w:t>
            </w:r>
          </w:p>
        </w:tc>
        <w:tc>
          <w:tcPr>
            <w:tcW w:w="1600" w:type="dxa"/>
            <w:shd w:val="clear" w:color="auto" w:fill="auto"/>
            <w:vAlign w:val="center"/>
          </w:tcPr>
          <w:p w:rsidR="000F2AD8" w:rsidRPr="00E95E93" w:rsidRDefault="00F53DA5" w:rsidP="000F2AD8">
            <w:pPr>
              <w:jc w:val="center"/>
              <w:rPr>
                <w:rFonts w:ascii="Calibri" w:hAnsi="Calibri" w:cs="Calibri"/>
                <w:b/>
                <w:szCs w:val="16"/>
              </w:rPr>
            </w:pPr>
            <w:r w:rsidRPr="00E95E93">
              <w:rPr>
                <w:rFonts w:ascii="Calibri" w:hAnsi="Calibri" w:cs="Calibri"/>
                <w:b/>
                <w:szCs w:val="16"/>
              </w:rPr>
              <w:t>16</w:t>
            </w:r>
          </w:p>
        </w:tc>
      </w:tr>
    </w:tbl>
    <w:p w:rsidR="00994390" w:rsidRPr="00E95E93" w:rsidRDefault="00994390" w:rsidP="00602DBD">
      <w:pPr>
        <w:spacing w:after="0" w:line="240" w:lineRule="auto"/>
        <w:ind w:left="709"/>
        <w:rPr>
          <w:sz w:val="14"/>
          <w:vertAlign w:val="superscript"/>
        </w:rPr>
      </w:pPr>
    </w:p>
    <w:p w:rsidR="0048394C" w:rsidRPr="00E95E93" w:rsidRDefault="0048394C" w:rsidP="00602DBD">
      <w:pPr>
        <w:spacing w:after="0" w:line="240" w:lineRule="auto"/>
        <w:ind w:left="709"/>
        <w:rPr>
          <w:sz w:val="18"/>
        </w:rPr>
      </w:pPr>
      <w:r w:rsidRPr="00E95E93">
        <w:rPr>
          <w:sz w:val="18"/>
          <w:vertAlign w:val="superscript"/>
        </w:rPr>
        <w:t>1</w:t>
      </w:r>
      <w:r w:rsidRPr="00E95E93">
        <w:rPr>
          <w:sz w:val="18"/>
        </w:rPr>
        <w:t xml:space="preserve"> Total clinical cases is the sum of both probable and confirmed: West Nile virus neurological and non-neurological syndromes, along with any unclassified or unspecified cases.</w:t>
      </w:r>
    </w:p>
    <w:p w:rsidR="0048394C" w:rsidRPr="00E95E93" w:rsidRDefault="0048394C" w:rsidP="00602DBD">
      <w:pPr>
        <w:spacing w:after="0" w:line="240" w:lineRule="auto"/>
        <w:ind w:left="709"/>
        <w:rPr>
          <w:sz w:val="18"/>
        </w:rPr>
      </w:pPr>
      <w:r w:rsidRPr="00E95E93">
        <w:rPr>
          <w:sz w:val="18"/>
          <w:vertAlign w:val="superscript"/>
        </w:rPr>
        <w:t>2</w:t>
      </w:r>
      <w:r w:rsidRPr="00E95E93">
        <w:rPr>
          <w:sz w:val="18"/>
        </w:rPr>
        <w:t xml:space="preserve"> Likely related to travel outside the province/territory. These cases are included in either the total clinical cases or West Nile virus asymptomatic infections.</w:t>
      </w:r>
    </w:p>
    <w:p w:rsidR="00502318" w:rsidRPr="00E95E93" w:rsidRDefault="0048394C" w:rsidP="00602DBD">
      <w:pPr>
        <w:spacing w:after="0" w:line="240" w:lineRule="auto"/>
        <w:ind w:left="709"/>
        <w:rPr>
          <w:sz w:val="18"/>
        </w:rPr>
      </w:pPr>
      <w:r w:rsidRPr="00E95E93">
        <w:rPr>
          <w:sz w:val="18"/>
          <w:vertAlign w:val="superscript"/>
        </w:rPr>
        <w:t>3</w:t>
      </w:r>
      <w:r w:rsidRPr="00E95E93">
        <w:rPr>
          <w:sz w:val="18"/>
        </w:rPr>
        <w:t xml:space="preserve"> Satisfies West Nile virus diagnostic test criteria in the absence of clinical criteria. This category could include asymptomatic blood donors whose blood is screened using a nucleic acid amplification test (NAT), by blood operators (i.e. Canadian </w:t>
      </w:r>
      <w:r w:rsidR="005523F0" w:rsidRPr="00E95E93">
        <w:rPr>
          <w:sz w:val="18"/>
        </w:rPr>
        <w:t>B</w:t>
      </w:r>
      <w:r w:rsidRPr="00E95E93">
        <w:rPr>
          <w:sz w:val="18"/>
        </w:rPr>
        <w:t xml:space="preserve">lood </w:t>
      </w:r>
      <w:r w:rsidR="005523F0" w:rsidRPr="00E95E93">
        <w:rPr>
          <w:sz w:val="18"/>
        </w:rPr>
        <w:t>S</w:t>
      </w:r>
      <w:r w:rsidRPr="00E95E93">
        <w:rPr>
          <w:sz w:val="18"/>
        </w:rPr>
        <w:t>ervices or Hema-Quebec) and is subsequently brought to the attention of public health officials. Blood operators in Canada perform a supplementary West Nile virus specific NAT following any positive donor screen test result.</w:t>
      </w:r>
    </w:p>
    <w:p w:rsidR="00B53DDB" w:rsidRPr="00E95E93" w:rsidRDefault="00B53DDB">
      <w:r w:rsidRPr="00E95E93">
        <w:br w:type="page"/>
      </w:r>
    </w:p>
    <w:p w:rsidR="005F1E43" w:rsidRPr="00E95E93" w:rsidRDefault="00942546" w:rsidP="00942546">
      <w:pPr>
        <w:spacing w:after="0" w:line="240" w:lineRule="auto"/>
        <w:jc w:val="center"/>
        <w:rPr>
          <w:b/>
        </w:rPr>
      </w:pPr>
      <w:r w:rsidRPr="00E95E93">
        <w:rPr>
          <w:b/>
        </w:rPr>
        <w:lastRenderedPageBreak/>
        <w:t>WNv clinical cases and asymptomatic infections by report week, 2012 season compared to previous seasons</w:t>
      </w:r>
    </w:p>
    <w:p w:rsidR="00942546" w:rsidRPr="00E95E93" w:rsidRDefault="00942546" w:rsidP="00942546">
      <w:pPr>
        <w:spacing w:after="0" w:line="240" w:lineRule="auto"/>
        <w:jc w:val="center"/>
      </w:pPr>
    </w:p>
    <w:p w:rsidR="0073406B" w:rsidRPr="00E95E93" w:rsidRDefault="00B37DA0" w:rsidP="0073406B">
      <w:pPr>
        <w:spacing w:after="0" w:line="240" w:lineRule="auto"/>
        <w:jc w:val="center"/>
      </w:pPr>
      <w:r w:rsidRPr="00E95E93">
        <w:rPr>
          <w:noProof/>
          <w:lang w:val="en-US"/>
        </w:rPr>
        <w:drawing>
          <wp:inline distT="0" distB="0" distL="0" distR="0">
            <wp:extent cx="7930055" cy="2648606"/>
            <wp:effectExtent l="0" t="0" r="13970" b="184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53DDB" w:rsidRPr="00E95E93" w:rsidRDefault="00B53DDB" w:rsidP="00B53DDB">
      <w:pPr>
        <w:spacing w:after="0" w:line="240" w:lineRule="auto"/>
      </w:pPr>
      <w:r w:rsidRPr="00E95E93">
        <w:t>Link Figure 2 to the following table</w:t>
      </w:r>
      <w:r w:rsidR="00A615F3" w:rsidRPr="00E95E93">
        <w:t xml:space="preserve"> 3 below</w:t>
      </w:r>
    </w:p>
    <w:p w:rsidR="00B53DDB" w:rsidRPr="00E95E93" w:rsidRDefault="00B53DDB" w:rsidP="0048394C">
      <w:pPr>
        <w:spacing w:after="0" w:line="240" w:lineRule="auto"/>
      </w:pPr>
    </w:p>
    <w:tbl>
      <w:tblPr>
        <w:tblW w:w="12259" w:type="dxa"/>
        <w:jc w:val="center"/>
        <w:tblInd w:w="93" w:type="dxa"/>
        <w:tblLook w:val="04A0"/>
      </w:tblPr>
      <w:tblGrid>
        <w:gridCol w:w="665"/>
        <w:gridCol w:w="379"/>
        <w:gridCol w:w="379"/>
        <w:gridCol w:w="379"/>
        <w:gridCol w:w="379"/>
        <w:gridCol w:w="379"/>
        <w:gridCol w:w="379"/>
        <w:gridCol w:w="379"/>
        <w:gridCol w:w="379"/>
        <w:gridCol w:w="379"/>
        <w:gridCol w:w="379"/>
        <w:gridCol w:w="379"/>
        <w:gridCol w:w="379"/>
        <w:gridCol w:w="379"/>
        <w:gridCol w:w="379"/>
        <w:gridCol w:w="460"/>
        <w:gridCol w:w="460"/>
        <w:gridCol w:w="460"/>
        <w:gridCol w:w="460"/>
        <w:gridCol w:w="460"/>
        <w:gridCol w:w="460"/>
        <w:gridCol w:w="460"/>
        <w:gridCol w:w="379"/>
        <w:gridCol w:w="415"/>
        <w:gridCol w:w="379"/>
        <w:gridCol w:w="379"/>
        <w:gridCol w:w="379"/>
        <w:gridCol w:w="379"/>
        <w:gridCol w:w="379"/>
        <w:gridCol w:w="379"/>
      </w:tblGrid>
      <w:tr w:rsidR="00B61BF6" w:rsidRPr="00E95E93" w:rsidTr="0067447F">
        <w:trPr>
          <w:trHeight w:val="315"/>
          <w:jc w:val="center"/>
        </w:trPr>
        <w:tc>
          <w:tcPr>
            <w:tcW w:w="665" w:type="dxa"/>
            <w:vMerge w:val="restart"/>
            <w:tcBorders>
              <w:top w:val="single" w:sz="4" w:space="0" w:color="auto"/>
              <w:left w:val="single" w:sz="4" w:space="0" w:color="auto"/>
              <w:right w:val="single" w:sz="4" w:space="0" w:color="auto"/>
            </w:tcBorders>
            <w:shd w:val="clear" w:color="auto" w:fill="auto"/>
            <w:noWrap/>
            <w:vAlign w:val="bottom"/>
            <w:hideMark/>
          </w:tcPr>
          <w:p w:rsidR="00B50B05" w:rsidRPr="00E95E93" w:rsidRDefault="00E95E93" w:rsidP="005F1E43">
            <w:pPr>
              <w:spacing w:after="0" w:line="240" w:lineRule="auto"/>
              <w:rPr>
                <w:rFonts w:ascii="Calibri" w:eastAsia="Times New Roman" w:hAnsi="Calibri" w:cs="Calibri"/>
                <w:lang w:eastAsia="en-CA"/>
              </w:rPr>
            </w:pPr>
            <w:r>
              <w:rPr>
                <w:rFonts w:ascii="Calibri" w:eastAsia="Times New Roman" w:hAnsi="Calibri" w:cs="Calibri"/>
                <w:lang w:eastAsia="en-CA"/>
              </w:rPr>
              <w:t xml:space="preserve"> </w:t>
            </w:r>
          </w:p>
        </w:tc>
        <w:tc>
          <w:tcPr>
            <w:tcW w:w="11594" w:type="dxa"/>
            <w:gridSpan w:val="29"/>
            <w:tcBorders>
              <w:top w:val="single" w:sz="8" w:space="0" w:color="auto"/>
              <w:left w:val="single" w:sz="4" w:space="0" w:color="auto"/>
              <w:bottom w:val="single" w:sz="8" w:space="0" w:color="auto"/>
              <w:right w:val="single" w:sz="8" w:space="0" w:color="000000"/>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Report Weeks of 2012</w:t>
            </w:r>
          </w:p>
        </w:tc>
      </w:tr>
      <w:tr w:rsidR="00B61BF6" w:rsidRPr="00E95E93" w:rsidTr="0067447F">
        <w:trPr>
          <w:trHeight w:val="315"/>
          <w:jc w:val="center"/>
        </w:trPr>
        <w:tc>
          <w:tcPr>
            <w:tcW w:w="665" w:type="dxa"/>
            <w:vMerge/>
            <w:tcBorders>
              <w:left w:val="single" w:sz="4" w:space="0" w:color="auto"/>
              <w:bottom w:val="single" w:sz="8" w:space="0" w:color="auto"/>
              <w:right w:val="single" w:sz="4" w:space="0" w:color="auto"/>
            </w:tcBorders>
            <w:shd w:val="clear" w:color="auto" w:fill="auto"/>
            <w:noWrap/>
            <w:vAlign w:val="bottom"/>
            <w:hideMark/>
          </w:tcPr>
          <w:p w:rsidR="00B50B05" w:rsidRPr="00E95E93" w:rsidRDefault="00B50B05" w:rsidP="005F1E43">
            <w:pPr>
              <w:spacing w:after="0" w:line="240" w:lineRule="auto"/>
              <w:rPr>
                <w:rFonts w:ascii="Calibri" w:eastAsia="Times New Roman" w:hAnsi="Calibri" w:cs="Calibri"/>
                <w:lang w:eastAsia="en-CA"/>
              </w:rPr>
            </w:pPr>
          </w:p>
        </w:tc>
        <w:tc>
          <w:tcPr>
            <w:tcW w:w="379" w:type="dxa"/>
            <w:tcBorders>
              <w:top w:val="nil"/>
              <w:left w:val="single" w:sz="4" w:space="0" w:color="auto"/>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17</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18</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19</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20</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21</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22</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23</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24</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25</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26</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27</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28</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29</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30</w:t>
            </w:r>
          </w:p>
        </w:tc>
        <w:tc>
          <w:tcPr>
            <w:tcW w:w="460"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31</w:t>
            </w:r>
          </w:p>
        </w:tc>
        <w:tc>
          <w:tcPr>
            <w:tcW w:w="460"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32</w:t>
            </w:r>
          </w:p>
        </w:tc>
        <w:tc>
          <w:tcPr>
            <w:tcW w:w="460"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33</w:t>
            </w:r>
          </w:p>
        </w:tc>
        <w:tc>
          <w:tcPr>
            <w:tcW w:w="460"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34</w:t>
            </w:r>
          </w:p>
        </w:tc>
        <w:tc>
          <w:tcPr>
            <w:tcW w:w="460"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35</w:t>
            </w:r>
          </w:p>
        </w:tc>
        <w:tc>
          <w:tcPr>
            <w:tcW w:w="460"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36</w:t>
            </w:r>
          </w:p>
        </w:tc>
        <w:tc>
          <w:tcPr>
            <w:tcW w:w="460"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37</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38</w:t>
            </w:r>
          </w:p>
        </w:tc>
        <w:tc>
          <w:tcPr>
            <w:tcW w:w="415"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39</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40</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41</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42</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43</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44</w:t>
            </w:r>
          </w:p>
        </w:tc>
        <w:tc>
          <w:tcPr>
            <w:tcW w:w="379" w:type="dxa"/>
            <w:tcBorders>
              <w:top w:val="nil"/>
              <w:left w:val="nil"/>
              <w:bottom w:val="single" w:sz="8" w:space="0" w:color="auto"/>
              <w:right w:val="single" w:sz="8" w:space="0" w:color="auto"/>
            </w:tcBorders>
            <w:shd w:val="clear" w:color="auto" w:fill="auto"/>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45</w:t>
            </w:r>
          </w:p>
        </w:tc>
      </w:tr>
      <w:tr w:rsidR="00B61BF6" w:rsidRPr="00E95E93" w:rsidTr="0067447F">
        <w:trPr>
          <w:trHeight w:val="315"/>
          <w:jc w:val="center"/>
        </w:trPr>
        <w:tc>
          <w:tcPr>
            <w:tcW w:w="665" w:type="dxa"/>
            <w:tcBorders>
              <w:top w:val="nil"/>
              <w:left w:val="single" w:sz="4" w:space="0" w:color="auto"/>
              <w:bottom w:val="single" w:sz="8" w:space="0" w:color="auto"/>
              <w:right w:val="single" w:sz="4" w:space="0" w:color="auto"/>
            </w:tcBorders>
            <w:shd w:val="clear" w:color="auto" w:fill="auto"/>
            <w:vAlign w:val="center"/>
            <w:hideMark/>
          </w:tcPr>
          <w:p w:rsidR="0067447F" w:rsidRPr="00E95E93" w:rsidRDefault="0067447F" w:rsidP="0067447F">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2012</w:t>
            </w:r>
          </w:p>
        </w:tc>
        <w:tc>
          <w:tcPr>
            <w:tcW w:w="379" w:type="dxa"/>
            <w:tcBorders>
              <w:top w:val="nil"/>
              <w:left w:val="single" w:sz="4" w:space="0" w:color="auto"/>
              <w:bottom w:val="single" w:sz="8" w:space="0" w:color="auto"/>
              <w:right w:val="single" w:sz="8" w:space="0" w:color="auto"/>
            </w:tcBorders>
            <w:shd w:val="clear" w:color="auto" w:fill="D9D9D9" w:themeFill="background1" w:themeFillShade="D9"/>
            <w:vAlign w:val="center"/>
            <w:hideMark/>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0</w:t>
            </w:r>
          </w:p>
        </w:tc>
        <w:tc>
          <w:tcPr>
            <w:tcW w:w="379" w:type="dxa"/>
            <w:tcBorders>
              <w:top w:val="nil"/>
              <w:left w:val="nil"/>
              <w:bottom w:val="single" w:sz="8" w:space="0" w:color="auto"/>
              <w:right w:val="single" w:sz="8" w:space="0" w:color="auto"/>
            </w:tcBorders>
            <w:shd w:val="clear" w:color="auto" w:fill="auto"/>
            <w:vAlign w:val="center"/>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1</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0</w:t>
            </w:r>
          </w:p>
        </w:tc>
        <w:tc>
          <w:tcPr>
            <w:tcW w:w="379" w:type="dxa"/>
            <w:tcBorders>
              <w:top w:val="nil"/>
              <w:left w:val="nil"/>
              <w:bottom w:val="single" w:sz="8" w:space="0" w:color="auto"/>
              <w:right w:val="single" w:sz="8" w:space="0" w:color="auto"/>
            </w:tcBorders>
            <w:shd w:val="clear" w:color="auto" w:fill="auto"/>
            <w:vAlign w:val="center"/>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2</w:t>
            </w:r>
          </w:p>
        </w:tc>
        <w:tc>
          <w:tcPr>
            <w:tcW w:w="379" w:type="dxa"/>
            <w:tcBorders>
              <w:top w:val="nil"/>
              <w:left w:val="nil"/>
              <w:bottom w:val="single" w:sz="8" w:space="0" w:color="auto"/>
              <w:right w:val="single" w:sz="8" w:space="0" w:color="auto"/>
            </w:tcBorders>
            <w:shd w:val="clear" w:color="auto" w:fill="auto"/>
            <w:vAlign w:val="center"/>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3</w:t>
            </w:r>
          </w:p>
        </w:tc>
        <w:tc>
          <w:tcPr>
            <w:tcW w:w="379" w:type="dxa"/>
            <w:tcBorders>
              <w:top w:val="nil"/>
              <w:left w:val="nil"/>
              <w:bottom w:val="single" w:sz="8" w:space="0" w:color="auto"/>
              <w:right w:val="single" w:sz="8" w:space="0" w:color="auto"/>
            </w:tcBorders>
            <w:shd w:val="clear" w:color="auto" w:fill="auto"/>
            <w:vAlign w:val="center"/>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10</w:t>
            </w:r>
          </w:p>
        </w:tc>
        <w:tc>
          <w:tcPr>
            <w:tcW w:w="379" w:type="dxa"/>
            <w:tcBorders>
              <w:top w:val="nil"/>
              <w:left w:val="nil"/>
              <w:bottom w:val="single" w:sz="8" w:space="0" w:color="auto"/>
              <w:right w:val="single" w:sz="8" w:space="0" w:color="auto"/>
            </w:tcBorders>
            <w:shd w:val="clear" w:color="auto" w:fill="auto"/>
            <w:vAlign w:val="center"/>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15</w:t>
            </w:r>
          </w:p>
        </w:tc>
        <w:tc>
          <w:tcPr>
            <w:tcW w:w="460" w:type="dxa"/>
            <w:tcBorders>
              <w:top w:val="nil"/>
              <w:left w:val="nil"/>
              <w:bottom w:val="single" w:sz="8" w:space="0" w:color="auto"/>
              <w:right w:val="single" w:sz="8" w:space="0" w:color="auto"/>
            </w:tcBorders>
            <w:shd w:val="clear" w:color="auto" w:fill="auto"/>
            <w:vAlign w:val="center"/>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25</w:t>
            </w:r>
          </w:p>
        </w:tc>
        <w:tc>
          <w:tcPr>
            <w:tcW w:w="460" w:type="dxa"/>
            <w:tcBorders>
              <w:top w:val="nil"/>
              <w:left w:val="nil"/>
              <w:bottom w:val="single" w:sz="8" w:space="0" w:color="auto"/>
              <w:right w:val="single" w:sz="8" w:space="0" w:color="auto"/>
            </w:tcBorders>
            <w:shd w:val="clear" w:color="auto" w:fill="auto"/>
            <w:vAlign w:val="center"/>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49</w:t>
            </w:r>
          </w:p>
        </w:tc>
        <w:tc>
          <w:tcPr>
            <w:tcW w:w="460" w:type="dxa"/>
            <w:tcBorders>
              <w:top w:val="nil"/>
              <w:left w:val="nil"/>
              <w:bottom w:val="single" w:sz="8" w:space="0" w:color="auto"/>
              <w:right w:val="single" w:sz="8" w:space="0" w:color="auto"/>
            </w:tcBorders>
            <w:shd w:val="clear" w:color="auto" w:fill="auto"/>
            <w:vAlign w:val="center"/>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60</w:t>
            </w:r>
          </w:p>
        </w:tc>
        <w:tc>
          <w:tcPr>
            <w:tcW w:w="460" w:type="dxa"/>
            <w:tcBorders>
              <w:top w:val="nil"/>
              <w:left w:val="nil"/>
              <w:bottom w:val="single" w:sz="8" w:space="0" w:color="auto"/>
              <w:right w:val="single" w:sz="8" w:space="0" w:color="auto"/>
            </w:tcBorders>
            <w:shd w:val="clear" w:color="auto" w:fill="auto"/>
            <w:vAlign w:val="center"/>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58</w:t>
            </w:r>
          </w:p>
        </w:tc>
        <w:tc>
          <w:tcPr>
            <w:tcW w:w="460" w:type="dxa"/>
            <w:tcBorders>
              <w:top w:val="nil"/>
              <w:left w:val="nil"/>
              <w:bottom w:val="single" w:sz="8" w:space="0" w:color="auto"/>
              <w:right w:val="single" w:sz="8" w:space="0" w:color="auto"/>
            </w:tcBorders>
            <w:shd w:val="clear" w:color="auto" w:fill="auto"/>
            <w:vAlign w:val="center"/>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46</w:t>
            </w:r>
          </w:p>
        </w:tc>
        <w:tc>
          <w:tcPr>
            <w:tcW w:w="460" w:type="dxa"/>
            <w:tcBorders>
              <w:top w:val="nil"/>
              <w:left w:val="nil"/>
              <w:bottom w:val="single" w:sz="8" w:space="0" w:color="auto"/>
              <w:right w:val="single" w:sz="8" w:space="0" w:color="auto"/>
            </w:tcBorders>
            <w:shd w:val="clear" w:color="auto" w:fill="auto"/>
            <w:vAlign w:val="center"/>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34</w:t>
            </w:r>
          </w:p>
        </w:tc>
        <w:tc>
          <w:tcPr>
            <w:tcW w:w="460" w:type="dxa"/>
            <w:tcBorders>
              <w:top w:val="nil"/>
              <w:left w:val="nil"/>
              <w:bottom w:val="single" w:sz="8" w:space="0" w:color="auto"/>
              <w:right w:val="single" w:sz="8" w:space="0" w:color="auto"/>
            </w:tcBorders>
            <w:shd w:val="clear" w:color="auto" w:fill="auto"/>
            <w:vAlign w:val="center"/>
          </w:tcPr>
          <w:p w:rsidR="0067447F" w:rsidRPr="00E95E93" w:rsidRDefault="0067447F" w:rsidP="00DE675B">
            <w:pPr>
              <w:spacing w:after="0" w:line="240" w:lineRule="auto"/>
              <w:jc w:val="center"/>
              <w:rPr>
                <w:rFonts w:ascii="Calibri" w:hAnsi="Calibri" w:cs="Calibri"/>
                <w:sz w:val="16"/>
                <w:szCs w:val="16"/>
              </w:rPr>
            </w:pPr>
            <w:r w:rsidRPr="00E95E93">
              <w:rPr>
                <w:rFonts w:ascii="Calibri" w:hAnsi="Calibri" w:cs="Calibri"/>
                <w:sz w:val="16"/>
                <w:szCs w:val="16"/>
              </w:rPr>
              <w:t>4</w:t>
            </w:r>
            <w:r w:rsidR="00DE675B" w:rsidRPr="00E95E93">
              <w:rPr>
                <w:rFonts w:ascii="Calibri" w:hAnsi="Calibri" w:cs="Calibri"/>
                <w:sz w:val="16"/>
                <w:szCs w:val="16"/>
              </w:rPr>
              <w:t>4</w:t>
            </w:r>
          </w:p>
        </w:tc>
        <w:tc>
          <w:tcPr>
            <w:tcW w:w="379" w:type="dxa"/>
            <w:tcBorders>
              <w:top w:val="nil"/>
              <w:left w:val="nil"/>
              <w:bottom w:val="single" w:sz="8" w:space="0" w:color="auto"/>
              <w:right w:val="single" w:sz="8" w:space="0" w:color="auto"/>
            </w:tcBorders>
            <w:shd w:val="clear" w:color="auto" w:fill="auto"/>
            <w:vAlign w:val="center"/>
          </w:tcPr>
          <w:p w:rsidR="0067447F" w:rsidRPr="00E95E93" w:rsidRDefault="0067447F" w:rsidP="00DE675B">
            <w:pPr>
              <w:spacing w:after="0" w:line="240" w:lineRule="auto"/>
              <w:jc w:val="center"/>
              <w:rPr>
                <w:rFonts w:ascii="Calibri" w:hAnsi="Calibri" w:cs="Calibri"/>
                <w:sz w:val="16"/>
                <w:szCs w:val="16"/>
              </w:rPr>
            </w:pPr>
            <w:r w:rsidRPr="00E95E93">
              <w:rPr>
                <w:rFonts w:ascii="Calibri" w:hAnsi="Calibri" w:cs="Calibri"/>
                <w:sz w:val="16"/>
                <w:szCs w:val="16"/>
              </w:rPr>
              <w:t>2</w:t>
            </w:r>
            <w:r w:rsidR="00DE675B" w:rsidRPr="00E95E93">
              <w:rPr>
                <w:rFonts w:ascii="Calibri" w:hAnsi="Calibri" w:cs="Calibri"/>
                <w:sz w:val="16"/>
                <w:szCs w:val="16"/>
              </w:rPr>
              <w:t>5</w:t>
            </w:r>
          </w:p>
        </w:tc>
        <w:tc>
          <w:tcPr>
            <w:tcW w:w="415" w:type="dxa"/>
            <w:tcBorders>
              <w:top w:val="nil"/>
              <w:left w:val="nil"/>
              <w:bottom w:val="single" w:sz="8" w:space="0" w:color="auto"/>
              <w:right w:val="single" w:sz="8" w:space="0" w:color="auto"/>
            </w:tcBorders>
            <w:shd w:val="clear" w:color="auto" w:fill="auto"/>
            <w:vAlign w:val="center"/>
            <w:hideMark/>
          </w:tcPr>
          <w:p w:rsidR="0067447F" w:rsidRPr="00E95E93" w:rsidRDefault="0067447F" w:rsidP="0067447F">
            <w:pPr>
              <w:spacing w:after="0" w:line="240" w:lineRule="auto"/>
              <w:jc w:val="center"/>
              <w:rPr>
                <w:rFonts w:ascii="Calibri" w:hAnsi="Calibri" w:cs="Calibri"/>
                <w:sz w:val="16"/>
                <w:szCs w:val="16"/>
              </w:rPr>
            </w:pPr>
            <w:r w:rsidRPr="00E95E93">
              <w:rPr>
                <w:rFonts w:ascii="Calibri" w:hAnsi="Calibri" w:cs="Calibri"/>
                <w:sz w:val="16"/>
                <w:szCs w:val="16"/>
              </w:rPr>
              <w:t>29</w:t>
            </w:r>
          </w:p>
        </w:tc>
        <w:tc>
          <w:tcPr>
            <w:tcW w:w="379" w:type="dxa"/>
            <w:tcBorders>
              <w:top w:val="nil"/>
              <w:left w:val="nil"/>
              <w:bottom w:val="single" w:sz="8" w:space="0" w:color="auto"/>
              <w:right w:val="single" w:sz="8" w:space="0" w:color="auto"/>
            </w:tcBorders>
            <w:shd w:val="clear" w:color="auto" w:fill="auto"/>
            <w:vAlign w:val="center"/>
            <w:hideMark/>
          </w:tcPr>
          <w:p w:rsidR="0067447F" w:rsidRPr="00E95E93" w:rsidRDefault="00E95E93" w:rsidP="0067447F">
            <w:pPr>
              <w:spacing w:after="0" w:line="240" w:lineRule="auto"/>
              <w:jc w:val="center"/>
              <w:rPr>
                <w:rFonts w:ascii="Calibri" w:eastAsia="Times New Roman" w:hAnsi="Calibri" w:cs="Calibri"/>
                <w:sz w:val="16"/>
                <w:szCs w:val="16"/>
                <w:lang w:eastAsia="en-CA"/>
              </w:rPr>
            </w:pPr>
            <w:r>
              <w:rPr>
                <w:rFonts w:ascii="Calibri" w:eastAsia="Times New Roman" w:hAnsi="Calibri" w:cs="Calibri"/>
                <w:sz w:val="16"/>
                <w:szCs w:val="16"/>
                <w:lang w:eastAsia="en-CA"/>
              </w:rPr>
              <w:t xml:space="preserve"> </w:t>
            </w:r>
          </w:p>
        </w:tc>
        <w:tc>
          <w:tcPr>
            <w:tcW w:w="379" w:type="dxa"/>
            <w:tcBorders>
              <w:top w:val="nil"/>
              <w:left w:val="nil"/>
              <w:bottom w:val="single" w:sz="8" w:space="0" w:color="auto"/>
              <w:right w:val="single" w:sz="8" w:space="0" w:color="auto"/>
            </w:tcBorders>
            <w:shd w:val="clear" w:color="auto" w:fill="auto"/>
            <w:vAlign w:val="center"/>
            <w:hideMark/>
          </w:tcPr>
          <w:p w:rsidR="0067447F" w:rsidRPr="00E95E93" w:rsidRDefault="00E95E93" w:rsidP="0067447F">
            <w:pPr>
              <w:spacing w:after="0" w:line="240" w:lineRule="auto"/>
              <w:jc w:val="center"/>
              <w:rPr>
                <w:rFonts w:ascii="Calibri" w:eastAsia="Times New Roman" w:hAnsi="Calibri" w:cs="Calibri"/>
                <w:sz w:val="16"/>
                <w:szCs w:val="16"/>
                <w:lang w:eastAsia="en-CA"/>
              </w:rPr>
            </w:pPr>
            <w:r>
              <w:rPr>
                <w:rFonts w:ascii="Calibri" w:eastAsia="Times New Roman" w:hAnsi="Calibri" w:cs="Calibri"/>
                <w:sz w:val="16"/>
                <w:szCs w:val="16"/>
                <w:lang w:eastAsia="en-CA"/>
              </w:rPr>
              <w:t xml:space="preserve"> </w:t>
            </w:r>
          </w:p>
        </w:tc>
        <w:tc>
          <w:tcPr>
            <w:tcW w:w="379" w:type="dxa"/>
            <w:tcBorders>
              <w:top w:val="nil"/>
              <w:left w:val="nil"/>
              <w:bottom w:val="single" w:sz="8" w:space="0" w:color="auto"/>
              <w:right w:val="single" w:sz="8" w:space="0" w:color="auto"/>
            </w:tcBorders>
            <w:shd w:val="clear" w:color="auto" w:fill="auto"/>
            <w:vAlign w:val="center"/>
            <w:hideMark/>
          </w:tcPr>
          <w:p w:rsidR="0067447F" w:rsidRPr="00E95E93" w:rsidRDefault="00E95E93" w:rsidP="0067447F">
            <w:pPr>
              <w:spacing w:after="0" w:line="240" w:lineRule="auto"/>
              <w:jc w:val="center"/>
              <w:rPr>
                <w:rFonts w:ascii="Calibri" w:eastAsia="Times New Roman" w:hAnsi="Calibri" w:cs="Calibri"/>
                <w:sz w:val="16"/>
                <w:szCs w:val="16"/>
                <w:lang w:eastAsia="en-CA"/>
              </w:rPr>
            </w:pPr>
            <w:r>
              <w:rPr>
                <w:rFonts w:ascii="Calibri" w:eastAsia="Times New Roman" w:hAnsi="Calibri" w:cs="Calibri"/>
                <w:sz w:val="16"/>
                <w:szCs w:val="16"/>
                <w:lang w:eastAsia="en-CA"/>
              </w:rPr>
              <w:t xml:space="preserve"> </w:t>
            </w:r>
          </w:p>
        </w:tc>
        <w:tc>
          <w:tcPr>
            <w:tcW w:w="379" w:type="dxa"/>
            <w:tcBorders>
              <w:top w:val="nil"/>
              <w:left w:val="nil"/>
              <w:bottom w:val="single" w:sz="8" w:space="0" w:color="auto"/>
              <w:right w:val="single" w:sz="8" w:space="0" w:color="auto"/>
            </w:tcBorders>
            <w:shd w:val="clear" w:color="auto" w:fill="auto"/>
            <w:vAlign w:val="center"/>
            <w:hideMark/>
          </w:tcPr>
          <w:p w:rsidR="0067447F" w:rsidRPr="00E95E93" w:rsidRDefault="00E95E93" w:rsidP="0067447F">
            <w:pPr>
              <w:spacing w:after="0" w:line="240" w:lineRule="auto"/>
              <w:jc w:val="center"/>
              <w:rPr>
                <w:rFonts w:ascii="Calibri" w:eastAsia="Times New Roman" w:hAnsi="Calibri" w:cs="Calibri"/>
                <w:sz w:val="16"/>
                <w:szCs w:val="16"/>
                <w:lang w:eastAsia="en-CA"/>
              </w:rPr>
            </w:pPr>
            <w:r>
              <w:rPr>
                <w:rFonts w:ascii="Calibri" w:eastAsia="Times New Roman" w:hAnsi="Calibri" w:cs="Calibri"/>
                <w:sz w:val="16"/>
                <w:szCs w:val="16"/>
                <w:lang w:eastAsia="en-CA"/>
              </w:rPr>
              <w:t xml:space="preserve"> </w:t>
            </w:r>
          </w:p>
        </w:tc>
        <w:tc>
          <w:tcPr>
            <w:tcW w:w="379" w:type="dxa"/>
            <w:tcBorders>
              <w:top w:val="nil"/>
              <w:left w:val="nil"/>
              <w:bottom w:val="single" w:sz="8" w:space="0" w:color="auto"/>
              <w:right w:val="single" w:sz="8" w:space="0" w:color="auto"/>
            </w:tcBorders>
            <w:shd w:val="clear" w:color="auto" w:fill="auto"/>
            <w:vAlign w:val="center"/>
            <w:hideMark/>
          </w:tcPr>
          <w:p w:rsidR="0067447F" w:rsidRPr="00E95E93" w:rsidRDefault="00E95E93" w:rsidP="0067447F">
            <w:pPr>
              <w:spacing w:after="0" w:line="240" w:lineRule="auto"/>
              <w:jc w:val="center"/>
              <w:rPr>
                <w:rFonts w:ascii="Calibri" w:eastAsia="Times New Roman" w:hAnsi="Calibri" w:cs="Calibri"/>
                <w:sz w:val="16"/>
                <w:szCs w:val="16"/>
                <w:lang w:eastAsia="en-CA"/>
              </w:rPr>
            </w:pPr>
            <w:r>
              <w:rPr>
                <w:rFonts w:ascii="Calibri" w:eastAsia="Times New Roman" w:hAnsi="Calibri" w:cs="Calibri"/>
                <w:sz w:val="16"/>
                <w:szCs w:val="16"/>
                <w:lang w:eastAsia="en-CA"/>
              </w:rPr>
              <w:t xml:space="preserve"> </w:t>
            </w:r>
          </w:p>
        </w:tc>
        <w:tc>
          <w:tcPr>
            <w:tcW w:w="379" w:type="dxa"/>
            <w:tcBorders>
              <w:top w:val="nil"/>
              <w:left w:val="nil"/>
              <w:bottom w:val="single" w:sz="8" w:space="0" w:color="auto"/>
              <w:right w:val="single" w:sz="8" w:space="0" w:color="auto"/>
            </w:tcBorders>
            <w:shd w:val="clear" w:color="auto" w:fill="auto"/>
            <w:vAlign w:val="center"/>
            <w:hideMark/>
          </w:tcPr>
          <w:p w:rsidR="0067447F" w:rsidRPr="00E95E93" w:rsidRDefault="00E95E93" w:rsidP="0067447F">
            <w:pPr>
              <w:spacing w:after="0" w:line="240" w:lineRule="auto"/>
              <w:jc w:val="center"/>
              <w:rPr>
                <w:rFonts w:ascii="Calibri" w:eastAsia="Times New Roman" w:hAnsi="Calibri" w:cs="Calibri"/>
                <w:sz w:val="16"/>
                <w:szCs w:val="16"/>
                <w:lang w:eastAsia="en-CA"/>
              </w:rPr>
            </w:pPr>
            <w:r>
              <w:rPr>
                <w:rFonts w:ascii="Calibri" w:eastAsia="Times New Roman" w:hAnsi="Calibri" w:cs="Calibri"/>
                <w:sz w:val="16"/>
                <w:szCs w:val="16"/>
                <w:lang w:eastAsia="en-CA"/>
              </w:rPr>
              <w:t xml:space="preserve"> </w:t>
            </w:r>
          </w:p>
        </w:tc>
      </w:tr>
      <w:tr w:rsidR="00B61BF6" w:rsidRPr="00E95E93" w:rsidTr="0067447F">
        <w:trPr>
          <w:trHeight w:val="315"/>
          <w:jc w:val="center"/>
        </w:trPr>
        <w:tc>
          <w:tcPr>
            <w:tcW w:w="665" w:type="dxa"/>
            <w:tcBorders>
              <w:top w:val="nil"/>
              <w:left w:val="single" w:sz="4" w:space="0" w:color="auto"/>
              <w:bottom w:val="single" w:sz="8" w:space="0" w:color="auto"/>
              <w:right w:val="single" w:sz="4"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2011</w:t>
            </w:r>
          </w:p>
        </w:tc>
        <w:tc>
          <w:tcPr>
            <w:tcW w:w="379" w:type="dxa"/>
            <w:tcBorders>
              <w:top w:val="nil"/>
              <w:left w:val="single" w:sz="4" w:space="0" w:color="auto"/>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8</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8</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16</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11</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5</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13</w:t>
            </w:r>
          </w:p>
        </w:tc>
        <w:tc>
          <w:tcPr>
            <w:tcW w:w="415"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6</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E95E93" w:rsidP="005F1E43">
            <w:pPr>
              <w:spacing w:after="0" w:line="240" w:lineRule="auto"/>
              <w:jc w:val="center"/>
              <w:rPr>
                <w:rFonts w:ascii="Calibri" w:eastAsia="Times New Roman" w:hAnsi="Calibri" w:cs="Calibri"/>
                <w:sz w:val="16"/>
                <w:szCs w:val="16"/>
                <w:lang w:eastAsia="en-CA"/>
              </w:rPr>
            </w:pPr>
            <w:r>
              <w:rPr>
                <w:rFonts w:ascii="Calibri" w:eastAsia="Times New Roman" w:hAnsi="Calibri" w:cs="Calibri"/>
                <w:sz w:val="16"/>
                <w:szCs w:val="16"/>
                <w:lang w:eastAsia="en-CA"/>
              </w:rPr>
              <w:t xml:space="preserve"> </w:t>
            </w:r>
            <w:r w:rsidR="00B50B05"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r w:rsidR="00E95E93">
              <w:rPr>
                <w:rFonts w:ascii="Calibri" w:eastAsia="Times New Roman" w:hAnsi="Calibri" w:cs="Calibri"/>
                <w:sz w:val="16"/>
                <w:szCs w:val="16"/>
                <w:lang w:eastAsia="en-CA"/>
              </w:rPr>
              <w:t xml:space="preserve"> </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r w:rsidR="00E95E93">
              <w:rPr>
                <w:rFonts w:ascii="Calibri" w:eastAsia="Times New Roman" w:hAnsi="Calibri" w:cs="Calibri"/>
                <w:sz w:val="16"/>
                <w:szCs w:val="16"/>
                <w:lang w:eastAsia="en-CA"/>
              </w:rPr>
              <w:t xml:space="preserve"> </w:t>
            </w:r>
          </w:p>
        </w:tc>
      </w:tr>
      <w:tr w:rsidR="00B61BF6" w:rsidRPr="00E95E93" w:rsidTr="0067447F">
        <w:trPr>
          <w:trHeight w:val="315"/>
          <w:jc w:val="center"/>
        </w:trPr>
        <w:tc>
          <w:tcPr>
            <w:tcW w:w="665" w:type="dxa"/>
            <w:tcBorders>
              <w:top w:val="nil"/>
              <w:left w:val="single" w:sz="4" w:space="0" w:color="auto"/>
              <w:bottom w:val="single" w:sz="8" w:space="0" w:color="auto"/>
              <w:right w:val="single" w:sz="4"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2010</w:t>
            </w:r>
          </w:p>
        </w:tc>
        <w:tc>
          <w:tcPr>
            <w:tcW w:w="379" w:type="dxa"/>
            <w:tcBorders>
              <w:top w:val="nil"/>
              <w:left w:val="single" w:sz="4" w:space="0" w:color="auto"/>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15"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r>
      <w:tr w:rsidR="00B61BF6" w:rsidRPr="00E95E93" w:rsidTr="0067447F">
        <w:trPr>
          <w:trHeight w:val="315"/>
          <w:jc w:val="center"/>
        </w:trPr>
        <w:tc>
          <w:tcPr>
            <w:tcW w:w="665" w:type="dxa"/>
            <w:tcBorders>
              <w:top w:val="nil"/>
              <w:left w:val="single" w:sz="4" w:space="0" w:color="auto"/>
              <w:bottom w:val="single" w:sz="8" w:space="0" w:color="auto"/>
              <w:right w:val="single" w:sz="4"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2009</w:t>
            </w:r>
          </w:p>
        </w:tc>
        <w:tc>
          <w:tcPr>
            <w:tcW w:w="379" w:type="dxa"/>
            <w:tcBorders>
              <w:top w:val="nil"/>
              <w:left w:val="single" w:sz="4" w:space="0" w:color="auto"/>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15"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r>
      <w:tr w:rsidR="00B61BF6" w:rsidRPr="00E95E93" w:rsidTr="0067447F">
        <w:trPr>
          <w:trHeight w:val="315"/>
          <w:jc w:val="center"/>
        </w:trPr>
        <w:tc>
          <w:tcPr>
            <w:tcW w:w="665" w:type="dxa"/>
            <w:tcBorders>
              <w:top w:val="nil"/>
              <w:left w:val="single" w:sz="4" w:space="0" w:color="auto"/>
              <w:bottom w:val="single" w:sz="8" w:space="0" w:color="auto"/>
              <w:right w:val="single" w:sz="4"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2008</w:t>
            </w:r>
          </w:p>
        </w:tc>
        <w:tc>
          <w:tcPr>
            <w:tcW w:w="379" w:type="dxa"/>
            <w:tcBorders>
              <w:top w:val="nil"/>
              <w:left w:val="single" w:sz="4" w:space="0" w:color="auto"/>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5</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6</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8</w:t>
            </w:r>
          </w:p>
        </w:tc>
        <w:tc>
          <w:tcPr>
            <w:tcW w:w="415"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r>
      <w:tr w:rsidR="00B61BF6" w:rsidRPr="00E95E93" w:rsidTr="0067447F">
        <w:trPr>
          <w:trHeight w:val="315"/>
          <w:jc w:val="center"/>
        </w:trPr>
        <w:tc>
          <w:tcPr>
            <w:tcW w:w="665" w:type="dxa"/>
            <w:tcBorders>
              <w:top w:val="nil"/>
              <w:left w:val="single" w:sz="4" w:space="0" w:color="auto"/>
              <w:bottom w:val="single" w:sz="8" w:space="0" w:color="auto"/>
              <w:right w:val="single" w:sz="4"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2007</w:t>
            </w:r>
          </w:p>
        </w:tc>
        <w:tc>
          <w:tcPr>
            <w:tcW w:w="379" w:type="dxa"/>
            <w:tcBorders>
              <w:top w:val="nil"/>
              <w:left w:val="single" w:sz="4" w:space="0" w:color="auto"/>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35</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36</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72</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139</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424</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471</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443</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287</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182</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116</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71</w:t>
            </w:r>
          </w:p>
        </w:tc>
        <w:tc>
          <w:tcPr>
            <w:tcW w:w="415"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18</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5</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w:t>
            </w:r>
          </w:p>
        </w:tc>
      </w:tr>
      <w:tr w:rsidR="00B61BF6" w:rsidRPr="00E95E93" w:rsidTr="0067447F">
        <w:trPr>
          <w:trHeight w:val="315"/>
          <w:jc w:val="center"/>
        </w:trPr>
        <w:tc>
          <w:tcPr>
            <w:tcW w:w="665" w:type="dxa"/>
            <w:tcBorders>
              <w:top w:val="nil"/>
              <w:left w:val="single" w:sz="4" w:space="0" w:color="auto"/>
              <w:bottom w:val="single" w:sz="8" w:space="0" w:color="auto"/>
              <w:right w:val="single" w:sz="4"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2006</w:t>
            </w:r>
          </w:p>
        </w:tc>
        <w:tc>
          <w:tcPr>
            <w:tcW w:w="379" w:type="dxa"/>
            <w:tcBorders>
              <w:top w:val="nil"/>
              <w:left w:val="single" w:sz="4" w:space="0" w:color="auto"/>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10</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11</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15</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27</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22</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16</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13</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415"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r>
      <w:tr w:rsidR="00B61BF6" w:rsidRPr="00E95E93" w:rsidTr="0067447F">
        <w:trPr>
          <w:trHeight w:val="315"/>
          <w:jc w:val="center"/>
        </w:trPr>
        <w:tc>
          <w:tcPr>
            <w:tcW w:w="665" w:type="dxa"/>
            <w:tcBorders>
              <w:top w:val="nil"/>
              <w:left w:val="single" w:sz="4" w:space="0" w:color="auto"/>
              <w:bottom w:val="single" w:sz="8" w:space="0" w:color="auto"/>
              <w:right w:val="single" w:sz="4"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2005</w:t>
            </w:r>
          </w:p>
        </w:tc>
        <w:tc>
          <w:tcPr>
            <w:tcW w:w="379" w:type="dxa"/>
            <w:tcBorders>
              <w:top w:val="nil"/>
              <w:left w:val="single" w:sz="4" w:space="0" w:color="auto"/>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11</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28</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28</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38</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45</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27</w:t>
            </w:r>
          </w:p>
        </w:tc>
        <w:tc>
          <w:tcPr>
            <w:tcW w:w="415"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15</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7</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12</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r>
      <w:tr w:rsidR="00B61BF6" w:rsidRPr="00E95E93" w:rsidTr="0067447F">
        <w:trPr>
          <w:trHeight w:val="315"/>
          <w:jc w:val="center"/>
        </w:trPr>
        <w:tc>
          <w:tcPr>
            <w:tcW w:w="665" w:type="dxa"/>
            <w:tcBorders>
              <w:top w:val="nil"/>
              <w:left w:val="single" w:sz="4" w:space="0" w:color="auto"/>
              <w:bottom w:val="single" w:sz="8" w:space="0" w:color="auto"/>
              <w:right w:val="single" w:sz="4"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2004</w:t>
            </w:r>
          </w:p>
        </w:tc>
        <w:tc>
          <w:tcPr>
            <w:tcW w:w="379" w:type="dxa"/>
            <w:tcBorders>
              <w:top w:val="nil"/>
              <w:left w:val="single" w:sz="4" w:space="0" w:color="auto"/>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6</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415"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r>
      <w:tr w:rsidR="00B61BF6" w:rsidRPr="00E95E93" w:rsidTr="0067447F">
        <w:trPr>
          <w:trHeight w:val="315"/>
          <w:jc w:val="center"/>
        </w:trPr>
        <w:tc>
          <w:tcPr>
            <w:tcW w:w="665"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2003</w:t>
            </w:r>
          </w:p>
        </w:tc>
        <w:tc>
          <w:tcPr>
            <w:tcW w:w="379" w:type="dxa"/>
            <w:tcBorders>
              <w:top w:val="nil"/>
              <w:left w:val="single" w:sz="4" w:space="0" w:color="auto"/>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5</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11</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9</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27</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66</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249</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323</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324</w:t>
            </w:r>
          </w:p>
        </w:tc>
        <w:tc>
          <w:tcPr>
            <w:tcW w:w="460"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178</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w:t>
            </w:r>
          </w:p>
        </w:tc>
        <w:tc>
          <w:tcPr>
            <w:tcW w:w="415"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82</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37</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14</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8</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w:t>
            </w:r>
          </w:p>
        </w:tc>
        <w:tc>
          <w:tcPr>
            <w:tcW w:w="379" w:type="dxa"/>
            <w:tcBorders>
              <w:top w:val="nil"/>
              <w:left w:val="nil"/>
              <w:bottom w:val="single" w:sz="8" w:space="0" w:color="auto"/>
              <w:right w:val="single" w:sz="8" w:space="0" w:color="auto"/>
            </w:tcBorders>
            <w:shd w:val="clear" w:color="auto" w:fill="D9D9D9" w:themeFill="background1" w:themeFillShade="D9"/>
            <w:vAlign w:val="center"/>
            <w:hideMark/>
          </w:tcPr>
          <w:p w:rsidR="00B50B05" w:rsidRPr="00E95E93" w:rsidRDefault="00B50B05" w:rsidP="005F1E43">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r>
    </w:tbl>
    <w:p w:rsidR="0048394C" w:rsidRPr="00E95E93" w:rsidRDefault="0048394C" w:rsidP="0048394C">
      <w:pPr>
        <w:spacing w:after="0" w:line="240" w:lineRule="auto"/>
      </w:pPr>
    </w:p>
    <w:p w:rsidR="005F1E43" w:rsidRPr="00E95E93" w:rsidRDefault="005F1E43">
      <w:r w:rsidRPr="00E95E93">
        <w:br w:type="page"/>
      </w:r>
    </w:p>
    <w:p w:rsidR="00341A4B" w:rsidRPr="00E95E93" w:rsidRDefault="00341A4B" w:rsidP="005F0448">
      <w:pPr>
        <w:spacing w:after="0" w:line="240" w:lineRule="auto"/>
        <w:jc w:val="center"/>
        <w:rPr>
          <w:rFonts w:ascii="Arial" w:eastAsia="Times New Roman" w:hAnsi="Arial" w:cs="Arial"/>
          <w:b/>
          <w:bCs/>
          <w:sz w:val="20"/>
          <w:szCs w:val="20"/>
          <w:lang w:eastAsia="en-CA"/>
        </w:rPr>
      </w:pPr>
    </w:p>
    <w:p w:rsidR="00341A4B" w:rsidRPr="00E95E93" w:rsidRDefault="00341A4B" w:rsidP="005F0448">
      <w:pPr>
        <w:spacing w:after="0" w:line="240" w:lineRule="auto"/>
        <w:jc w:val="center"/>
        <w:rPr>
          <w:rFonts w:ascii="Arial" w:eastAsia="Times New Roman" w:hAnsi="Arial" w:cs="Arial"/>
          <w:b/>
          <w:bCs/>
          <w:sz w:val="20"/>
          <w:szCs w:val="20"/>
          <w:lang w:eastAsia="en-CA"/>
        </w:rPr>
      </w:pPr>
    </w:p>
    <w:p w:rsidR="00341A4B" w:rsidRPr="00E95E93" w:rsidRDefault="00A615F3" w:rsidP="005F0448">
      <w:pPr>
        <w:spacing w:after="0" w:line="240" w:lineRule="auto"/>
        <w:jc w:val="center"/>
        <w:rPr>
          <w:rFonts w:ascii="Arial" w:eastAsia="Times New Roman" w:hAnsi="Arial" w:cs="Arial"/>
          <w:b/>
          <w:bCs/>
          <w:sz w:val="20"/>
          <w:szCs w:val="20"/>
          <w:lang w:eastAsia="en-CA"/>
        </w:rPr>
      </w:pPr>
      <w:r w:rsidRPr="00E95E93">
        <w:t>Table 4</w:t>
      </w:r>
    </w:p>
    <w:p w:rsidR="00341A4B" w:rsidRPr="00E95E93" w:rsidRDefault="00341A4B" w:rsidP="005F0448">
      <w:pPr>
        <w:spacing w:after="0" w:line="240" w:lineRule="auto"/>
        <w:jc w:val="center"/>
        <w:rPr>
          <w:rFonts w:ascii="Arial" w:eastAsia="Times New Roman" w:hAnsi="Arial" w:cs="Arial"/>
          <w:b/>
          <w:bCs/>
          <w:sz w:val="20"/>
          <w:szCs w:val="20"/>
          <w:lang w:eastAsia="en-CA"/>
        </w:rPr>
      </w:pPr>
    </w:p>
    <w:p w:rsidR="005F0448" w:rsidRPr="00E95E93" w:rsidRDefault="006050DD" w:rsidP="005F0448">
      <w:pPr>
        <w:spacing w:after="0" w:line="240" w:lineRule="auto"/>
        <w:jc w:val="center"/>
        <w:rPr>
          <w:rFonts w:eastAsia="Times New Roman" w:cstheme="minorHAnsi"/>
          <w:b/>
          <w:bCs/>
          <w:sz w:val="20"/>
          <w:szCs w:val="20"/>
          <w:lang w:eastAsia="en-CA"/>
        </w:rPr>
      </w:pPr>
      <w:r w:rsidRPr="00E95E93">
        <w:rPr>
          <w:rFonts w:eastAsia="Times New Roman" w:cstheme="minorHAnsi"/>
          <w:b/>
          <w:bCs/>
          <w:sz w:val="20"/>
          <w:szCs w:val="20"/>
          <w:lang w:eastAsia="en-CA"/>
        </w:rPr>
        <w:t xml:space="preserve">Reported </w:t>
      </w:r>
      <w:r w:rsidR="00B50B05" w:rsidRPr="00E95E93">
        <w:rPr>
          <w:rFonts w:eastAsia="Times New Roman" w:cstheme="minorHAnsi"/>
          <w:b/>
          <w:bCs/>
          <w:sz w:val="20"/>
          <w:szCs w:val="20"/>
          <w:lang w:eastAsia="en-CA"/>
        </w:rPr>
        <w:t xml:space="preserve">cumulative </w:t>
      </w:r>
      <w:r w:rsidRPr="00E95E93">
        <w:rPr>
          <w:rFonts w:eastAsia="Times New Roman" w:cstheme="minorHAnsi"/>
          <w:b/>
          <w:bCs/>
          <w:sz w:val="20"/>
          <w:szCs w:val="20"/>
          <w:lang w:eastAsia="en-CA"/>
        </w:rPr>
        <w:t>n</w:t>
      </w:r>
      <w:r w:rsidR="005F0448" w:rsidRPr="00E95E93">
        <w:rPr>
          <w:rFonts w:eastAsia="Times New Roman" w:cstheme="minorHAnsi"/>
          <w:b/>
          <w:bCs/>
          <w:sz w:val="20"/>
          <w:szCs w:val="20"/>
          <w:lang w:eastAsia="en-CA"/>
        </w:rPr>
        <w:t xml:space="preserve">umber of </w:t>
      </w:r>
      <w:r w:rsidR="006C2A9A" w:rsidRPr="00E95E93">
        <w:rPr>
          <w:rFonts w:cstheme="minorHAnsi"/>
          <w:b/>
          <w:sz w:val="20"/>
          <w:szCs w:val="18"/>
        </w:rPr>
        <w:t>West Nile virus</w:t>
      </w:r>
      <w:r w:rsidR="005F0448" w:rsidRPr="00E95E93">
        <w:rPr>
          <w:rFonts w:eastAsia="Times New Roman" w:cstheme="minorHAnsi"/>
          <w:b/>
          <w:bCs/>
          <w:sz w:val="20"/>
          <w:szCs w:val="20"/>
          <w:lang w:eastAsia="en-CA"/>
        </w:rPr>
        <w:t xml:space="preserve"> positive mosquito pools by </w:t>
      </w:r>
      <w:r w:rsidR="003162CE" w:rsidRPr="00E95E93">
        <w:rPr>
          <w:rFonts w:eastAsia="Times New Roman" w:cstheme="minorHAnsi"/>
          <w:b/>
          <w:bCs/>
          <w:sz w:val="20"/>
          <w:szCs w:val="20"/>
          <w:lang w:eastAsia="en-CA"/>
        </w:rPr>
        <w:t>P</w:t>
      </w:r>
      <w:r w:rsidR="00D97440" w:rsidRPr="00E95E93">
        <w:rPr>
          <w:rFonts w:eastAsia="Times New Roman" w:cstheme="minorHAnsi"/>
          <w:b/>
          <w:bCs/>
          <w:sz w:val="20"/>
          <w:szCs w:val="20"/>
          <w:lang w:eastAsia="en-CA"/>
        </w:rPr>
        <w:t>rovince</w:t>
      </w:r>
      <w:r w:rsidR="00B17B61" w:rsidRPr="00E95E93">
        <w:rPr>
          <w:rFonts w:eastAsia="Times New Roman" w:cstheme="minorHAnsi"/>
          <w:b/>
          <w:bCs/>
          <w:sz w:val="20"/>
          <w:szCs w:val="20"/>
          <w:lang w:eastAsia="en-CA"/>
        </w:rPr>
        <w:t>/Territory</w:t>
      </w:r>
      <w:r w:rsidR="00E10AD9" w:rsidRPr="00E95E93">
        <w:rPr>
          <w:rFonts w:eastAsia="Times New Roman" w:cstheme="minorHAnsi"/>
          <w:b/>
          <w:bCs/>
          <w:sz w:val="20"/>
          <w:szCs w:val="20"/>
          <w:lang w:eastAsia="en-CA"/>
        </w:rPr>
        <w:t xml:space="preserve"> and by report week</w:t>
      </w:r>
      <w:r w:rsidR="003162CE" w:rsidRPr="00E95E93">
        <w:rPr>
          <w:rFonts w:eastAsia="Times New Roman" w:cstheme="minorHAnsi"/>
          <w:b/>
          <w:bCs/>
          <w:sz w:val="20"/>
          <w:szCs w:val="20"/>
          <w:lang w:eastAsia="en-CA"/>
        </w:rPr>
        <w:t>,</w:t>
      </w:r>
      <w:r w:rsidR="008A6188" w:rsidRPr="00E95E93">
        <w:rPr>
          <w:rFonts w:eastAsia="Times New Roman" w:cstheme="minorHAnsi"/>
          <w:b/>
          <w:bCs/>
          <w:sz w:val="20"/>
          <w:szCs w:val="20"/>
          <w:lang w:eastAsia="en-CA"/>
        </w:rPr>
        <w:t xml:space="preserve"> 2012</w:t>
      </w:r>
      <w:r w:rsidR="00D97440" w:rsidRPr="00E95E93">
        <w:rPr>
          <w:rFonts w:eastAsia="Times New Roman" w:cstheme="minorHAnsi"/>
          <w:b/>
          <w:bCs/>
          <w:sz w:val="20"/>
          <w:szCs w:val="20"/>
          <w:lang w:eastAsia="en-CA"/>
        </w:rPr>
        <w:t xml:space="preserve"> season</w:t>
      </w:r>
      <w:r w:rsidR="002A40A2" w:rsidRPr="00E95E93">
        <w:rPr>
          <w:rFonts w:eastAsia="Times New Roman" w:cstheme="minorHAnsi"/>
          <w:b/>
          <w:bCs/>
          <w:sz w:val="20"/>
          <w:szCs w:val="20"/>
          <w:lang w:eastAsia="en-CA"/>
        </w:rPr>
        <w:t>*</w:t>
      </w:r>
    </w:p>
    <w:p w:rsidR="00341A4B" w:rsidRPr="00E95E93" w:rsidRDefault="00341A4B" w:rsidP="005F0448">
      <w:pPr>
        <w:spacing w:after="0" w:line="240" w:lineRule="auto"/>
        <w:jc w:val="center"/>
        <w:rPr>
          <w:rFonts w:ascii="Arial" w:eastAsia="Times New Roman" w:hAnsi="Arial" w:cs="Arial"/>
          <w:b/>
          <w:bCs/>
          <w:sz w:val="20"/>
          <w:szCs w:val="20"/>
          <w:lang w:eastAsia="en-CA"/>
        </w:rPr>
      </w:pPr>
    </w:p>
    <w:tbl>
      <w:tblPr>
        <w:tblW w:w="14167" w:type="dxa"/>
        <w:jc w:val="center"/>
        <w:tblInd w:w="93" w:type="dxa"/>
        <w:tblLayout w:type="fixed"/>
        <w:tblLook w:val="04A0"/>
      </w:tblPr>
      <w:tblGrid>
        <w:gridCol w:w="1652"/>
        <w:gridCol w:w="443"/>
        <w:gridCol w:w="444"/>
        <w:gridCol w:w="26"/>
        <w:gridCol w:w="418"/>
        <w:gridCol w:w="444"/>
        <w:gridCol w:w="379"/>
        <w:gridCol w:w="379"/>
        <w:gridCol w:w="379"/>
        <w:gridCol w:w="379"/>
        <w:gridCol w:w="379"/>
        <w:gridCol w:w="379"/>
        <w:gridCol w:w="379"/>
        <w:gridCol w:w="379"/>
        <w:gridCol w:w="379"/>
        <w:gridCol w:w="379"/>
        <w:gridCol w:w="460"/>
        <w:gridCol w:w="460"/>
        <w:gridCol w:w="460"/>
        <w:gridCol w:w="460"/>
        <w:gridCol w:w="460"/>
        <w:gridCol w:w="460"/>
        <w:gridCol w:w="460"/>
        <w:gridCol w:w="583"/>
        <w:gridCol w:w="539"/>
        <w:gridCol w:w="397"/>
        <w:gridCol w:w="458"/>
        <w:gridCol w:w="458"/>
        <w:gridCol w:w="379"/>
        <w:gridCol w:w="458"/>
        <w:gridCol w:w="458"/>
      </w:tblGrid>
      <w:tr w:rsidR="00B61BF6" w:rsidRPr="00E95E93" w:rsidTr="00C3247B">
        <w:trPr>
          <w:trHeight w:val="315"/>
          <w:jc w:val="center"/>
        </w:trPr>
        <w:tc>
          <w:tcPr>
            <w:tcW w:w="1652" w:type="dxa"/>
            <w:vMerge w:val="restart"/>
            <w:tcBorders>
              <w:top w:val="single" w:sz="8" w:space="0" w:color="auto"/>
              <w:left w:val="single" w:sz="4" w:space="0" w:color="auto"/>
              <w:bottom w:val="single" w:sz="8" w:space="0" w:color="000000"/>
              <w:right w:val="single" w:sz="8" w:space="0" w:color="000000"/>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12515" w:type="dxa"/>
            <w:gridSpan w:val="30"/>
            <w:tcBorders>
              <w:top w:val="single" w:sz="8" w:space="0" w:color="auto"/>
              <w:left w:val="nil"/>
              <w:bottom w:val="single" w:sz="8" w:space="0" w:color="auto"/>
              <w:right w:val="single" w:sz="8" w:space="0" w:color="000000"/>
            </w:tcBorders>
            <w:shd w:val="clear" w:color="auto" w:fill="auto"/>
            <w:vAlign w:val="center"/>
            <w:hideMark/>
          </w:tcPr>
          <w:p w:rsidR="00F36D90" w:rsidRPr="00E95E93" w:rsidRDefault="00F36D90" w:rsidP="008A6188">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Report weeks of 2012</w:t>
            </w:r>
          </w:p>
        </w:tc>
      </w:tr>
      <w:tr w:rsidR="00B61BF6" w:rsidRPr="00E95E93" w:rsidTr="00C3247B">
        <w:trPr>
          <w:trHeight w:val="315"/>
          <w:jc w:val="center"/>
        </w:trPr>
        <w:tc>
          <w:tcPr>
            <w:tcW w:w="1652" w:type="dxa"/>
            <w:vMerge/>
            <w:tcBorders>
              <w:top w:val="single" w:sz="8" w:space="0" w:color="auto"/>
              <w:left w:val="single" w:sz="4" w:space="0" w:color="auto"/>
              <w:bottom w:val="single" w:sz="8" w:space="0" w:color="000000"/>
              <w:right w:val="single" w:sz="8" w:space="0" w:color="000000"/>
            </w:tcBorders>
            <w:vAlign w:val="center"/>
          </w:tcPr>
          <w:p w:rsidR="00F36D90" w:rsidRPr="00E95E93" w:rsidRDefault="00F36D90" w:rsidP="00341A4B">
            <w:pPr>
              <w:spacing w:after="0" w:line="240" w:lineRule="auto"/>
              <w:rPr>
                <w:rFonts w:ascii="Calibri" w:eastAsia="Times New Roman" w:hAnsi="Calibri" w:cs="Calibri"/>
                <w:sz w:val="16"/>
                <w:szCs w:val="16"/>
                <w:lang w:eastAsia="en-CA"/>
              </w:rPr>
            </w:pPr>
          </w:p>
        </w:tc>
        <w:tc>
          <w:tcPr>
            <w:tcW w:w="443"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17</w:t>
            </w:r>
          </w:p>
        </w:tc>
        <w:tc>
          <w:tcPr>
            <w:tcW w:w="444"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18</w:t>
            </w:r>
          </w:p>
        </w:tc>
        <w:tc>
          <w:tcPr>
            <w:tcW w:w="444" w:type="dxa"/>
            <w:gridSpan w:val="2"/>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19</w:t>
            </w:r>
          </w:p>
        </w:tc>
        <w:tc>
          <w:tcPr>
            <w:tcW w:w="444"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20</w:t>
            </w:r>
          </w:p>
        </w:tc>
        <w:tc>
          <w:tcPr>
            <w:tcW w:w="379"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21</w:t>
            </w:r>
          </w:p>
        </w:tc>
        <w:tc>
          <w:tcPr>
            <w:tcW w:w="379"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22</w:t>
            </w:r>
          </w:p>
        </w:tc>
        <w:tc>
          <w:tcPr>
            <w:tcW w:w="379"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23</w:t>
            </w:r>
          </w:p>
        </w:tc>
        <w:tc>
          <w:tcPr>
            <w:tcW w:w="379"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24</w:t>
            </w:r>
          </w:p>
        </w:tc>
        <w:tc>
          <w:tcPr>
            <w:tcW w:w="379"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25</w:t>
            </w:r>
          </w:p>
        </w:tc>
        <w:tc>
          <w:tcPr>
            <w:tcW w:w="379"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26</w:t>
            </w:r>
          </w:p>
        </w:tc>
        <w:tc>
          <w:tcPr>
            <w:tcW w:w="379"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27</w:t>
            </w:r>
          </w:p>
        </w:tc>
        <w:tc>
          <w:tcPr>
            <w:tcW w:w="379"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28</w:t>
            </w:r>
          </w:p>
        </w:tc>
        <w:tc>
          <w:tcPr>
            <w:tcW w:w="379"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29</w:t>
            </w:r>
          </w:p>
        </w:tc>
        <w:tc>
          <w:tcPr>
            <w:tcW w:w="379"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30</w:t>
            </w:r>
          </w:p>
        </w:tc>
        <w:tc>
          <w:tcPr>
            <w:tcW w:w="460"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31</w:t>
            </w:r>
          </w:p>
        </w:tc>
        <w:tc>
          <w:tcPr>
            <w:tcW w:w="460"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32</w:t>
            </w:r>
          </w:p>
        </w:tc>
        <w:tc>
          <w:tcPr>
            <w:tcW w:w="460"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33</w:t>
            </w:r>
          </w:p>
        </w:tc>
        <w:tc>
          <w:tcPr>
            <w:tcW w:w="460"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34</w:t>
            </w:r>
          </w:p>
        </w:tc>
        <w:tc>
          <w:tcPr>
            <w:tcW w:w="460"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35</w:t>
            </w:r>
          </w:p>
        </w:tc>
        <w:tc>
          <w:tcPr>
            <w:tcW w:w="460"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36</w:t>
            </w:r>
          </w:p>
        </w:tc>
        <w:tc>
          <w:tcPr>
            <w:tcW w:w="460"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37</w:t>
            </w:r>
          </w:p>
        </w:tc>
        <w:tc>
          <w:tcPr>
            <w:tcW w:w="583"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38</w:t>
            </w:r>
          </w:p>
        </w:tc>
        <w:tc>
          <w:tcPr>
            <w:tcW w:w="539"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39</w:t>
            </w:r>
          </w:p>
        </w:tc>
        <w:tc>
          <w:tcPr>
            <w:tcW w:w="397"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40</w:t>
            </w:r>
          </w:p>
        </w:tc>
        <w:tc>
          <w:tcPr>
            <w:tcW w:w="458"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41</w:t>
            </w:r>
          </w:p>
        </w:tc>
        <w:tc>
          <w:tcPr>
            <w:tcW w:w="458"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42</w:t>
            </w:r>
          </w:p>
        </w:tc>
        <w:tc>
          <w:tcPr>
            <w:tcW w:w="379"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43</w:t>
            </w:r>
          </w:p>
        </w:tc>
        <w:tc>
          <w:tcPr>
            <w:tcW w:w="458"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44</w:t>
            </w:r>
          </w:p>
        </w:tc>
        <w:tc>
          <w:tcPr>
            <w:tcW w:w="458" w:type="dxa"/>
            <w:tcBorders>
              <w:top w:val="nil"/>
              <w:left w:val="nil"/>
              <w:bottom w:val="single" w:sz="8" w:space="0" w:color="auto"/>
              <w:right w:val="single" w:sz="8" w:space="0" w:color="auto"/>
            </w:tcBorders>
            <w:shd w:val="clear" w:color="auto" w:fill="auto"/>
            <w:vAlign w:val="center"/>
            <w:hideMark/>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45</w:t>
            </w:r>
          </w:p>
        </w:tc>
      </w:tr>
      <w:tr w:rsidR="00B61BF6" w:rsidRPr="00E95E93" w:rsidTr="00C3247B">
        <w:trPr>
          <w:trHeight w:val="315"/>
          <w:jc w:val="center"/>
        </w:trPr>
        <w:tc>
          <w:tcPr>
            <w:tcW w:w="1652" w:type="dxa"/>
            <w:tcBorders>
              <w:top w:val="nil"/>
              <w:left w:val="single" w:sz="4" w:space="0" w:color="auto"/>
              <w:bottom w:val="single" w:sz="8" w:space="0" w:color="auto"/>
              <w:right w:val="single" w:sz="8" w:space="0" w:color="auto"/>
            </w:tcBorders>
            <w:shd w:val="clear" w:color="auto" w:fill="auto"/>
            <w:vAlign w:val="center"/>
            <w:hideMark/>
          </w:tcPr>
          <w:p w:rsidR="00F36D90" w:rsidRPr="00E95E93" w:rsidRDefault="00F36D90" w:rsidP="00913021">
            <w:pPr>
              <w:spacing w:after="0" w:line="240" w:lineRule="auto"/>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Newfoundland</w:t>
            </w:r>
          </w:p>
        </w:tc>
        <w:tc>
          <w:tcPr>
            <w:tcW w:w="44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70" w:type="dxa"/>
            <w:gridSpan w:val="2"/>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18"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44"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8A2BF4">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973F95">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58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6F211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539" w:type="dxa"/>
            <w:tcBorders>
              <w:top w:val="nil"/>
              <w:left w:val="nil"/>
              <w:bottom w:val="single" w:sz="8" w:space="0" w:color="auto"/>
              <w:right w:val="single" w:sz="8" w:space="0" w:color="auto"/>
            </w:tcBorders>
            <w:shd w:val="clear" w:color="auto" w:fill="auto"/>
            <w:vAlign w:val="center"/>
          </w:tcPr>
          <w:p w:rsidR="00F36D90" w:rsidRPr="00E95E93" w:rsidRDefault="00FD4A06"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97"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r>
      <w:tr w:rsidR="00B61BF6" w:rsidRPr="00E95E93" w:rsidTr="00C3247B">
        <w:trPr>
          <w:trHeight w:val="315"/>
          <w:jc w:val="center"/>
        </w:trPr>
        <w:tc>
          <w:tcPr>
            <w:tcW w:w="1652" w:type="dxa"/>
            <w:tcBorders>
              <w:top w:val="nil"/>
              <w:left w:val="single" w:sz="4" w:space="0" w:color="auto"/>
              <w:bottom w:val="single" w:sz="8" w:space="0" w:color="auto"/>
              <w:right w:val="single" w:sz="8" w:space="0" w:color="auto"/>
            </w:tcBorders>
            <w:shd w:val="clear" w:color="auto" w:fill="auto"/>
            <w:vAlign w:val="center"/>
            <w:hideMark/>
          </w:tcPr>
          <w:p w:rsidR="00F36D90" w:rsidRPr="00E95E93" w:rsidRDefault="00F36D90" w:rsidP="00913021">
            <w:pPr>
              <w:spacing w:after="0" w:line="240" w:lineRule="auto"/>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Prince Edward Island</w:t>
            </w:r>
          </w:p>
        </w:tc>
        <w:tc>
          <w:tcPr>
            <w:tcW w:w="44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70" w:type="dxa"/>
            <w:gridSpan w:val="2"/>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18"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44"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184FA2">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8A2BF4">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6F259F">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58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6F211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539" w:type="dxa"/>
            <w:tcBorders>
              <w:top w:val="nil"/>
              <w:left w:val="nil"/>
              <w:bottom w:val="single" w:sz="8" w:space="0" w:color="auto"/>
              <w:right w:val="single" w:sz="8" w:space="0" w:color="auto"/>
            </w:tcBorders>
            <w:shd w:val="clear" w:color="auto" w:fill="auto"/>
            <w:vAlign w:val="center"/>
          </w:tcPr>
          <w:p w:rsidR="00F36D90" w:rsidRPr="00E95E93" w:rsidRDefault="00FD4A06"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97"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r>
      <w:tr w:rsidR="00B61BF6" w:rsidRPr="00E95E93" w:rsidTr="00C3247B">
        <w:trPr>
          <w:trHeight w:val="315"/>
          <w:jc w:val="center"/>
        </w:trPr>
        <w:tc>
          <w:tcPr>
            <w:tcW w:w="1652" w:type="dxa"/>
            <w:tcBorders>
              <w:top w:val="nil"/>
              <w:left w:val="single" w:sz="4" w:space="0" w:color="auto"/>
              <w:bottom w:val="single" w:sz="8" w:space="0" w:color="auto"/>
              <w:right w:val="single" w:sz="8" w:space="0" w:color="auto"/>
            </w:tcBorders>
            <w:shd w:val="clear" w:color="auto" w:fill="auto"/>
            <w:vAlign w:val="center"/>
            <w:hideMark/>
          </w:tcPr>
          <w:p w:rsidR="00F36D90" w:rsidRPr="00E95E93" w:rsidRDefault="00F36D90" w:rsidP="00913021">
            <w:pPr>
              <w:spacing w:after="0" w:line="240" w:lineRule="auto"/>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Nova Scotia**</w:t>
            </w:r>
          </w:p>
        </w:tc>
        <w:tc>
          <w:tcPr>
            <w:tcW w:w="44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70" w:type="dxa"/>
            <w:gridSpan w:val="2"/>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18"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44"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184FA2">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8A2BF4">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6F259F">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58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6F211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539" w:type="dxa"/>
            <w:tcBorders>
              <w:top w:val="nil"/>
              <w:left w:val="nil"/>
              <w:bottom w:val="single" w:sz="8" w:space="0" w:color="auto"/>
              <w:right w:val="single" w:sz="8" w:space="0" w:color="auto"/>
            </w:tcBorders>
            <w:shd w:val="clear" w:color="auto" w:fill="auto"/>
            <w:vAlign w:val="center"/>
          </w:tcPr>
          <w:p w:rsidR="00F36D90" w:rsidRPr="00E95E93" w:rsidRDefault="00FD4A06"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97"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r>
      <w:tr w:rsidR="00B61BF6" w:rsidRPr="00E95E93" w:rsidTr="00C3247B">
        <w:trPr>
          <w:trHeight w:val="315"/>
          <w:jc w:val="center"/>
        </w:trPr>
        <w:tc>
          <w:tcPr>
            <w:tcW w:w="1652" w:type="dxa"/>
            <w:tcBorders>
              <w:top w:val="nil"/>
              <w:left w:val="single" w:sz="4" w:space="0" w:color="auto"/>
              <w:bottom w:val="single" w:sz="8" w:space="0" w:color="auto"/>
              <w:right w:val="single" w:sz="8" w:space="0" w:color="auto"/>
            </w:tcBorders>
            <w:shd w:val="clear" w:color="auto" w:fill="auto"/>
            <w:vAlign w:val="center"/>
          </w:tcPr>
          <w:p w:rsidR="00F36D90" w:rsidRPr="00E95E93" w:rsidRDefault="00F36D90" w:rsidP="00913021">
            <w:pPr>
              <w:spacing w:after="0" w:line="240" w:lineRule="auto"/>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New Brunswick**</w:t>
            </w:r>
          </w:p>
        </w:tc>
        <w:tc>
          <w:tcPr>
            <w:tcW w:w="44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70" w:type="dxa"/>
            <w:gridSpan w:val="2"/>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18"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44"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184FA2">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8A2BF4">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6F259F">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58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6F211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539" w:type="dxa"/>
            <w:tcBorders>
              <w:top w:val="nil"/>
              <w:left w:val="nil"/>
              <w:bottom w:val="single" w:sz="8" w:space="0" w:color="auto"/>
              <w:right w:val="single" w:sz="8" w:space="0" w:color="auto"/>
            </w:tcBorders>
            <w:shd w:val="clear" w:color="auto" w:fill="auto"/>
            <w:vAlign w:val="center"/>
          </w:tcPr>
          <w:p w:rsidR="00F36D90" w:rsidRPr="00E95E93" w:rsidRDefault="00FD4A06"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97"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r>
      <w:tr w:rsidR="00B61BF6" w:rsidRPr="00E95E93" w:rsidTr="00C3247B">
        <w:trPr>
          <w:trHeight w:val="315"/>
          <w:jc w:val="center"/>
        </w:trPr>
        <w:tc>
          <w:tcPr>
            <w:tcW w:w="1652" w:type="dxa"/>
            <w:tcBorders>
              <w:top w:val="nil"/>
              <w:left w:val="single" w:sz="4" w:space="0" w:color="auto"/>
              <w:bottom w:val="single" w:sz="8" w:space="0" w:color="auto"/>
              <w:right w:val="single" w:sz="8" w:space="0" w:color="auto"/>
            </w:tcBorders>
            <w:shd w:val="clear" w:color="auto" w:fill="auto"/>
            <w:vAlign w:val="center"/>
          </w:tcPr>
          <w:p w:rsidR="00F36D90" w:rsidRPr="00E95E93" w:rsidRDefault="00F36D90" w:rsidP="00913021">
            <w:pPr>
              <w:spacing w:after="0" w:line="240" w:lineRule="auto"/>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Quebec**</w:t>
            </w:r>
          </w:p>
        </w:tc>
        <w:tc>
          <w:tcPr>
            <w:tcW w:w="44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70" w:type="dxa"/>
            <w:gridSpan w:val="2"/>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18"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44"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5</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9E04AC">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8</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2838CE">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19</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19</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8A2BF4">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19</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6F259F">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19</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19</w:t>
            </w:r>
          </w:p>
        </w:tc>
        <w:tc>
          <w:tcPr>
            <w:tcW w:w="583" w:type="dxa"/>
            <w:tcBorders>
              <w:top w:val="nil"/>
              <w:left w:val="nil"/>
              <w:bottom w:val="single" w:sz="8" w:space="0" w:color="auto"/>
              <w:right w:val="single" w:sz="8" w:space="0" w:color="auto"/>
            </w:tcBorders>
            <w:shd w:val="clear" w:color="auto" w:fill="auto"/>
            <w:vAlign w:val="center"/>
          </w:tcPr>
          <w:p w:rsidR="00F36D90" w:rsidRPr="00E95E93" w:rsidRDefault="006F211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19</w:t>
            </w:r>
          </w:p>
        </w:tc>
        <w:tc>
          <w:tcPr>
            <w:tcW w:w="539" w:type="dxa"/>
            <w:tcBorders>
              <w:top w:val="nil"/>
              <w:left w:val="nil"/>
              <w:bottom w:val="single" w:sz="8" w:space="0" w:color="auto"/>
              <w:right w:val="single" w:sz="8" w:space="0" w:color="auto"/>
            </w:tcBorders>
            <w:shd w:val="clear" w:color="auto" w:fill="auto"/>
            <w:vAlign w:val="center"/>
          </w:tcPr>
          <w:p w:rsidR="00F36D90" w:rsidRPr="00E95E93" w:rsidRDefault="00C3247B"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19</w:t>
            </w:r>
          </w:p>
        </w:tc>
        <w:tc>
          <w:tcPr>
            <w:tcW w:w="397"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r>
      <w:tr w:rsidR="00B61BF6" w:rsidRPr="00E95E93" w:rsidTr="00C3247B">
        <w:trPr>
          <w:trHeight w:val="315"/>
          <w:jc w:val="center"/>
        </w:trPr>
        <w:tc>
          <w:tcPr>
            <w:tcW w:w="1652" w:type="dxa"/>
            <w:tcBorders>
              <w:top w:val="nil"/>
              <w:left w:val="single" w:sz="4" w:space="0" w:color="auto"/>
              <w:bottom w:val="single" w:sz="8" w:space="0" w:color="auto"/>
              <w:right w:val="single" w:sz="8" w:space="0" w:color="auto"/>
            </w:tcBorders>
            <w:shd w:val="clear" w:color="auto" w:fill="auto"/>
            <w:vAlign w:val="center"/>
          </w:tcPr>
          <w:p w:rsidR="00F36D90" w:rsidRPr="00E95E93" w:rsidRDefault="00F36D90" w:rsidP="00913021">
            <w:pPr>
              <w:spacing w:after="0" w:line="240" w:lineRule="auto"/>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Ontario</w:t>
            </w:r>
          </w:p>
        </w:tc>
        <w:tc>
          <w:tcPr>
            <w:tcW w:w="44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70" w:type="dxa"/>
            <w:gridSpan w:val="2"/>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18"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44"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w:t>
            </w: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6</w:t>
            </w: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10</w:t>
            </w: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19</w:t>
            </w: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30</w:t>
            </w: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89</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162</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249</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312</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375</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8A2BF4">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409</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6F259F">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434</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454</w:t>
            </w:r>
          </w:p>
        </w:tc>
        <w:tc>
          <w:tcPr>
            <w:tcW w:w="583" w:type="dxa"/>
            <w:tcBorders>
              <w:top w:val="nil"/>
              <w:left w:val="nil"/>
              <w:bottom w:val="single" w:sz="8" w:space="0" w:color="auto"/>
              <w:right w:val="single" w:sz="8" w:space="0" w:color="auto"/>
            </w:tcBorders>
            <w:shd w:val="clear" w:color="auto" w:fill="auto"/>
            <w:vAlign w:val="center"/>
          </w:tcPr>
          <w:p w:rsidR="00F36D90" w:rsidRPr="00E95E93" w:rsidRDefault="006F211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462</w:t>
            </w:r>
          </w:p>
        </w:tc>
        <w:tc>
          <w:tcPr>
            <w:tcW w:w="539" w:type="dxa"/>
            <w:tcBorders>
              <w:top w:val="nil"/>
              <w:left w:val="nil"/>
              <w:bottom w:val="single" w:sz="8" w:space="0" w:color="auto"/>
              <w:right w:val="single" w:sz="8" w:space="0" w:color="auto"/>
            </w:tcBorders>
            <w:shd w:val="clear" w:color="auto" w:fill="auto"/>
            <w:vAlign w:val="center"/>
          </w:tcPr>
          <w:p w:rsidR="00F36D90" w:rsidRPr="00E95E93" w:rsidRDefault="00C3247B"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462</w:t>
            </w:r>
          </w:p>
        </w:tc>
        <w:tc>
          <w:tcPr>
            <w:tcW w:w="397"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r>
      <w:tr w:rsidR="00B61BF6" w:rsidRPr="00E95E93" w:rsidTr="00C3247B">
        <w:trPr>
          <w:trHeight w:val="315"/>
          <w:jc w:val="center"/>
        </w:trPr>
        <w:tc>
          <w:tcPr>
            <w:tcW w:w="1652" w:type="dxa"/>
            <w:tcBorders>
              <w:top w:val="nil"/>
              <w:left w:val="single" w:sz="4" w:space="0" w:color="auto"/>
              <w:bottom w:val="single" w:sz="8" w:space="0" w:color="auto"/>
              <w:right w:val="single" w:sz="8" w:space="0" w:color="auto"/>
            </w:tcBorders>
            <w:shd w:val="clear" w:color="auto" w:fill="auto"/>
            <w:vAlign w:val="center"/>
          </w:tcPr>
          <w:p w:rsidR="00F36D90" w:rsidRPr="00E95E93" w:rsidRDefault="00F36D90" w:rsidP="00913021">
            <w:pPr>
              <w:spacing w:after="0" w:line="240" w:lineRule="auto"/>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Manitoba</w:t>
            </w:r>
          </w:p>
        </w:tc>
        <w:tc>
          <w:tcPr>
            <w:tcW w:w="44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70" w:type="dxa"/>
            <w:gridSpan w:val="2"/>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18"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44"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w:t>
            </w: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20</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48</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62</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98</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108</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8A2BF4">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111</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6F259F">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116</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116</w:t>
            </w:r>
          </w:p>
        </w:tc>
        <w:tc>
          <w:tcPr>
            <w:tcW w:w="583" w:type="dxa"/>
            <w:tcBorders>
              <w:top w:val="nil"/>
              <w:left w:val="nil"/>
              <w:bottom w:val="single" w:sz="8" w:space="0" w:color="auto"/>
              <w:right w:val="single" w:sz="8" w:space="0" w:color="auto"/>
            </w:tcBorders>
            <w:shd w:val="clear" w:color="auto" w:fill="auto"/>
            <w:vAlign w:val="center"/>
          </w:tcPr>
          <w:p w:rsidR="00F36D90" w:rsidRPr="00E95E93" w:rsidRDefault="006F211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116</w:t>
            </w:r>
          </w:p>
        </w:tc>
        <w:tc>
          <w:tcPr>
            <w:tcW w:w="539" w:type="dxa"/>
            <w:tcBorders>
              <w:top w:val="nil"/>
              <w:left w:val="nil"/>
              <w:bottom w:val="single" w:sz="8" w:space="0" w:color="auto"/>
              <w:right w:val="single" w:sz="8" w:space="0" w:color="auto"/>
            </w:tcBorders>
            <w:shd w:val="clear" w:color="auto" w:fill="auto"/>
            <w:vAlign w:val="center"/>
          </w:tcPr>
          <w:p w:rsidR="00F36D90" w:rsidRPr="00E95E93" w:rsidRDefault="00C3247B"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116</w:t>
            </w:r>
          </w:p>
        </w:tc>
        <w:tc>
          <w:tcPr>
            <w:tcW w:w="397"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r>
      <w:tr w:rsidR="00B61BF6" w:rsidRPr="00E95E93" w:rsidTr="00C3247B">
        <w:trPr>
          <w:trHeight w:val="315"/>
          <w:jc w:val="center"/>
        </w:trPr>
        <w:tc>
          <w:tcPr>
            <w:tcW w:w="1652" w:type="dxa"/>
            <w:tcBorders>
              <w:top w:val="nil"/>
              <w:left w:val="single" w:sz="4" w:space="0" w:color="auto"/>
              <w:bottom w:val="single" w:sz="8" w:space="0" w:color="auto"/>
              <w:right w:val="single" w:sz="8" w:space="0" w:color="auto"/>
            </w:tcBorders>
            <w:shd w:val="clear" w:color="auto" w:fill="auto"/>
            <w:vAlign w:val="center"/>
          </w:tcPr>
          <w:p w:rsidR="00F36D90" w:rsidRPr="00E95E93" w:rsidRDefault="00F36D90" w:rsidP="00913021">
            <w:pPr>
              <w:spacing w:after="0" w:line="240" w:lineRule="auto"/>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Saskatchewan</w:t>
            </w:r>
          </w:p>
        </w:tc>
        <w:tc>
          <w:tcPr>
            <w:tcW w:w="44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70" w:type="dxa"/>
            <w:gridSpan w:val="2"/>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18"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44"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2217F4">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6</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8A2BF4">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6</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6F259F">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6</w:t>
            </w:r>
          </w:p>
        </w:tc>
        <w:tc>
          <w:tcPr>
            <w:tcW w:w="460"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6</w:t>
            </w:r>
          </w:p>
        </w:tc>
        <w:tc>
          <w:tcPr>
            <w:tcW w:w="583" w:type="dxa"/>
            <w:tcBorders>
              <w:top w:val="nil"/>
              <w:left w:val="nil"/>
              <w:bottom w:val="single" w:sz="8" w:space="0" w:color="auto"/>
              <w:right w:val="single" w:sz="8" w:space="0" w:color="auto"/>
            </w:tcBorders>
            <w:shd w:val="clear" w:color="auto" w:fill="auto"/>
            <w:vAlign w:val="center"/>
          </w:tcPr>
          <w:p w:rsidR="00F36D90" w:rsidRPr="00E95E93" w:rsidRDefault="006F211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6</w:t>
            </w:r>
          </w:p>
        </w:tc>
        <w:tc>
          <w:tcPr>
            <w:tcW w:w="539" w:type="dxa"/>
            <w:tcBorders>
              <w:top w:val="nil"/>
              <w:left w:val="nil"/>
              <w:bottom w:val="single" w:sz="8" w:space="0" w:color="auto"/>
              <w:right w:val="single" w:sz="8" w:space="0" w:color="auto"/>
            </w:tcBorders>
            <w:shd w:val="clear" w:color="auto" w:fill="auto"/>
            <w:vAlign w:val="center"/>
          </w:tcPr>
          <w:p w:rsidR="00F36D90" w:rsidRPr="00E95E93" w:rsidRDefault="00C3247B"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6</w:t>
            </w:r>
          </w:p>
        </w:tc>
        <w:tc>
          <w:tcPr>
            <w:tcW w:w="397"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r>
      <w:tr w:rsidR="00B61BF6" w:rsidRPr="00E95E93" w:rsidTr="00C3247B">
        <w:trPr>
          <w:trHeight w:val="315"/>
          <w:jc w:val="center"/>
        </w:trPr>
        <w:tc>
          <w:tcPr>
            <w:tcW w:w="1652" w:type="dxa"/>
            <w:tcBorders>
              <w:top w:val="nil"/>
              <w:left w:val="single" w:sz="4" w:space="0" w:color="auto"/>
              <w:bottom w:val="single" w:sz="8" w:space="0" w:color="auto"/>
              <w:right w:val="single" w:sz="8" w:space="0" w:color="auto"/>
            </w:tcBorders>
            <w:shd w:val="clear" w:color="auto" w:fill="auto"/>
            <w:vAlign w:val="center"/>
          </w:tcPr>
          <w:p w:rsidR="00F36D90" w:rsidRPr="00E95E93" w:rsidRDefault="00F36D90" w:rsidP="00913021">
            <w:pPr>
              <w:spacing w:after="0" w:line="240" w:lineRule="auto"/>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Alberta**</w:t>
            </w:r>
          </w:p>
        </w:tc>
        <w:tc>
          <w:tcPr>
            <w:tcW w:w="44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70" w:type="dxa"/>
            <w:gridSpan w:val="2"/>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18"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44"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184FA2">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8A2BF4">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6F259F">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58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6F211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539" w:type="dxa"/>
            <w:tcBorders>
              <w:top w:val="nil"/>
              <w:left w:val="nil"/>
              <w:bottom w:val="single" w:sz="8" w:space="0" w:color="auto"/>
              <w:right w:val="single" w:sz="8" w:space="0" w:color="auto"/>
            </w:tcBorders>
            <w:shd w:val="clear" w:color="auto" w:fill="auto"/>
            <w:vAlign w:val="center"/>
          </w:tcPr>
          <w:p w:rsidR="00F36D90" w:rsidRPr="00E95E93" w:rsidRDefault="00FD4A06"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97"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r>
      <w:tr w:rsidR="00B61BF6" w:rsidRPr="00E95E93" w:rsidTr="00C3247B">
        <w:trPr>
          <w:trHeight w:val="315"/>
          <w:jc w:val="center"/>
        </w:trPr>
        <w:tc>
          <w:tcPr>
            <w:tcW w:w="1652" w:type="dxa"/>
            <w:tcBorders>
              <w:top w:val="nil"/>
              <w:left w:val="single" w:sz="4" w:space="0" w:color="auto"/>
              <w:bottom w:val="single" w:sz="8" w:space="0" w:color="auto"/>
              <w:right w:val="single" w:sz="8" w:space="0" w:color="auto"/>
            </w:tcBorders>
            <w:shd w:val="clear" w:color="auto" w:fill="auto"/>
            <w:vAlign w:val="center"/>
          </w:tcPr>
          <w:p w:rsidR="00F36D90" w:rsidRPr="00E95E93" w:rsidRDefault="00F36D90" w:rsidP="00913021">
            <w:pPr>
              <w:spacing w:after="0" w:line="240" w:lineRule="auto"/>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British Columbia</w:t>
            </w:r>
          </w:p>
        </w:tc>
        <w:tc>
          <w:tcPr>
            <w:tcW w:w="44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70" w:type="dxa"/>
            <w:gridSpan w:val="2"/>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18"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44"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184FA2">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8A2BF4">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6F259F">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58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6F211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539" w:type="dxa"/>
            <w:tcBorders>
              <w:top w:val="nil"/>
              <w:left w:val="nil"/>
              <w:bottom w:val="single" w:sz="8" w:space="0" w:color="auto"/>
              <w:right w:val="single" w:sz="8" w:space="0" w:color="auto"/>
            </w:tcBorders>
            <w:shd w:val="clear" w:color="auto" w:fill="auto"/>
            <w:vAlign w:val="center"/>
          </w:tcPr>
          <w:p w:rsidR="00F36D90" w:rsidRPr="00E95E93" w:rsidRDefault="00FD4A06"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97"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r>
      <w:tr w:rsidR="00B61BF6" w:rsidRPr="00E95E93" w:rsidTr="00C3247B">
        <w:trPr>
          <w:trHeight w:val="315"/>
          <w:jc w:val="center"/>
        </w:trPr>
        <w:tc>
          <w:tcPr>
            <w:tcW w:w="1652" w:type="dxa"/>
            <w:tcBorders>
              <w:top w:val="nil"/>
              <w:left w:val="single" w:sz="4" w:space="0" w:color="auto"/>
              <w:bottom w:val="single" w:sz="8" w:space="0" w:color="auto"/>
              <w:right w:val="single" w:sz="8" w:space="0" w:color="auto"/>
            </w:tcBorders>
            <w:shd w:val="clear" w:color="auto" w:fill="auto"/>
            <w:vAlign w:val="center"/>
          </w:tcPr>
          <w:p w:rsidR="00F36D90" w:rsidRPr="00E95E93" w:rsidRDefault="00F36D90" w:rsidP="00913021">
            <w:pPr>
              <w:spacing w:after="0" w:line="240" w:lineRule="auto"/>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Yukon Territory</w:t>
            </w:r>
          </w:p>
        </w:tc>
        <w:tc>
          <w:tcPr>
            <w:tcW w:w="44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70" w:type="dxa"/>
            <w:gridSpan w:val="2"/>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18"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44"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184FA2">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8A2BF4">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6F259F">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58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6F211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539" w:type="dxa"/>
            <w:tcBorders>
              <w:top w:val="nil"/>
              <w:left w:val="nil"/>
              <w:bottom w:val="single" w:sz="8" w:space="0" w:color="auto"/>
              <w:right w:val="single" w:sz="8" w:space="0" w:color="auto"/>
            </w:tcBorders>
            <w:shd w:val="clear" w:color="auto" w:fill="auto"/>
            <w:vAlign w:val="center"/>
          </w:tcPr>
          <w:p w:rsidR="00F36D90" w:rsidRPr="00E95E93" w:rsidRDefault="00FD4A06"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97"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r>
      <w:tr w:rsidR="00B61BF6" w:rsidRPr="00E95E93" w:rsidTr="00C3247B">
        <w:trPr>
          <w:trHeight w:val="315"/>
          <w:jc w:val="center"/>
        </w:trPr>
        <w:tc>
          <w:tcPr>
            <w:tcW w:w="1652" w:type="dxa"/>
            <w:tcBorders>
              <w:top w:val="nil"/>
              <w:left w:val="single" w:sz="4" w:space="0" w:color="auto"/>
              <w:bottom w:val="single" w:sz="8" w:space="0" w:color="auto"/>
              <w:right w:val="single" w:sz="8" w:space="0" w:color="auto"/>
            </w:tcBorders>
            <w:shd w:val="clear" w:color="auto" w:fill="auto"/>
            <w:vAlign w:val="center"/>
          </w:tcPr>
          <w:p w:rsidR="00F36D90" w:rsidRPr="00E95E93" w:rsidRDefault="00F36D90" w:rsidP="00913021">
            <w:pPr>
              <w:spacing w:after="0" w:line="240" w:lineRule="auto"/>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Northwest Territory</w:t>
            </w:r>
          </w:p>
        </w:tc>
        <w:tc>
          <w:tcPr>
            <w:tcW w:w="44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70" w:type="dxa"/>
            <w:gridSpan w:val="2"/>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18"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44"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184FA2">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8A2BF4">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6F259F">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583" w:type="dxa"/>
            <w:tcBorders>
              <w:top w:val="nil"/>
              <w:left w:val="nil"/>
              <w:bottom w:val="single" w:sz="8" w:space="0" w:color="auto"/>
              <w:right w:val="single" w:sz="8" w:space="0" w:color="auto"/>
            </w:tcBorders>
            <w:shd w:val="clear" w:color="auto" w:fill="D9D9D9" w:themeFill="background1" w:themeFillShade="D9"/>
            <w:vAlign w:val="center"/>
          </w:tcPr>
          <w:p w:rsidR="00F36D90" w:rsidRPr="00E95E93" w:rsidRDefault="006F211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539" w:type="dxa"/>
            <w:tcBorders>
              <w:top w:val="nil"/>
              <w:left w:val="nil"/>
              <w:bottom w:val="single" w:sz="8" w:space="0" w:color="auto"/>
              <w:right w:val="single" w:sz="8" w:space="0" w:color="auto"/>
            </w:tcBorders>
            <w:shd w:val="clear" w:color="auto" w:fill="auto"/>
            <w:vAlign w:val="center"/>
          </w:tcPr>
          <w:p w:rsidR="00F36D90" w:rsidRPr="00E95E93" w:rsidRDefault="00FD4A06"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97"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379"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8"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r>
      <w:tr w:rsidR="00B61BF6" w:rsidRPr="00E95E93" w:rsidTr="00C3247B">
        <w:trPr>
          <w:trHeight w:val="315"/>
          <w:jc w:val="center"/>
        </w:trPr>
        <w:tc>
          <w:tcPr>
            <w:tcW w:w="1652" w:type="dxa"/>
            <w:tcBorders>
              <w:top w:val="nil"/>
              <w:left w:val="single" w:sz="4" w:space="0" w:color="auto"/>
              <w:bottom w:val="single" w:sz="4" w:space="0" w:color="auto"/>
              <w:right w:val="single" w:sz="8" w:space="0" w:color="auto"/>
            </w:tcBorders>
            <w:shd w:val="clear" w:color="auto" w:fill="auto"/>
            <w:vAlign w:val="center"/>
          </w:tcPr>
          <w:p w:rsidR="00F36D90" w:rsidRPr="00E95E93" w:rsidRDefault="00F36D90" w:rsidP="00913021">
            <w:pPr>
              <w:spacing w:after="0" w:line="240" w:lineRule="auto"/>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Nunavut</w:t>
            </w:r>
          </w:p>
        </w:tc>
        <w:tc>
          <w:tcPr>
            <w:tcW w:w="443"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70" w:type="dxa"/>
            <w:gridSpan w:val="2"/>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18"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44"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79"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184FA2">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8A2BF4">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6F259F">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460"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583" w:type="dxa"/>
            <w:tcBorders>
              <w:top w:val="nil"/>
              <w:left w:val="nil"/>
              <w:bottom w:val="single" w:sz="4" w:space="0" w:color="auto"/>
              <w:right w:val="single" w:sz="8" w:space="0" w:color="auto"/>
            </w:tcBorders>
            <w:shd w:val="clear" w:color="auto" w:fill="D9D9D9" w:themeFill="background1" w:themeFillShade="D9"/>
            <w:vAlign w:val="center"/>
          </w:tcPr>
          <w:p w:rsidR="00F36D90" w:rsidRPr="00E95E93" w:rsidRDefault="006F2110"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539" w:type="dxa"/>
            <w:tcBorders>
              <w:top w:val="nil"/>
              <w:left w:val="nil"/>
              <w:bottom w:val="single" w:sz="4" w:space="0" w:color="auto"/>
              <w:right w:val="single" w:sz="8" w:space="0" w:color="auto"/>
            </w:tcBorders>
            <w:shd w:val="clear" w:color="auto" w:fill="auto"/>
            <w:vAlign w:val="center"/>
          </w:tcPr>
          <w:p w:rsidR="00F36D90" w:rsidRPr="00E95E93" w:rsidRDefault="00FD4A06" w:rsidP="00341A4B">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0</w:t>
            </w:r>
          </w:p>
        </w:tc>
        <w:tc>
          <w:tcPr>
            <w:tcW w:w="397" w:type="dxa"/>
            <w:tcBorders>
              <w:top w:val="nil"/>
              <w:left w:val="nil"/>
              <w:bottom w:val="single" w:sz="4"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4"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4"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379" w:type="dxa"/>
            <w:tcBorders>
              <w:top w:val="nil"/>
              <w:left w:val="nil"/>
              <w:bottom w:val="single" w:sz="4"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4"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c>
          <w:tcPr>
            <w:tcW w:w="458" w:type="dxa"/>
            <w:tcBorders>
              <w:top w:val="nil"/>
              <w:left w:val="nil"/>
              <w:bottom w:val="single" w:sz="4" w:space="0" w:color="auto"/>
              <w:right w:val="single" w:sz="8" w:space="0" w:color="auto"/>
            </w:tcBorders>
            <w:shd w:val="clear" w:color="auto" w:fill="auto"/>
            <w:vAlign w:val="center"/>
          </w:tcPr>
          <w:p w:rsidR="00F36D90" w:rsidRPr="00E95E93" w:rsidRDefault="00F36D90" w:rsidP="00341A4B">
            <w:pPr>
              <w:spacing w:after="0" w:line="240" w:lineRule="auto"/>
              <w:jc w:val="center"/>
              <w:rPr>
                <w:rFonts w:ascii="Calibri" w:eastAsia="Times New Roman" w:hAnsi="Calibri" w:cs="Calibri"/>
                <w:sz w:val="16"/>
                <w:szCs w:val="16"/>
                <w:lang w:eastAsia="en-CA"/>
              </w:rPr>
            </w:pPr>
          </w:p>
        </w:tc>
      </w:tr>
    </w:tbl>
    <w:p w:rsidR="00A05542" w:rsidRPr="00E95E93" w:rsidRDefault="00A05542" w:rsidP="00EA2815">
      <w:pPr>
        <w:spacing w:after="0" w:line="240" w:lineRule="auto"/>
        <w:rPr>
          <w:b/>
          <w:bCs/>
          <w:sz w:val="16"/>
          <w:szCs w:val="16"/>
        </w:rPr>
      </w:pPr>
    </w:p>
    <w:p w:rsidR="00341A4B" w:rsidRPr="00E95E93" w:rsidRDefault="00913021" w:rsidP="002A40A2">
      <w:pPr>
        <w:spacing w:after="0" w:line="240" w:lineRule="auto"/>
        <w:rPr>
          <w:bCs/>
          <w:sz w:val="20"/>
          <w:szCs w:val="24"/>
        </w:rPr>
      </w:pPr>
      <w:r w:rsidRPr="00E95E93">
        <w:rPr>
          <w:bCs/>
          <w:sz w:val="20"/>
          <w:szCs w:val="24"/>
        </w:rPr>
        <w:t xml:space="preserve">* </w:t>
      </w:r>
      <w:r w:rsidR="002A40A2" w:rsidRPr="00E95E93">
        <w:rPr>
          <w:bCs/>
          <w:sz w:val="20"/>
          <w:szCs w:val="24"/>
        </w:rPr>
        <w:t xml:space="preserve">  </w:t>
      </w:r>
      <w:r w:rsidR="004A2F65" w:rsidRPr="00E95E93">
        <w:rPr>
          <w:bCs/>
          <w:sz w:val="20"/>
          <w:szCs w:val="24"/>
        </w:rPr>
        <w:t xml:space="preserve">Detailed West Nile virus mosquito surveillance data can be accessed through </w:t>
      </w:r>
      <w:r w:rsidR="00942546" w:rsidRPr="00E95E93">
        <w:rPr>
          <w:bCs/>
          <w:sz w:val="20"/>
          <w:szCs w:val="24"/>
        </w:rPr>
        <w:t>P</w:t>
      </w:r>
      <w:r w:rsidR="004A2F65" w:rsidRPr="00E95E93">
        <w:rPr>
          <w:bCs/>
          <w:sz w:val="20"/>
          <w:szCs w:val="24"/>
        </w:rPr>
        <w:t>rovincial/ territorial websites</w:t>
      </w:r>
    </w:p>
    <w:p w:rsidR="00341A4B" w:rsidRPr="00E95E93" w:rsidRDefault="002A40A2">
      <w:pPr>
        <w:rPr>
          <w:b/>
          <w:bCs/>
          <w:sz w:val="16"/>
          <w:szCs w:val="16"/>
        </w:rPr>
      </w:pPr>
      <w:r w:rsidRPr="00E95E93">
        <w:rPr>
          <w:bCs/>
          <w:sz w:val="20"/>
          <w:szCs w:val="24"/>
        </w:rPr>
        <w:t xml:space="preserve">** </w:t>
      </w:r>
      <w:r w:rsidR="004A2F65" w:rsidRPr="00E95E93">
        <w:rPr>
          <w:bCs/>
          <w:sz w:val="20"/>
          <w:szCs w:val="24"/>
        </w:rPr>
        <w:t>These Provinces</w:t>
      </w:r>
      <w:r w:rsidR="00B17B61" w:rsidRPr="00E95E93">
        <w:rPr>
          <w:bCs/>
          <w:sz w:val="20"/>
          <w:szCs w:val="24"/>
        </w:rPr>
        <w:t>/Territories</w:t>
      </w:r>
      <w:r w:rsidR="004A2F65" w:rsidRPr="00E95E93">
        <w:rPr>
          <w:bCs/>
          <w:sz w:val="20"/>
          <w:szCs w:val="24"/>
        </w:rPr>
        <w:t xml:space="preserve"> are not conducting mosquito surveillance as part of their West Nile virus surveillance program at provincial level in 2012</w:t>
      </w:r>
      <w:r w:rsidRPr="00E95E93">
        <w:rPr>
          <w:bCs/>
          <w:sz w:val="20"/>
          <w:szCs w:val="24"/>
        </w:rPr>
        <w:br/>
      </w:r>
      <w:r w:rsidR="00341A4B" w:rsidRPr="00E95E93">
        <w:rPr>
          <w:b/>
          <w:bCs/>
          <w:sz w:val="16"/>
          <w:szCs w:val="16"/>
        </w:rPr>
        <w:br w:type="page"/>
      </w:r>
    </w:p>
    <w:p w:rsidR="00942546" w:rsidRPr="00E95E93" w:rsidRDefault="00942546" w:rsidP="006A2DC8">
      <w:pPr>
        <w:spacing w:after="0" w:line="240" w:lineRule="auto"/>
        <w:jc w:val="center"/>
        <w:rPr>
          <w:b/>
          <w:bCs/>
          <w:sz w:val="20"/>
          <w:szCs w:val="16"/>
        </w:rPr>
      </w:pPr>
      <w:r w:rsidRPr="00E95E93">
        <w:rPr>
          <w:b/>
          <w:bCs/>
          <w:sz w:val="20"/>
          <w:szCs w:val="16"/>
        </w:rPr>
        <w:lastRenderedPageBreak/>
        <w:t>Reported number of dead birds testing positive for WNv by Province / Territory and by report week, 2012 season</w:t>
      </w:r>
    </w:p>
    <w:p w:rsidR="002107C6" w:rsidRPr="00E95E93" w:rsidRDefault="002107C6" w:rsidP="006A2DC8">
      <w:pPr>
        <w:spacing w:after="0" w:line="240" w:lineRule="auto"/>
        <w:jc w:val="center"/>
        <w:rPr>
          <w:b/>
          <w:bCs/>
          <w:sz w:val="16"/>
          <w:szCs w:val="16"/>
        </w:rPr>
      </w:pPr>
    </w:p>
    <w:p w:rsidR="008A2BF4" w:rsidRPr="00E95E93" w:rsidRDefault="002539DC" w:rsidP="008A2BF4">
      <w:pPr>
        <w:spacing w:after="0" w:line="240" w:lineRule="auto"/>
        <w:jc w:val="center"/>
      </w:pPr>
      <w:r w:rsidRPr="00E95E93">
        <w:rPr>
          <w:noProof/>
          <w:lang w:val="en-US"/>
        </w:rPr>
        <w:drawing>
          <wp:inline distT="0" distB="0" distL="0" distR="0">
            <wp:extent cx="8336478" cy="3040083"/>
            <wp:effectExtent l="0" t="0" r="26670" b="273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C7D4A" w:rsidRPr="00E95E93" w:rsidRDefault="003C7D4A" w:rsidP="00623A43">
      <w:pPr>
        <w:spacing w:after="0" w:line="240" w:lineRule="auto"/>
      </w:pPr>
      <w:r w:rsidRPr="00E95E93">
        <w:t xml:space="preserve">Link </w:t>
      </w:r>
      <w:r w:rsidR="00A615F3" w:rsidRPr="00E95E93">
        <w:t xml:space="preserve">figure 3 </w:t>
      </w:r>
      <w:r w:rsidRPr="00E95E93">
        <w:t xml:space="preserve">to </w:t>
      </w:r>
      <w:r w:rsidR="00BB16DF" w:rsidRPr="00E95E93">
        <w:t xml:space="preserve">the following </w:t>
      </w:r>
      <w:r w:rsidRPr="00E95E93">
        <w:t>table</w:t>
      </w:r>
      <w:r w:rsidR="00A615F3" w:rsidRPr="00E95E93">
        <w:t xml:space="preserve"> 5 below</w:t>
      </w:r>
    </w:p>
    <w:tbl>
      <w:tblPr>
        <w:tblW w:w="13130" w:type="dxa"/>
        <w:jc w:val="center"/>
        <w:tblInd w:w="93" w:type="dxa"/>
        <w:tblLook w:val="04A0"/>
      </w:tblPr>
      <w:tblGrid>
        <w:gridCol w:w="1259"/>
        <w:gridCol w:w="412"/>
        <w:gridCol w:w="412"/>
        <w:gridCol w:w="412"/>
        <w:gridCol w:w="412"/>
        <w:gridCol w:w="412"/>
        <w:gridCol w:w="412"/>
        <w:gridCol w:w="412"/>
        <w:gridCol w:w="412"/>
        <w:gridCol w:w="412"/>
        <w:gridCol w:w="412"/>
        <w:gridCol w:w="412"/>
        <w:gridCol w:w="412"/>
        <w:gridCol w:w="412"/>
        <w:gridCol w:w="412"/>
        <w:gridCol w:w="412"/>
        <w:gridCol w:w="412"/>
        <w:gridCol w:w="483"/>
        <w:gridCol w:w="412"/>
        <w:gridCol w:w="483"/>
        <w:gridCol w:w="412"/>
        <w:gridCol w:w="483"/>
        <w:gridCol w:w="412"/>
        <w:gridCol w:w="412"/>
        <w:gridCol w:w="358"/>
        <w:gridCol w:w="358"/>
        <w:gridCol w:w="358"/>
        <w:gridCol w:w="358"/>
        <w:gridCol w:w="358"/>
        <w:gridCol w:w="392"/>
      </w:tblGrid>
      <w:tr w:rsidR="00B61BF6" w:rsidRPr="00E95E93" w:rsidTr="008E7D09">
        <w:trPr>
          <w:cantSplit/>
          <w:trHeight w:val="283"/>
          <w:jc w:val="center"/>
        </w:trPr>
        <w:tc>
          <w:tcPr>
            <w:tcW w:w="1386" w:type="dxa"/>
            <w:vMerge w:val="restart"/>
            <w:tcBorders>
              <w:top w:val="single" w:sz="8" w:space="0" w:color="auto"/>
              <w:left w:val="single" w:sz="4" w:space="0" w:color="auto"/>
              <w:bottom w:val="single" w:sz="8" w:space="0" w:color="000000"/>
              <w:right w:val="single" w:sz="8" w:space="0" w:color="000000"/>
            </w:tcBorders>
            <w:shd w:val="clear" w:color="auto" w:fill="auto"/>
            <w:vAlign w:val="center"/>
          </w:tcPr>
          <w:p w:rsidR="00B55693" w:rsidRPr="00E95E93" w:rsidRDefault="00B55693" w:rsidP="00CC388D">
            <w:pPr>
              <w:spacing w:after="0" w:line="240" w:lineRule="auto"/>
              <w:jc w:val="center"/>
              <w:rPr>
                <w:rFonts w:eastAsia="Times New Roman" w:cstheme="minorHAnsi"/>
                <w:sz w:val="14"/>
                <w:szCs w:val="16"/>
                <w:lang w:eastAsia="en-CA"/>
              </w:rPr>
            </w:pPr>
          </w:p>
        </w:tc>
        <w:tc>
          <w:tcPr>
            <w:tcW w:w="11744" w:type="dxa"/>
            <w:gridSpan w:val="29"/>
            <w:tcBorders>
              <w:top w:val="single" w:sz="8" w:space="0" w:color="auto"/>
              <w:left w:val="nil"/>
              <w:bottom w:val="single" w:sz="8" w:space="0" w:color="auto"/>
              <w:right w:val="single" w:sz="8" w:space="0" w:color="000000"/>
            </w:tcBorders>
            <w:shd w:val="clear" w:color="auto" w:fill="auto"/>
            <w:vAlign w:val="center"/>
            <w:hideMark/>
          </w:tcPr>
          <w:p w:rsidR="00B55693" w:rsidRPr="00E95E93" w:rsidRDefault="00B55693" w:rsidP="00CC388D">
            <w:pPr>
              <w:spacing w:after="0" w:line="240" w:lineRule="auto"/>
              <w:jc w:val="center"/>
              <w:rPr>
                <w:rFonts w:eastAsia="Times New Roman" w:cstheme="minorHAnsi"/>
                <w:sz w:val="14"/>
                <w:szCs w:val="16"/>
                <w:lang w:eastAsia="en-CA"/>
              </w:rPr>
            </w:pPr>
            <w:r w:rsidRPr="00E95E93">
              <w:rPr>
                <w:rFonts w:eastAsia="Times New Roman" w:cstheme="minorHAnsi"/>
                <w:sz w:val="14"/>
                <w:szCs w:val="16"/>
                <w:lang w:eastAsia="en-CA"/>
              </w:rPr>
              <w:t>Report Weeks of 2012</w:t>
            </w:r>
          </w:p>
        </w:tc>
      </w:tr>
      <w:tr w:rsidR="00B61BF6" w:rsidRPr="00E95E93" w:rsidTr="008E7D09">
        <w:trPr>
          <w:cantSplit/>
          <w:trHeight w:val="283"/>
          <w:jc w:val="center"/>
        </w:trPr>
        <w:tc>
          <w:tcPr>
            <w:tcW w:w="1386" w:type="dxa"/>
            <w:vMerge/>
            <w:tcBorders>
              <w:top w:val="single" w:sz="8" w:space="0" w:color="auto"/>
              <w:left w:val="single" w:sz="4" w:space="0" w:color="auto"/>
              <w:bottom w:val="single" w:sz="8" w:space="0" w:color="000000"/>
              <w:right w:val="single" w:sz="8" w:space="0" w:color="000000"/>
            </w:tcBorders>
            <w:vAlign w:val="center"/>
          </w:tcPr>
          <w:p w:rsidR="00B55693" w:rsidRPr="00E95E93" w:rsidRDefault="00B55693" w:rsidP="00CC388D">
            <w:pPr>
              <w:spacing w:after="0" w:line="240" w:lineRule="auto"/>
              <w:rPr>
                <w:rFonts w:eastAsia="Times New Roman" w:cstheme="minorHAnsi"/>
                <w:sz w:val="14"/>
                <w:szCs w:val="16"/>
                <w:lang w:eastAsia="en-CA"/>
              </w:rPr>
            </w:pP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17</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18</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19</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20</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21</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22</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23</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24</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25</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26</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27</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28</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29</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30</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31</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32</w:t>
            </w:r>
          </w:p>
        </w:tc>
        <w:tc>
          <w:tcPr>
            <w:tcW w:w="483"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33</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34</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35</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36</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37</w:t>
            </w:r>
          </w:p>
        </w:tc>
        <w:tc>
          <w:tcPr>
            <w:tcW w:w="406"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38</w:t>
            </w:r>
          </w:p>
        </w:tc>
        <w:tc>
          <w:tcPr>
            <w:tcW w:w="412"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39</w:t>
            </w:r>
          </w:p>
        </w:tc>
        <w:tc>
          <w:tcPr>
            <w:tcW w:w="358"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40</w:t>
            </w:r>
          </w:p>
        </w:tc>
        <w:tc>
          <w:tcPr>
            <w:tcW w:w="358"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41</w:t>
            </w:r>
          </w:p>
        </w:tc>
        <w:tc>
          <w:tcPr>
            <w:tcW w:w="358"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42</w:t>
            </w:r>
          </w:p>
        </w:tc>
        <w:tc>
          <w:tcPr>
            <w:tcW w:w="358"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43</w:t>
            </w:r>
          </w:p>
        </w:tc>
        <w:tc>
          <w:tcPr>
            <w:tcW w:w="358"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44</w:t>
            </w:r>
          </w:p>
        </w:tc>
        <w:tc>
          <w:tcPr>
            <w:tcW w:w="413" w:type="dxa"/>
            <w:tcBorders>
              <w:top w:val="nil"/>
              <w:left w:val="nil"/>
              <w:bottom w:val="single" w:sz="8" w:space="0" w:color="auto"/>
              <w:right w:val="single" w:sz="8" w:space="0" w:color="auto"/>
            </w:tcBorders>
            <w:shd w:val="clear" w:color="auto" w:fill="auto"/>
            <w:vAlign w:val="center"/>
            <w:hideMark/>
          </w:tcPr>
          <w:p w:rsidR="00B55693" w:rsidRPr="00E95E93" w:rsidRDefault="00B55693" w:rsidP="00CC388D">
            <w:pPr>
              <w:spacing w:after="0" w:line="240" w:lineRule="auto"/>
              <w:jc w:val="right"/>
              <w:rPr>
                <w:rFonts w:eastAsia="Times New Roman" w:cstheme="minorHAnsi"/>
                <w:sz w:val="14"/>
                <w:szCs w:val="16"/>
                <w:lang w:eastAsia="en-CA"/>
              </w:rPr>
            </w:pPr>
            <w:r w:rsidRPr="00E95E93">
              <w:rPr>
                <w:rFonts w:eastAsia="Times New Roman" w:cstheme="minorHAnsi"/>
                <w:sz w:val="14"/>
                <w:szCs w:val="16"/>
                <w:lang w:eastAsia="en-CA"/>
              </w:rPr>
              <w:t>45</w:t>
            </w:r>
          </w:p>
        </w:tc>
      </w:tr>
      <w:tr w:rsidR="00B61BF6" w:rsidRPr="00E95E93" w:rsidTr="008E7D09">
        <w:trPr>
          <w:cantSplit/>
          <w:trHeight w:val="283"/>
          <w:jc w:val="center"/>
        </w:trPr>
        <w:tc>
          <w:tcPr>
            <w:tcW w:w="1386" w:type="dxa"/>
            <w:tcBorders>
              <w:top w:val="nil"/>
              <w:left w:val="single" w:sz="4" w:space="0" w:color="auto"/>
              <w:bottom w:val="single" w:sz="8" w:space="0" w:color="auto"/>
              <w:right w:val="single" w:sz="8" w:space="0" w:color="auto"/>
            </w:tcBorders>
            <w:shd w:val="clear" w:color="auto" w:fill="auto"/>
            <w:vAlign w:val="center"/>
            <w:hideMark/>
          </w:tcPr>
          <w:p w:rsidR="008E7D09" w:rsidRPr="00E95E93" w:rsidRDefault="008E7D09" w:rsidP="00270A3D">
            <w:pPr>
              <w:spacing w:after="0" w:line="240" w:lineRule="auto"/>
              <w:rPr>
                <w:rFonts w:ascii="Calibri" w:eastAsia="Times New Roman" w:hAnsi="Calibri" w:cs="Calibri"/>
                <w:sz w:val="14"/>
                <w:szCs w:val="16"/>
                <w:lang w:eastAsia="en-CA"/>
              </w:rPr>
            </w:pPr>
            <w:r w:rsidRPr="00E95E93">
              <w:rPr>
                <w:rFonts w:ascii="Calibri" w:eastAsia="Times New Roman" w:hAnsi="Calibri" w:cs="Calibri"/>
                <w:sz w:val="14"/>
                <w:szCs w:val="16"/>
                <w:lang w:eastAsia="en-CA"/>
              </w:rPr>
              <w:t>Newfoundland</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83"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F87640">
            <w:pPr>
              <w:spacing w:after="0"/>
              <w:jc w:val="center"/>
              <w:rPr>
                <w:rFonts w:ascii="Calibri" w:hAnsi="Calibri" w:cs="Calibri"/>
                <w:sz w:val="14"/>
                <w:szCs w:val="14"/>
              </w:rPr>
            </w:pPr>
            <w:r w:rsidRPr="00E95E93">
              <w:rPr>
                <w:rFonts w:ascii="Calibri" w:hAnsi="Calibri" w:cs="Calibri"/>
                <w:sz w:val="14"/>
                <w:szCs w:val="14"/>
              </w:rPr>
              <w:t>0/0</w:t>
            </w:r>
          </w:p>
        </w:tc>
        <w:tc>
          <w:tcPr>
            <w:tcW w:w="406"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413"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r>
      <w:tr w:rsidR="00B61BF6" w:rsidRPr="00E95E93" w:rsidTr="008E7D09">
        <w:trPr>
          <w:cantSplit/>
          <w:trHeight w:val="283"/>
          <w:jc w:val="center"/>
        </w:trPr>
        <w:tc>
          <w:tcPr>
            <w:tcW w:w="1386" w:type="dxa"/>
            <w:tcBorders>
              <w:top w:val="nil"/>
              <w:left w:val="single" w:sz="4" w:space="0" w:color="auto"/>
              <w:bottom w:val="single" w:sz="8" w:space="0" w:color="auto"/>
              <w:right w:val="single" w:sz="8" w:space="0" w:color="auto"/>
            </w:tcBorders>
            <w:shd w:val="clear" w:color="auto" w:fill="auto"/>
            <w:vAlign w:val="center"/>
            <w:hideMark/>
          </w:tcPr>
          <w:p w:rsidR="008E7D09" w:rsidRPr="00E95E93" w:rsidRDefault="008E7D09" w:rsidP="00270A3D">
            <w:pPr>
              <w:spacing w:after="0" w:line="240" w:lineRule="auto"/>
              <w:rPr>
                <w:rFonts w:ascii="Calibri" w:eastAsia="Times New Roman" w:hAnsi="Calibri" w:cs="Calibri"/>
                <w:sz w:val="14"/>
                <w:szCs w:val="16"/>
                <w:lang w:eastAsia="en-CA"/>
              </w:rPr>
            </w:pPr>
            <w:r w:rsidRPr="00E95E93">
              <w:rPr>
                <w:rFonts w:ascii="Calibri" w:eastAsia="Times New Roman" w:hAnsi="Calibri" w:cs="Calibri"/>
                <w:sz w:val="14"/>
                <w:szCs w:val="16"/>
                <w:lang w:eastAsia="en-CA"/>
              </w:rPr>
              <w:t>Prince Edward Island</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83"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F87640">
            <w:pPr>
              <w:spacing w:after="0"/>
              <w:jc w:val="center"/>
              <w:rPr>
                <w:rFonts w:ascii="Calibri" w:hAnsi="Calibri" w:cs="Calibri"/>
                <w:sz w:val="14"/>
                <w:szCs w:val="14"/>
              </w:rPr>
            </w:pPr>
            <w:r w:rsidRPr="00E95E93">
              <w:rPr>
                <w:rFonts w:ascii="Calibri" w:hAnsi="Calibri" w:cs="Calibri"/>
                <w:sz w:val="14"/>
                <w:szCs w:val="14"/>
              </w:rPr>
              <w:t>0/0</w:t>
            </w:r>
          </w:p>
        </w:tc>
        <w:tc>
          <w:tcPr>
            <w:tcW w:w="406"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413"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r>
      <w:tr w:rsidR="00B61BF6" w:rsidRPr="00E95E93" w:rsidTr="008E7D09">
        <w:trPr>
          <w:cantSplit/>
          <w:trHeight w:val="283"/>
          <w:jc w:val="center"/>
        </w:trPr>
        <w:tc>
          <w:tcPr>
            <w:tcW w:w="1386" w:type="dxa"/>
            <w:tcBorders>
              <w:top w:val="nil"/>
              <w:left w:val="single" w:sz="4" w:space="0" w:color="auto"/>
              <w:bottom w:val="single" w:sz="8" w:space="0" w:color="auto"/>
              <w:right w:val="single" w:sz="8" w:space="0" w:color="auto"/>
            </w:tcBorders>
            <w:shd w:val="clear" w:color="auto" w:fill="auto"/>
            <w:vAlign w:val="center"/>
            <w:hideMark/>
          </w:tcPr>
          <w:p w:rsidR="008E7D09" w:rsidRPr="00E95E93" w:rsidRDefault="008E7D09" w:rsidP="00270A3D">
            <w:pPr>
              <w:spacing w:after="0" w:line="240" w:lineRule="auto"/>
              <w:rPr>
                <w:rFonts w:ascii="Calibri" w:eastAsia="Times New Roman" w:hAnsi="Calibri" w:cs="Calibri"/>
                <w:sz w:val="14"/>
                <w:szCs w:val="16"/>
                <w:lang w:eastAsia="en-CA"/>
              </w:rPr>
            </w:pPr>
            <w:r w:rsidRPr="00E95E93">
              <w:rPr>
                <w:rFonts w:ascii="Calibri" w:eastAsia="Times New Roman" w:hAnsi="Calibri" w:cs="Calibri"/>
                <w:sz w:val="14"/>
                <w:szCs w:val="16"/>
                <w:lang w:eastAsia="en-CA"/>
              </w:rPr>
              <w:t>Nova Scotia</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83"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F87640">
            <w:pPr>
              <w:spacing w:after="0"/>
              <w:jc w:val="center"/>
              <w:rPr>
                <w:rFonts w:ascii="Calibri" w:hAnsi="Calibri" w:cs="Calibri"/>
                <w:sz w:val="14"/>
                <w:szCs w:val="14"/>
              </w:rPr>
            </w:pPr>
            <w:r w:rsidRPr="00E95E93">
              <w:rPr>
                <w:rFonts w:ascii="Calibri" w:hAnsi="Calibri" w:cs="Calibri"/>
                <w:sz w:val="14"/>
                <w:szCs w:val="14"/>
              </w:rPr>
              <w:t>0/0</w:t>
            </w:r>
          </w:p>
        </w:tc>
        <w:tc>
          <w:tcPr>
            <w:tcW w:w="406"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413"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r>
      <w:tr w:rsidR="00B61BF6" w:rsidRPr="00E95E93" w:rsidTr="008E7D09">
        <w:trPr>
          <w:cantSplit/>
          <w:trHeight w:val="283"/>
          <w:jc w:val="center"/>
        </w:trPr>
        <w:tc>
          <w:tcPr>
            <w:tcW w:w="1386" w:type="dxa"/>
            <w:tcBorders>
              <w:top w:val="nil"/>
              <w:left w:val="single" w:sz="4" w:space="0" w:color="auto"/>
              <w:bottom w:val="single" w:sz="8" w:space="0" w:color="auto"/>
              <w:right w:val="single" w:sz="8" w:space="0" w:color="auto"/>
            </w:tcBorders>
            <w:shd w:val="clear" w:color="auto" w:fill="auto"/>
            <w:vAlign w:val="center"/>
          </w:tcPr>
          <w:p w:rsidR="008E7D09" w:rsidRPr="00E95E93" w:rsidRDefault="008E7D09" w:rsidP="00270A3D">
            <w:pPr>
              <w:spacing w:after="0" w:line="240" w:lineRule="auto"/>
              <w:rPr>
                <w:rFonts w:ascii="Calibri" w:eastAsia="Times New Roman" w:hAnsi="Calibri" w:cs="Calibri"/>
                <w:sz w:val="14"/>
                <w:szCs w:val="16"/>
                <w:lang w:eastAsia="en-CA"/>
              </w:rPr>
            </w:pPr>
            <w:r w:rsidRPr="00E95E93">
              <w:rPr>
                <w:rFonts w:ascii="Calibri" w:eastAsia="Times New Roman" w:hAnsi="Calibri" w:cs="Calibri"/>
                <w:sz w:val="14"/>
                <w:szCs w:val="16"/>
                <w:lang w:eastAsia="en-CA"/>
              </w:rPr>
              <w:t>New Brunswick</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83"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F87640">
            <w:pPr>
              <w:spacing w:after="0"/>
              <w:jc w:val="center"/>
              <w:rPr>
                <w:rFonts w:ascii="Calibri" w:hAnsi="Calibri" w:cs="Calibri"/>
                <w:sz w:val="14"/>
                <w:szCs w:val="14"/>
              </w:rPr>
            </w:pPr>
            <w:r w:rsidRPr="00E95E93">
              <w:rPr>
                <w:rFonts w:ascii="Calibri" w:hAnsi="Calibri" w:cs="Calibri"/>
                <w:sz w:val="14"/>
                <w:szCs w:val="14"/>
              </w:rPr>
              <w:t>0/0</w:t>
            </w:r>
          </w:p>
        </w:tc>
        <w:tc>
          <w:tcPr>
            <w:tcW w:w="406"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413"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r>
      <w:tr w:rsidR="00B61BF6" w:rsidRPr="00E95E93" w:rsidTr="008E7D09">
        <w:trPr>
          <w:cantSplit/>
          <w:trHeight w:val="283"/>
          <w:jc w:val="center"/>
        </w:trPr>
        <w:tc>
          <w:tcPr>
            <w:tcW w:w="1386" w:type="dxa"/>
            <w:tcBorders>
              <w:top w:val="nil"/>
              <w:left w:val="single" w:sz="4" w:space="0" w:color="auto"/>
              <w:bottom w:val="single" w:sz="8" w:space="0" w:color="auto"/>
              <w:right w:val="single" w:sz="8" w:space="0" w:color="auto"/>
            </w:tcBorders>
            <w:shd w:val="clear" w:color="auto" w:fill="auto"/>
            <w:vAlign w:val="center"/>
            <w:hideMark/>
          </w:tcPr>
          <w:p w:rsidR="008E7D09" w:rsidRPr="00E95E93" w:rsidRDefault="008E7D09" w:rsidP="009E0EA2">
            <w:pPr>
              <w:spacing w:after="0" w:line="240" w:lineRule="auto"/>
              <w:rPr>
                <w:rFonts w:ascii="Calibri" w:eastAsia="Times New Roman" w:hAnsi="Calibri" w:cs="Calibri"/>
                <w:sz w:val="14"/>
                <w:szCs w:val="16"/>
                <w:lang w:eastAsia="en-CA"/>
              </w:rPr>
            </w:pPr>
            <w:r w:rsidRPr="00E95E93">
              <w:rPr>
                <w:rFonts w:ascii="Calibri" w:eastAsia="Times New Roman" w:hAnsi="Calibri" w:cs="Calibri"/>
                <w:sz w:val="14"/>
                <w:szCs w:val="16"/>
                <w:lang w:eastAsia="en-CA"/>
              </w:rPr>
              <w:t>Quebec</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2/4</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0/1</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1/3</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5/5</w:t>
            </w:r>
          </w:p>
        </w:tc>
        <w:tc>
          <w:tcPr>
            <w:tcW w:w="483"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2/3</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5/6</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8/12</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1/1</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8E7D09">
            <w:pPr>
              <w:spacing w:after="0" w:line="240" w:lineRule="auto"/>
              <w:jc w:val="center"/>
              <w:rPr>
                <w:rFonts w:ascii="Calibri" w:hAnsi="Calibri" w:cs="Calibri"/>
                <w:sz w:val="14"/>
                <w:szCs w:val="14"/>
              </w:rPr>
            </w:pPr>
            <w:r w:rsidRPr="00E95E93">
              <w:rPr>
                <w:rFonts w:ascii="Calibri" w:hAnsi="Calibri" w:cs="Calibri"/>
                <w:sz w:val="14"/>
                <w:szCs w:val="14"/>
              </w:rPr>
              <w:t>6/11</w:t>
            </w:r>
          </w:p>
        </w:tc>
        <w:tc>
          <w:tcPr>
            <w:tcW w:w="406"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8E7D09">
            <w:pPr>
              <w:spacing w:after="0" w:line="240" w:lineRule="auto"/>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cstheme="minorHAnsi"/>
                <w:sz w:val="14"/>
                <w:szCs w:val="14"/>
              </w:rPr>
            </w:pPr>
          </w:p>
        </w:tc>
        <w:tc>
          <w:tcPr>
            <w:tcW w:w="413"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cstheme="minorHAnsi"/>
                <w:sz w:val="14"/>
                <w:szCs w:val="14"/>
              </w:rPr>
            </w:pPr>
          </w:p>
        </w:tc>
      </w:tr>
      <w:tr w:rsidR="00B61BF6" w:rsidRPr="00E95E93" w:rsidTr="008E7D09">
        <w:trPr>
          <w:cantSplit/>
          <w:trHeight w:val="283"/>
          <w:jc w:val="center"/>
        </w:trPr>
        <w:tc>
          <w:tcPr>
            <w:tcW w:w="1386" w:type="dxa"/>
            <w:tcBorders>
              <w:top w:val="nil"/>
              <w:left w:val="single" w:sz="4" w:space="0" w:color="auto"/>
              <w:bottom w:val="single" w:sz="8" w:space="0" w:color="auto"/>
              <w:right w:val="single" w:sz="8" w:space="0" w:color="auto"/>
            </w:tcBorders>
            <w:shd w:val="clear" w:color="auto" w:fill="auto"/>
            <w:vAlign w:val="center"/>
            <w:hideMark/>
          </w:tcPr>
          <w:p w:rsidR="008E7D09" w:rsidRPr="00E95E93" w:rsidRDefault="008E7D09" w:rsidP="009E0EA2">
            <w:pPr>
              <w:spacing w:after="0" w:line="240" w:lineRule="auto"/>
              <w:rPr>
                <w:rFonts w:ascii="Calibri" w:eastAsia="Times New Roman" w:hAnsi="Calibri" w:cs="Calibri"/>
                <w:sz w:val="14"/>
                <w:szCs w:val="16"/>
                <w:lang w:eastAsia="en-CA"/>
              </w:rPr>
            </w:pPr>
            <w:r w:rsidRPr="00E95E93">
              <w:rPr>
                <w:rFonts w:ascii="Calibri" w:eastAsia="Times New Roman" w:hAnsi="Calibri" w:cs="Calibri"/>
                <w:sz w:val="14"/>
                <w:szCs w:val="16"/>
                <w:lang w:eastAsia="en-CA"/>
              </w:rPr>
              <w:t>Ontario</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0/1</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0/1</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0/3</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0/1</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1/1</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3/3</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1/2</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2/2</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1/2</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1/6</w:t>
            </w:r>
          </w:p>
        </w:tc>
        <w:tc>
          <w:tcPr>
            <w:tcW w:w="483"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8/10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4/5</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9E0EA2">
            <w:pPr>
              <w:spacing w:after="0" w:line="240" w:lineRule="auto"/>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8E7D09">
            <w:pPr>
              <w:spacing w:after="0" w:line="240" w:lineRule="auto"/>
              <w:jc w:val="center"/>
              <w:rPr>
                <w:rFonts w:ascii="Calibri" w:hAnsi="Calibri" w:cs="Calibri"/>
                <w:sz w:val="14"/>
                <w:szCs w:val="14"/>
              </w:rPr>
            </w:pPr>
            <w:r w:rsidRPr="00E95E93">
              <w:rPr>
                <w:rFonts w:ascii="Calibri" w:hAnsi="Calibri" w:cs="Calibri"/>
                <w:sz w:val="14"/>
                <w:szCs w:val="14"/>
              </w:rPr>
              <w:t>2/2</w:t>
            </w:r>
          </w:p>
        </w:tc>
        <w:tc>
          <w:tcPr>
            <w:tcW w:w="406" w:type="dxa"/>
            <w:tcBorders>
              <w:top w:val="nil"/>
              <w:left w:val="nil"/>
              <w:bottom w:val="single" w:sz="8" w:space="0" w:color="auto"/>
              <w:right w:val="single" w:sz="8" w:space="0" w:color="auto"/>
            </w:tcBorders>
            <w:shd w:val="clear" w:color="auto" w:fill="auto"/>
            <w:vAlign w:val="center"/>
          </w:tcPr>
          <w:p w:rsidR="008E7D09" w:rsidRPr="00E95E93" w:rsidRDefault="008E7D09" w:rsidP="008E7D09">
            <w:pPr>
              <w:spacing w:after="0" w:line="240" w:lineRule="auto"/>
              <w:jc w:val="center"/>
              <w:rPr>
                <w:rFonts w:ascii="Calibri" w:hAnsi="Calibri" w:cs="Calibri"/>
                <w:sz w:val="14"/>
                <w:szCs w:val="14"/>
              </w:rPr>
            </w:pPr>
            <w:r w:rsidRPr="00E95E93">
              <w:rPr>
                <w:rFonts w:ascii="Calibri" w:hAnsi="Calibri" w:cs="Calibri"/>
                <w:sz w:val="14"/>
                <w:szCs w:val="14"/>
              </w:rPr>
              <w:t>4/4</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cstheme="minorHAnsi"/>
                <w:sz w:val="14"/>
                <w:szCs w:val="14"/>
              </w:rPr>
            </w:pPr>
          </w:p>
        </w:tc>
        <w:tc>
          <w:tcPr>
            <w:tcW w:w="413" w:type="dxa"/>
            <w:tcBorders>
              <w:top w:val="nil"/>
              <w:left w:val="nil"/>
              <w:bottom w:val="single" w:sz="8" w:space="0" w:color="auto"/>
              <w:right w:val="single" w:sz="8" w:space="0" w:color="auto"/>
            </w:tcBorders>
            <w:shd w:val="clear" w:color="auto" w:fill="auto"/>
            <w:vAlign w:val="center"/>
          </w:tcPr>
          <w:p w:rsidR="008E7D09" w:rsidRPr="00E95E93" w:rsidRDefault="008E7D09" w:rsidP="009E0EA2">
            <w:pPr>
              <w:spacing w:after="0" w:line="240" w:lineRule="auto"/>
              <w:jc w:val="center"/>
              <w:rPr>
                <w:rFonts w:cstheme="minorHAnsi"/>
                <w:sz w:val="14"/>
                <w:szCs w:val="14"/>
              </w:rPr>
            </w:pPr>
          </w:p>
        </w:tc>
      </w:tr>
      <w:tr w:rsidR="00B61BF6" w:rsidRPr="00E95E93" w:rsidTr="008E7D09">
        <w:trPr>
          <w:cantSplit/>
          <w:trHeight w:val="283"/>
          <w:jc w:val="center"/>
        </w:trPr>
        <w:tc>
          <w:tcPr>
            <w:tcW w:w="1386" w:type="dxa"/>
            <w:tcBorders>
              <w:top w:val="nil"/>
              <w:left w:val="single" w:sz="4" w:space="0" w:color="auto"/>
              <w:bottom w:val="single" w:sz="8" w:space="0" w:color="auto"/>
              <w:right w:val="single" w:sz="8" w:space="0" w:color="auto"/>
            </w:tcBorders>
            <w:shd w:val="clear" w:color="auto" w:fill="auto"/>
            <w:vAlign w:val="center"/>
            <w:hideMark/>
          </w:tcPr>
          <w:p w:rsidR="008E7D09" w:rsidRPr="00E95E93" w:rsidRDefault="008E7D09" w:rsidP="00270A3D">
            <w:pPr>
              <w:spacing w:after="0" w:line="240" w:lineRule="auto"/>
              <w:rPr>
                <w:rFonts w:ascii="Calibri" w:eastAsia="Times New Roman" w:hAnsi="Calibri" w:cs="Calibri"/>
                <w:sz w:val="14"/>
                <w:szCs w:val="16"/>
                <w:lang w:eastAsia="en-CA"/>
              </w:rPr>
            </w:pPr>
            <w:r w:rsidRPr="00E95E93">
              <w:rPr>
                <w:rFonts w:ascii="Calibri" w:eastAsia="Times New Roman" w:hAnsi="Calibri" w:cs="Calibri"/>
                <w:sz w:val="14"/>
                <w:szCs w:val="16"/>
                <w:lang w:eastAsia="en-CA"/>
              </w:rPr>
              <w:t>Manitoba</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83"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F87640">
            <w:pPr>
              <w:spacing w:after="0"/>
              <w:jc w:val="center"/>
              <w:rPr>
                <w:rFonts w:ascii="Calibri" w:hAnsi="Calibri" w:cs="Calibri"/>
                <w:sz w:val="14"/>
                <w:szCs w:val="14"/>
              </w:rPr>
            </w:pPr>
            <w:r w:rsidRPr="00E95E93">
              <w:rPr>
                <w:rFonts w:ascii="Calibri" w:hAnsi="Calibri" w:cs="Calibri"/>
                <w:sz w:val="14"/>
                <w:szCs w:val="14"/>
              </w:rPr>
              <w:t>0/0</w:t>
            </w:r>
          </w:p>
        </w:tc>
        <w:tc>
          <w:tcPr>
            <w:tcW w:w="406"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413"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r>
      <w:tr w:rsidR="00B61BF6" w:rsidRPr="00E95E93" w:rsidTr="008E7D09">
        <w:trPr>
          <w:cantSplit/>
          <w:trHeight w:val="283"/>
          <w:jc w:val="center"/>
        </w:trPr>
        <w:tc>
          <w:tcPr>
            <w:tcW w:w="1386" w:type="dxa"/>
            <w:tcBorders>
              <w:top w:val="nil"/>
              <w:left w:val="single" w:sz="4" w:space="0" w:color="auto"/>
              <w:bottom w:val="single" w:sz="8" w:space="0" w:color="auto"/>
              <w:right w:val="single" w:sz="8" w:space="0" w:color="auto"/>
            </w:tcBorders>
            <w:shd w:val="clear" w:color="auto" w:fill="auto"/>
            <w:vAlign w:val="center"/>
            <w:hideMark/>
          </w:tcPr>
          <w:p w:rsidR="008E7D09" w:rsidRPr="00E95E93" w:rsidRDefault="008E7D09" w:rsidP="00270A3D">
            <w:pPr>
              <w:spacing w:after="0" w:line="240" w:lineRule="auto"/>
              <w:rPr>
                <w:rFonts w:ascii="Calibri" w:eastAsia="Times New Roman" w:hAnsi="Calibri" w:cs="Calibri"/>
                <w:sz w:val="14"/>
                <w:szCs w:val="16"/>
                <w:lang w:eastAsia="en-CA"/>
              </w:rPr>
            </w:pPr>
            <w:r w:rsidRPr="00E95E93">
              <w:rPr>
                <w:rFonts w:ascii="Calibri" w:eastAsia="Times New Roman" w:hAnsi="Calibri" w:cs="Calibri"/>
                <w:sz w:val="14"/>
                <w:szCs w:val="16"/>
                <w:lang w:eastAsia="en-CA"/>
              </w:rPr>
              <w:t>Saskatchewan</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0/1</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1/2</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0/1</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0/1</w:t>
            </w:r>
          </w:p>
        </w:tc>
        <w:tc>
          <w:tcPr>
            <w:tcW w:w="483"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2/0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8E7D09">
            <w:pPr>
              <w:spacing w:after="0"/>
              <w:jc w:val="center"/>
              <w:rPr>
                <w:rFonts w:ascii="Calibri" w:hAnsi="Calibri" w:cs="Calibri"/>
                <w:sz w:val="14"/>
                <w:szCs w:val="14"/>
              </w:rPr>
            </w:pPr>
            <w:r w:rsidRPr="00E95E93">
              <w:rPr>
                <w:rFonts w:ascii="Calibri" w:hAnsi="Calibri" w:cs="Calibri"/>
                <w:sz w:val="14"/>
                <w:szCs w:val="14"/>
              </w:rPr>
              <w:t>0/2</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F87640">
            <w:pPr>
              <w:spacing w:after="0"/>
              <w:jc w:val="center"/>
              <w:rPr>
                <w:rFonts w:ascii="Calibri" w:hAnsi="Calibri" w:cs="Calibri"/>
                <w:sz w:val="14"/>
                <w:szCs w:val="14"/>
              </w:rPr>
            </w:pPr>
            <w:r w:rsidRPr="00E95E93">
              <w:rPr>
                <w:rFonts w:ascii="Calibri" w:hAnsi="Calibri" w:cs="Calibri"/>
                <w:sz w:val="14"/>
                <w:szCs w:val="14"/>
              </w:rPr>
              <w:t>0/0</w:t>
            </w:r>
          </w:p>
        </w:tc>
        <w:tc>
          <w:tcPr>
            <w:tcW w:w="406" w:type="dxa"/>
            <w:tcBorders>
              <w:top w:val="nil"/>
              <w:left w:val="nil"/>
              <w:bottom w:val="single" w:sz="8" w:space="0" w:color="auto"/>
              <w:right w:val="single" w:sz="8" w:space="0" w:color="auto"/>
            </w:tcBorders>
            <w:shd w:val="clear" w:color="auto" w:fill="auto"/>
            <w:vAlign w:val="center"/>
          </w:tcPr>
          <w:p w:rsidR="008E7D09" w:rsidRPr="00E95E93" w:rsidRDefault="008E7D09" w:rsidP="008E7D09">
            <w:pPr>
              <w:spacing w:after="0"/>
              <w:jc w:val="center"/>
              <w:rPr>
                <w:rFonts w:ascii="Calibri" w:hAnsi="Calibri" w:cs="Calibri"/>
                <w:sz w:val="14"/>
                <w:szCs w:val="14"/>
              </w:rPr>
            </w:pPr>
            <w:r w:rsidRPr="00E95E93">
              <w:rPr>
                <w:rFonts w:ascii="Calibri" w:hAnsi="Calibri" w:cs="Calibri"/>
                <w:sz w:val="14"/>
                <w:szCs w:val="14"/>
              </w:rPr>
              <w:t>0/1</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413"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r>
      <w:tr w:rsidR="00B61BF6" w:rsidRPr="00E95E93" w:rsidTr="008E7D09">
        <w:trPr>
          <w:cantSplit/>
          <w:trHeight w:val="283"/>
          <w:jc w:val="center"/>
        </w:trPr>
        <w:tc>
          <w:tcPr>
            <w:tcW w:w="1386" w:type="dxa"/>
            <w:tcBorders>
              <w:top w:val="nil"/>
              <w:left w:val="single" w:sz="4" w:space="0" w:color="auto"/>
              <w:bottom w:val="single" w:sz="8" w:space="0" w:color="auto"/>
              <w:right w:val="single" w:sz="8" w:space="0" w:color="auto"/>
            </w:tcBorders>
            <w:shd w:val="clear" w:color="auto" w:fill="auto"/>
            <w:vAlign w:val="center"/>
            <w:hideMark/>
          </w:tcPr>
          <w:p w:rsidR="008E7D09" w:rsidRPr="00E95E93" w:rsidRDefault="008E7D09" w:rsidP="00270A3D">
            <w:pPr>
              <w:spacing w:after="0" w:line="240" w:lineRule="auto"/>
              <w:rPr>
                <w:rFonts w:ascii="Calibri" w:eastAsia="Times New Roman" w:hAnsi="Calibri" w:cs="Calibri"/>
                <w:sz w:val="14"/>
                <w:szCs w:val="16"/>
                <w:lang w:eastAsia="en-CA"/>
              </w:rPr>
            </w:pPr>
            <w:r w:rsidRPr="00E95E93">
              <w:rPr>
                <w:rFonts w:ascii="Calibri" w:eastAsia="Times New Roman" w:hAnsi="Calibri" w:cs="Calibri"/>
                <w:sz w:val="14"/>
                <w:szCs w:val="16"/>
                <w:lang w:eastAsia="en-CA"/>
              </w:rPr>
              <w:t>Alberta</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83"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F87640">
            <w:pPr>
              <w:spacing w:after="0"/>
              <w:jc w:val="center"/>
              <w:rPr>
                <w:rFonts w:ascii="Calibri" w:hAnsi="Calibri" w:cs="Calibri"/>
                <w:sz w:val="14"/>
                <w:szCs w:val="14"/>
              </w:rPr>
            </w:pPr>
            <w:r w:rsidRPr="00E95E93">
              <w:rPr>
                <w:rFonts w:ascii="Calibri" w:hAnsi="Calibri" w:cs="Calibri"/>
                <w:sz w:val="14"/>
                <w:szCs w:val="14"/>
              </w:rPr>
              <w:t>0/0</w:t>
            </w:r>
          </w:p>
        </w:tc>
        <w:tc>
          <w:tcPr>
            <w:tcW w:w="406"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413"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r>
      <w:tr w:rsidR="00B61BF6" w:rsidRPr="00E95E93" w:rsidTr="008E7D09">
        <w:trPr>
          <w:cantSplit/>
          <w:trHeight w:val="283"/>
          <w:jc w:val="center"/>
        </w:trPr>
        <w:tc>
          <w:tcPr>
            <w:tcW w:w="1386" w:type="dxa"/>
            <w:tcBorders>
              <w:top w:val="nil"/>
              <w:left w:val="single" w:sz="4" w:space="0" w:color="auto"/>
              <w:bottom w:val="single" w:sz="8" w:space="0" w:color="auto"/>
              <w:right w:val="single" w:sz="8" w:space="0" w:color="auto"/>
            </w:tcBorders>
            <w:shd w:val="clear" w:color="auto" w:fill="auto"/>
            <w:vAlign w:val="center"/>
            <w:hideMark/>
          </w:tcPr>
          <w:p w:rsidR="008E7D09" w:rsidRPr="00E95E93" w:rsidRDefault="008E7D09" w:rsidP="00270A3D">
            <w:pPr>
              <w:spacing w:after="0" w:line="240" w:lineRule="auto"/>
              <w:rPr>
                <w:rFonts w:ascii="Calibri" w:eastAsia="Times New Roman" w:hAnsi="Calibri" w:cs="Calibri"/>
                <w:sz w:val="14"/>
                <w:szCs w:val="16"/>
                <w:lang w:eastAsia="en-CA"/>
              </w:rPr>
            </w:pPr>
            <w:r w:rsidRPr="00E95E93">
              <w:rPr>
                <w:rFonts w:ascii="Calibri" w:eastAsia="Times New Roman" w:hAnsi="Calibri" w:cs="Calibri"/>
                <w:sz w:val="14"/>
                <w:szCs w:val="16"/>
                <w:lang w:eastAsia="en-CA"/>
              </w:rPr>
              <w:t>British Columbia</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0/1</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83"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F87640">
            <w:pPr>
              <w:spacing w:after="0"/>
              <w:jc w:val="center"/>
              <w:rPr>
                <w:rFonts w:ascii="Calibri" w:hAnsi="Calibri" w:cs="Calibri"/>
                <w:sz w:val="14"/>
                <w:szCs w:val="14"/>
              </w:rPr>
            </w:pPr>
            <w:r w:rsidRPr="00E95E93">
              <w:rPr>
                <w:rFonts w:ascii="Calibri" w:hAnsi="Calibri" w:cs="Calibri"/>
                <w:sz w:val="14"/>
                <w:szCs w:val="14"/>
              </w:rPr>
              <w:t>0/0</w:t>
            </w:r>
          </w:p>
        </w:tc>
        <w:tc>
          <w:tcPr>
            <w:tcW w:w="406"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413"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r>
      <w:tr w:rsidR="00B61BF6" w:rsidRPr="00E95E93" w:rsidTr="008E7D09">
        <w:trPr>
          <w:cantSplit/>
          <w:trHeight w:val="283"/>
          <w:jc w:val="center"/>
        </w:trPr>
        <w:tc>
          <w:tcPr>
            <w:tcW w:w="1386" w:type="dxa"/>
            <w:tcBorders>
              <w:top w:val="nil"/>
              <w:left w:val="single" w:sz="4" w:space="0" w:color="auto"/>
              <w:bottom w:val="single" w:sz="8" w:space="0" w:color="auto"/>
              <w:right w:val="single" w:sz="8" w:space="0" w:color="auto"/>
            </w:tcBorders>
            <w:shd w:val="clear" w:color="auto" w:fill="auto"/>
            <w:vAlign w:val="center"/>
            <w:hideMark/>
          </w:tcPr>
          <w:p w:rsidR="008E7D09" w:rsidRPr="00E95E93" w:rsidRDefault="008E7D09" w:rsidP="00270A3D">
            <w:pPr>
              <w:spacing w:after="0" w:line="240" w:lineRule="auto"/>
              <w:rPr>
                <w:rFonts w:ascii="Calibri" w:eastAsia="Times New Roman" w:hAnsi="Calibri" w:cs="Calibri"/>
                <w:sz w:val="14"/>
                <w:szCs w:val="16"/>
                <w:lang w:eastAsia="en-CA"/>
              </w:rPr>
            </w:pPr>
            <w:r w:rsidRPr="00E95E93">
              <w:rPr>
                <w:rFonts w:ascii="Calibri" w:eastAsia="Times New Roman" w:hAnsi="Calibri" w:cs="Calibri"/>
                <w:sz w:val="14"/>
                <w:szCs w:val="16"/>
                <w:lang w:eastAsia="en-CA"/>
              </w:rPr>
              <w:t>Yukon Territory</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83"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F87640">
            <w:pPr>
              <w:spacing w:after="0"/>
              <w:jc w:val="center"/>
              <w:rPr>
                <w:rFonts w:ascii="Calibri" w:hAnsi="Calibri" w:cs="Calibri"/>
                <w:sz w:val="14"/>
                <w:szCs w:val="14"/>
              </w:rPr>
            </w:pPr>
            <w:r w:rsidRPr="00E95E93">
              <w:rPr>
                <w:rFonts w:ascii="Calibri" w:hAnsi="Calibri" w:cs="Calibri"/>
                <w:sz w:val="14"/>
                <w:szCs w:val="14"/>
              </w:rPr>
              <w:t>0/0</w:t>
            </w:r>
          </w:p>
        </w:tc>
        <w:tc>
          <w:tcPr>
            <w:tcW w:w="406"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413"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r>
      <w:tr w:rsidR="00B61BF6" w:rsidRPr="00E95E93" w:rsidTr="008E7D09">
        <w:trPr>
          <w:cantSplit/>
          <w:trHeight w:val="283"/>
          <w:jc w:val="center"/>
        </w:trPr>
        <w:tc>
          <w:tcPr>
            <w:tcW w:w="1386" w:type="dxa"/>
            <w:tcBorders>
              <w:top w:val="nil"/>
              <w:left w:val="single" w:sz="4" w:space="0" w:color="auto"/>
              <w:bottom w:val="single" w:sz="8" w:space="0" w:color="auto"/>
              <w:right w:val="single" w:sz="8" w:space="0" w:color="auto"/>
            </w:tcBorders>
            <w:shd w:val="clear" w:color="auto" w:fill="auto"/>
            <w:vAlign w:val="center"/>
            <w:hideMark/>
          </w:tcPr>
          <w:p w:rsidR="008E7D09" w:rsidRPr="00E95E93" w:rsidRDefault="008E7D09" w:rsidP="00270A3D">
            <w:pPr>
              <w:spacing w:after="0" w:line="240" w:lineRule="auto"/>
              <w:rPr>
                <w:rFonts w:ascii="Calibri" w:eastAsia="Times New Roman" w:hAnsi="Calibri" w:cs="Calibri"/>
                <w:sz w:val="14"/>
                <w:szCs w:val="16"/>
                <w:lang w:eastAsia="en-CA"/>
              </w:rPr>
            </w:pPr>
            <w:r w:rsidRPr="00E95E93">
              <w:rPr>
                <w:rFonts w:ascii="Calibri" w:eastAsia="Times New Roman" w:hAnsi="Calibri" w:cs="Calibri"/>
                <w:sz w:val="14"/>
                <w:szCs w:val="16"/>
                <w:lang w:eastAsia="en-CA"/>
              </w:rPr>
              <w:t>Northwest Territory</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83"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F87640">
            <w:pPr>
              <w:spacing w:after="0"/>
              <w:jc w:val="center"/>
              <w:rPr>
                <w:rFonts w:ascii="Calibri" w:hAnsi="Calibri" w:cs="Calibri"/>
                <w:sz w:val="14"/>
                <w:szCs w:val="14"/>
              </w:rPr>
            </w:pPr>
            <w:r w:rsidRPr="00E95E93">
              <w:rPr>
                <w:rFonts w:ascii="Calibri" w:hAnsi="Calibri" w:cs="Calibri"/>
                <w:sz w:val="14"/>
                <w:szCs w:val="14"/>
              </w:rPr>
              <w:t>0/0</w:t>
            </w:r>
          </w:p>
        </w:tc>
        <w:tc>
          <w:tcPr>
            <w:tcW w:w="406"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413"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r>
      <w:tr w:rsidR="00B61BF6" w:rsidRPr="00E95E93" w:rsidTr="008E7D09">
        <w:trPr>
          <w:cantSplit/>
          <w:trHeight w:val="283"/>
          <w:jc w:val="center"/>
        </w:trPr>
        <w:tc>
          <w:tcPr>
            <w:tcW w:w="1386" w:type="dxa"/>
            <w:tcBorders>
              <w:top w:val="nil"/>
              <w:left w:val="single" w:sz="4" w:space="0" w:color="auto"/>
              <w:bottom w:val="single" w:sz="8" w:space="0" w:color="auto"/>
              <w:right w:val="single" w:sz="8" w:space="0" w:color="auto"/>
            </w:tcBorders>
            <w:shd w:val="clear" w:color="auto" w:fill="auto"/>
            <w:vAlign w:val="center"/>
            <w:hideMark/>
          </w:tcPr>
          <w:p w:rsidR="008E7D09" w:rsidRPr="00E95E93" w:rsidRDefault="008E7D09" w:rsidP="00270A3D">
            <w:pPr>
              <w:spacing w:after="0" w:line="240" w:lineRule="auto"/>
              <w:rPr>
                <w:rFonts w:ascii="Calibri" w:eastAsia="Times New Roman" w:hAnsi="Calibri" w:cs="Calibri"/>
                <w:sz w:val="14"/>
                <w:szCs w:val="16"/>
                <w:lang w:eastAsia="en-CA"/>
              </w:rPr>
            </w:pPr>
            <w:r w:rsidRPr="00E95E93">
              <w:rPr>
                <w:rFonts w:ascii="Calibri" w:eastAsia="Times New Roman" w:hAnsi="Calibri" w:cs="Calibri"/>
                <w:sz w:val="14"/>
                <w:szCs w:val="16"/>
                <w:lang w:eastAsia="en-CA"/>
              </w:rPr>
              <w:t>Nunavut</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83"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270A3D">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F87640">
            <w:pPr>
              <w:spacing w:after="0"/>
              <w:jc w:val="center"/>
              <w:rPr>
                <w:rFonts w:ascii="Calibri" w:hAnsi="Calibri" w:cs="Calibri"/>
                <w:sz w:val="14"/>
                <w:szCs w:val="14"/>
              </w:rPr>
            </w:pPr>
            <w:r w:rsidRPr="00E95E93">
              <w:rPr>
                <w:rFonts w:ascii="Calibri" w:hAnsi="Calibri" w:cs="Calibri"/>
                <w:sz w:val="14"/>
                <w:szCs w:val="14"/>
              </w:rPr>
              <w:t>0/0</w:t>
            </w:r>
          </w:p>
        </w:tc>
        <w:tc>
          <w:tcPr>
            <w:tcW w:w="406" w:type="dxa"/>
            <w:tcBorders>
              <w:top w:val="nil"/>
              <w:left w:val="nil"/>
              <w:bottom w:val="single" w:sz="8" w:space="0" w:color="auto"/>
              <w:right w:val="single" w:sz="8" w:space="0" w:color="auto"/>
            </w:tcBorders>
            <w:shd w:val="clear" w:color="auto" w:fill="D9D9D9" w:themeFill="background1" w:themeFillShade="D9"/>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412" w:type="dxa"/>
            <w:tcBorders>
              <w:top w:val="nil"/>
              <w:left w:val="nil"/>
              <w:bottom w:val="single" w:sz="8" w:space="0" w:color="auto"/>
              <w:right w:val="single" w:sz="8" w:space="0" w:color="auto"/>
            </w:tcBorders>
            <w:shd w:val="clear" w:color="auto" w:fill="auto"/>
            <w:vAlign w:val="center"/>
          </w:tcPr>
          <w:p w:rsidR="008E7D09" w:rsidRPr="00E95E93" w:rsidRDefault="008E7D09" w:rsidP="00650388">
            <w:pPr>
              <w:spacing w:after="0"/>
              <w:jc w:val="center"/>
              <w:rPr>
                <w:rFonts w:ascii="Calibri" w:hAnsi="Calibri" w:cs="Calibri"/>
                <w:sz w:val="14"/>
                <w:szCs w:val="14"/>
              </w:rPr>
            </w:pPr>
            <w:r w:rsidRPr="00E95E93">
              <w:rPr>
                <w:rFonts w:ascii="Calibri" w:hAnsi="Calibri" w:cs="Calibri"/>
                <w:sz w:val="14"/>
                <w:szCs w:val="14"/>
              </w:rPr>
              <w:t>0/0</w:t>
            </w: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358"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c>
          <w:tcPr>
            <w:tcW w:w="413" w:type="dxa"/>
            <w:tcBorders>
              <w:top w:val="nil"/>
              <w:left w:val="nil"/>
              <w:bottom w:val="single" w:sz="8" w:space="0" w:color="auto"/>
              <w:right w:val="single" w:sz="8" w:space="0" w:color="auto"/>
            </w:tcBorders>
            <w:shd w:val="clear" w:color="auto" w:fill="auto"/>
            <w:vAlign w:val="center"/>
          </w:tcPr>
          <w:p w:rsidR="008E7D09" w:rsidRPr="00E95E93" w:rsidRDefault="008E7D09" w:rsidP="00270A3D">
            <w:pPr>
              <w:spacing w:after="0" w:line="240" w:lineRule="auto"/>
              <w:jc w:val="center"/>
              <w:rPr>
                <w:rFonts w:cstheme="minorHAnsi"/>
                <w:sz w:val="14"/>
                <w:szCs w:val="14"/>
              </w:rPr>
            </w:pPr>
          </w:p>
        </w:tc>
      </w:tr>
    </w:tbl>
    <w:p w:rsidR="00C53E96" w:rsidRPr="00E95E93" w:rsidRDefault="00C53E96" w:rsidP="00AD6D4C">
      <w:pPr>
        <w:spacing w:after="0" w:line="240" w:lineRule="auto"/>
        <w:jc w:val="center"/>
        <w:rPr>
          <w:b/>
          <w:bCs/>
          <w:sz w:val="20"/>
          <w:szCs w:val="16"/>
        </w:rPr>
      </w:pPr>
    </w:p>
    <w:p w:rsidR="00AD6D4C" w:rsidRPr="00E95E93" w:rsidRDefault="00942546" w:rsidP="00AD6D4C">
      <w:pPr>
        <w:spacing w:after="0" w:line="240" w:lineRule="auto"/>
        <w:jc w:val="center"/>
        <w:rPr>
          <w:b/>
          <w:bCs/>
          <w:sz w:val="20"/>
          <w:szCs w:val="16"/>
        </w:rPr>
      </w:pPr>
      <w:r w:rsidRPr="00E95E93">
        <w:rPr>
          <w:b/>
          <w:bCs/>
          <w:sz w:val="20"/>
          <w:szCs w:val="16"/>
        </w:rPr>
        <w:t>Percentage of dead birds testing positive for WNv in the 2012 season by report week as compared to the 2003 and 2011 seasons</w:t>
      </w:r>
    </w:p>
    <w:p w:rsidR="00AD6D4C" w:rsidRPr="00E95E93" w:rsidRDefault="00AD6D4C" w:rsidP="00AD6D4C">
      <w:pPr>
        <w:spacing w:after="0" w:line="240" w:lineRule="auto"/>
        <w:jc w:val="center"/>
        <w:rPr>
          <w:b/>
          <w:bCs/>
          <w:sz w:val="16"/>
          <w:szCs w:val="16"/>
        </w:rPr>
      </w:pPr>
    </w:p>
    <w:p w:rsidR="00AD6D4C" w:rsidRPr="00E95E93" w:rsidRDefault="002539DC" w:rsidP="00A02566">
      <w:pPr>
        <w:spacing w:after="0" w:line="240" w:lineRule="auto"/>
        <w:jc w:val="center"/>
        <w:rPr>
          <w:b/>
          <w:bCs/>
          <w:sz w:val="16"/>
          <w:szCs w:val="16"/>
        </w:rPr>
      </w:pPr>
      <w:r w:rsidRPr="00E95E93">
        <w:rPr>
          <w:noProof/>
          <w:lang w:val="en-US"/>
        </w:rPr>
        <w:drawing>
          <wp:inline distT="0" distB="0" distL="0" distR="0">
            <wp:extent cx="8516203" cy="2756847"/>
            <wp:effectExtent l="0" t="0" r="18415" b="2476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D6D4C" w:rsidRPr="00E95E93" w:rsidRDefault="00AD6D4C" w:rsidP="00AD6D4C">
      <w:pPr>
        <w:spacing w:after="0" w:line="240" w:lineRule="auto"/>
      </w:pPr>
      <w:r w:rsidRPr="00E95E93">
        <w:t xml:space="preserve">Link </w:t>
      </w:r>
      <w:r w:rsidR="00A615F3" w:rsidRPr="00E95E93">
        <w:t xml:space="preserve">figure 4 </w:t>
      </w:r>
      <w:r w:rsidRPr="00E95E93">
        <w:t>to the following table</w:t>
      </w:r>
      <w:r w:rsidR="00A615F3" w:rsidRPr="00E95E93">
        <w:t xml:space="preserve"> 6 below</w:t>
      </w:r>
    </w:p>
    <w:p w:rsidR="00AD6D4C" w:rsidRPr="00E95E93" w:rsidRDefault="00AD6D4C" w:rsidP="00AD6D4C">
      <w:pPr>
        <w:spacing w:after="0" w:line="240" w:lineRule="auto"/>
        <w:rPr>
          <w:b/>
          <w:bCs/>
          <w:sz w:val="16"/>
          <w:szCs w:val="16"/>
        </w:rPr>
      </w:pPr>
    </w:p>
    <w:tbl>
      <w:tblPr>
        <w:tblW w:w="13629" w:type="dxa"/>
        <w:jc w:val="center"/>
        <w:tblInd w:w="93" w:type="dxa"/>
        <w:tblLook w:val="04A0"/>
      </w:tblPr>
      <w:tblGrid>
        <w:gridCol w:w="1577"/>
        <w:gridCol w:w="541"/>
        <w:gridCol w:w="451"/>
        <w:gridCol w:w="379"/>
        <w:gridCol w:w="379"/>
        <w:gridCol w:w="379"/>
        <w:gridCol w:w="379"/>
        <w:gridCol w:w="379"/>
        <w:gridCol w:w="379"/>
        <w:gridCol w:w="379"/>
        <w:gridCol w:w="379"/>
        <w:gridCol w:w="379"/>
        <w:gridCol w:w="460"/>
        <w:gridCol w:w="428"/>
        <w:gridCol w:w="379"/>
        <w:gridCol w:w="535"/>
        <w:gridCol w:w="460"/>
        <w:gridCol w:w="379"/>
        <w:gridCol w:w="379"/>
        <w:gridCol w:w="460"/>
        <w:gridCol w:w="379"/>
        <w:gridCol w:w="379"/>
        <w:gridCol w:w="379"/>
        <w:gridCol w:w="379"/>
        <w:gridCol w:w="379"/>
        <w:gridCol w:w="379"/>
        <w:gridCol w:w="379"/>
        <w:gridCol w:w="379"/>
        <w:gridCol w:w="379"/>
        <w:gridCol w:w="379"/>
        <w:gridCol w:w="379"/>
      </w:tblGrid>
      <w:tr w:rsidR="00B61BF6" w:rsidRPr="00E95E93" w:rsidTr="0089439A">
        <w:trPr>
          <w:trHeight w:val="315"/>
          <w:jc w:val="center"/>
        </w:trPr>
        <w:tc>
          <w:tcPr>
            <w:tcW w:w="2118" w:type="dxa"/>
            <w:gridSpan w:val="2"/>
            <w:vMerge w:val="restart"/>
            <w:tcBorders>
              <w:top w:val="single" w:sz="8" w:space="0" w:color="auto"/>
              <w:left w:val="single" w:sz="8" w:space="0" w:color="auto"/>
              <w:right w:val="single" w:sz="8" w:space="0" w:color="auto"/>
            </w:tcBorders>
            <w:shd w:val="clear" w:color="auto" w:fill="auto"/>
            <w:noWrap/>
            <w:vAlign w:val="bottom"/>
            <w:hideMark/>
          </w:tcPr>
          <w:p w:rsidR="00B64479" w:rsidRPr="00E95E93" w:rsidRDefault="00E95E93" w:rsidP="00AD6D4C">
            <w:pPr>
              <w:spacing w:after="0" w:line="240" w:lineRule="auto"/>
              <w:rPr>
                <w:rFonts w:ascii="Calibri" w:eastAsia="Times New Roman" w:hAnsi="Calibri" w:cs="Calibri"/>
                <w:sz w:val="16"/>
                <w:szCs w:val="16"/>
                <w:lang w:eastAsia="en-CA"/>
              </w:rPr>
            </w:pPr>
            <w:r>
              <w:rPr>
                <w:rFonts w:ascii="Calibri" w:eastAsia="Times New Roman" w:hAnsi="Calibri" w:cs="Calibri"/>
                <w:sz w:val="16"/>
                <w:szCs w:val="16"/>
                <w:lang w:eastAsia="en-CA"/>
              </w:rPr>
              <w:t xml:space="preserve"> </w:t>
            </w:r>
          </w:p>
          <w:p w:rsidR="00B64479" w:rsidRPr="00E95E93" w:rsidRDefault="00E95E93" w:rsidP="00AD6D4C">
            <w:pPr>
              <w:spacing w:after="0" w:line="240" w:lineRule="auto"/>
              <w:rPr>
                <w:rFonts w:ascii="Calibri" w:eastAsia="Times New Roman" w:hAnsi="Calibri" w:cs="Calibri"/>
                <w:sz w:val="16"/>
                <w:szCs w:val="16"/>
                <w:lang w:eastAsia="en-CA"/>
              </w:rPr>
            </w:pPr>
            <w:r>
              <w:rPr>
                <w:rFonts w:ascii="Calibri" w:eastAsia="Times New Roman" w:hAnsi="Calibri" w:cs="Calibri"/>
                <w:sz w:val="16"/>
                <w:szCs w:val="16"/>
                <w:lang w:eastAsia="en-CA"/>
              </w:rPr>
              <w:t xml:space="preserve"> </w:t>
            </w:r>
          </w:p>
          <w:p w:rsidR="00B64479" w:rsidRPr="00E95E93" w:rsidRDefault="00E95E93" w:rsidP="00AD6D4C">
            <w:pPr>
              <w:spacing w:after="0" w:line="240" w:lineRule="auto"/>
              <w:rPr>
                <w:rFonts w:ascii="Calibri" w:eastAsia="Times New Roman" w:hAnsi="Calibri" w:cs="Calibri"/>
                <w:sz w:val="16"/>
                <w:szCs w:val="16"/>
                <w:lang w:eastAsia="en-CA"/>
              </w:rPr>
            </w:pPr>
            <w:r>
              <w:rPr>
                <w:rFonts w:ascii="Calibri" w:eastAsia="Times New Roman" w:hAnsi="Calibri" w:cs="Calibri"/>
                <w:sz w:val="16"/>
                <w:szCs w:val="16"/>
                <w:lang w:eastAsia="en-CA"/>
              </w:rPr>
              <w:t xml:space="preserve"> </w:t>
            </w:r>
          </w:p>
          <w:p w:rsidR="00B64479" w:rsidRPr="00E95E93" w:rsidRDefault="00E95E93" w:rsidP="00AD6D4C">
            <w:pPr>
              <w:spacing w:after="0" w:line="240" w:lineRule="auto"/>
              <w:rPr>
                <w:rFonts w:ascii="Calibri" w:eastAsia="Times New Roman" w:hAnsi="Calibri" w:cs="Calibri"/>
                <w:sz w:val="16"/>
                <w:szCs w:val="16"/>
                <w:lang w:eastAsia="en-CA"/>
              </w:rPr>
            </w:pPr>
            <w:r>
              <w:rPr>
                <w:rFonts w:ascii="Calibri" w:eastAsia="Times New Roman" w:hAnsi="Calibri" w:cs="Calibri"/>
                <w:sz w:val="16"/>
                <w:szCs w:val="16"/>
                <w:lang w:eastAsia="en-CA"/>
              </w:rPr>
              <w:t xml:space="preserve"> </w:t>
            </w:r>
          </w:p>
        </w:tc>
        <w:tc>
          <w:tcPr>
            <w:tcW w:w="11511" w:type="dxa"/>
            <w:gridSpan w:val="29"/>
            <w:tcBorders>
              <w:top w:val="single" w:sz="8" w:space="0" w:color="auto"/>
              <w:left w:val="single" w:sz="8" w:space="0" w:color="auto"/>
              <w:bottom w:val="single" w:sz="4" w:space="0" w:color="auto"/>
              <w:right w:val="single" w:sz="8" w:space="0" w:color="000000"/>
            </w:tcBorders>
            <w:shd w:val="clear" w:color="auto" w:fill="auto"/>
            <w:vAlign w:val="center"/>
            <w:hideMark/>
          </w:tcPr>
          <w:p w:rsidR="00B64479" w:rsidRPr="00E95E93" w:rsidRDefault="00B64479" w:rsidP="00AD6D4C">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Weeks of 2012</w:t>
            </w:r>
          </w:p>
        </w:tc>
      </w:tr>
      <w:tr w:rsidR="00B61BF6" w:rsidRPr="00E95E93" w:rsidTr="0089439A">
        <w:trPr>
          <w:trHeight w:val="315"/>
          <w:jc w:val="center"/>
        </w:trPr>
        <w:tc>
          <w:tcPr>
            <w:tcW w:w="2118" w:type="dxa"/>
            <w:gridSpan w:val="2"/>
            <w:vMerge/>
            <w:tcBorders>
              <w:left w:val="single" w:sz="8" w:space="0" w:color="auto"/>
              <w:bottom w:val="nil"/>
              <w:right w:val="single" w:sz="8" w:space="0" w:color="auto"/>
            </w:tcBorders>
            <w:shd w:val="clear" w:color="auto" w:fill="auto"/>
            <w:noWrap/>
            <w:vAlign w:val="bottom"/>
            <w:hideMark/>
          </w:tcPr>
          <w:p w:rsidR="00B64479" w:rsidRPr="00E95E93" w:rsidRDefault="00B64479" w:rsidP="00AD6D4C">
            <w:pPr>
              <w:spacing w:after="0" w:line="240" w:lineRule="auto"/>
              <w:rPr>
                <w:rFonts w:ascii="Calibri" w:eastAsia="Times New Roman" w:hAnsi="Calibri" w:cs="Calibri"/>
                <w:sz w:val="16"/>
                <w:szCs w:val="16"/>
                <w:lang w:eastAsia="en-CA"/>
              </w:rPr>
            </w:pPr>
          </w:p>
        </w:tc>
        <w:tc>
          <w:tcPr>
            <w:tcW w:w="451"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17</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18</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19</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20</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21</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22</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23</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24</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25</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26</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27</w:t>
            </w:r>
          </w:p>
        </w:tc>
        <w:tc>
          <w:tcPr>
            <w:tcW w:w="4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28</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29</w:t>
            </w:r>
          </w:p>
        </w:tc>
        <w:tc>
          <w:tcPr>
            <w:tcW w:w="5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right"/>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right"/>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31</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right"/>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32</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right"/>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right"/>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34</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right"/>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35</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right"/>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36</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right"/>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37</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right"/>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38</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right"/>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39</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right"/>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40</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right"/>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41</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right"/>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42</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right"/>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43</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right"/>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44</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479" w:rsidRPr="00E95E93" w:rsidRDefault="00B64479" w:rsidP="00AD6D4C">
            <w:pPr>
              <w:spacing w:after="0" w:line="240" w:lineRule="auto"/>
              <w:jc w:val="right"/>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45</w:t>
            </w:r>
          </w:p>
        </w:tc>
      </w:tr>
      <w:tr w:rsidR="00B61BF6" w:rsidRPr="00E95E93" w:rsidTr="0089439A">
        <w:trPr>
          <w:trHeight w:val="300"/>
          <w:jc w:val="center"/>
        </w:trPr>
        <w:tc>
          <w:tcPr>
            <w:tcW w:w="1577" w:type="dxa"/>
            <w:tcBorders>
              <w:top w:val="single" w:sz="8" w:space="0" w:color="auto"/>
              <w:left w:val="single" w:sz="8" w:space="0" w:color="auto"/>
              <w:bottom w:val="single" w:sz="4" w:space="0" w:color="auto"/>
              <w:right w:val="nil"/>
            </w:tcBorders>
            <w:shd w:val="clear" w:color="auto" w:fill="auto"/>
            <w:noWrap/>
            <w:vAlign w:val="center"/>
            <w:hideMark/>
          </w:tcPr>
          <w:p w:rsidR="002539DC" w:rsidRPr="00E95E93" w:rsidRDefault="002539DC" w:rsidP="002539DC">
            <w:pPr>
              <w:spacing w:after="0" w:line="240" w:lineRule="auto"/>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Numbers tested</w:t>
            </w:r>
          </w:p>
        </w:tc>
        <w:tc>
          <w:tcPr>
            <w:tcW w:w="541" w:type="dxa"/>
            <w:vMerge w:val="restart"/>
            <w:tcBorders>
              <w:top w:val="single" w:sz="8" w:space="0" w:color="auto"/>
              <w:left w:val="single" w:sz="8" w:space="0" w:color="auto"/>
              <w:right w:val="single" w:sz="4" w:space="0" w:color="auto"/>
            </w:tcBorders>
            <w:shd w:val="clear" w:color="auto" w:fill="auto"/>
            <w:vAlign w:val="center"/>
            <w:hideMark/>
          </w:tcPr>
          <w:p w:rsidR="002539DC" w:rsidRPr="00E95E93" w:rsidRDefault="002539DC" w:rsidP="002539DC">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2012</w:t>
            </w:r>
          </w:p>
        </w:tc>
        <w:tc>
          <w:tcPr>
            <w:tcW w:w="451"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1</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1</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3</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1</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3</w:t>
            </w:r>
          </w:p>
        </w:tc>
        <w:tc>
          <w:tcPr>
            <w:tcW w:w="428"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9</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2</w:t>
            </w:r>
          </w:p>
        </w:tc>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6</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12</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13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13</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12</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3</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13</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5</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E95E93" w:rsidP="002539DC">
            <w:pPr>
              <w:spacing w:after="0"/>
              <w:jc w:val="center"/>
              <w:rPr>
                <w:rFonts w:ascii="Calibri" w:hAnsi="Calibri" w:cs="Calibri"/>
                <w:sz w:val="16"/>
                <w:szCs w:val="16"/>
              </w:rPr>
            </w:pPr>
            <w:r>
              <w:rPr>
                <w:rFonts w:ascii="Calibri" w:hAnsi="Calibri" w:cs="Calibri"/>
                <w:sz w:val="16"/>
                <w:szCs w:val="16"/>
              </w:rPr>
              <w:t xml:space="preserve"> </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E95E93" w:rsidP="002539DC">
            <w:pPr>
              <w:spacing w:after="0"/>
              <w:jc w:val="center"/>
              <w:rPr>
                <w:rFonts w:ascii="Calibri" w:hAnsi="Calibri" w:cs="Calibri"/>
                <w:sz w:val="16"/>
                <w:szCs w:val="16"/>
              </w:rPr>
            </w:pPr>
            <w:r>
              <w:rPr>
                <w:rFonts w:ascii="Calibri" w:hAnsi="Calibri" w:cs="Calibri"/>
                <w:sz w:val="16"/>
                <w:szCs w:val="16"/>
              </w:rPr>
              <w:t xml:space="preserve"> </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E95E93" w:rsidP="002539DC">
            <w:pPr>
              <w:spacing w:after="0"/>
              <w:jc w:val="center"/>
              <w:rPr>
                <w:rFonts w:ascii="Calibri" w:hAnsi="Calibri" w:cs="Calibri"/>
                <w:sz w:val="16"/>
                <w:szCs w:val="16"/>
              </w:rPr>
            </w:pPr>
            <w:r>
              <w:rPr>
                <w:rFonts w:ascii="Calibri" w:hAnsi="Calibri" w:cs="Calibri"/>
                <w:sz w:val="16"/>
                <w:szCs w:val="16"/>
              </w:rPr>
              <w:t xml:space="preserve"> </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E95E93" w:rsidP="002539DC">
            <w:pPr>
              <w:spacing w:after="0"/>
              <w:jc w:val="center"/>
              <w:rPr>
                <w:rFonts w:ascii="Calibri" w:hAnsi="Calibri" w:cs="Calibri"/>
                <w:sz w:val="16"/>
                <w:szCs w:val="16"/>
              </w:rPr>
            </w:pPr>
            <w:r>
              <w:rPr>
                <w:rFonts w:ascii="Calibri" w:hAnsi="Calibri" w:cs="Calibri"/>
                <w:sz w:val="16"/>
                <w:szCs w:val="16"/>
              </w:rPr>
              <w:t xml:space="preserve"> </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E95E93" w:rsidP="002539DC">
            <w:pPr>
              <w:spacing w:after="0"/>
              <w:jc w:val="center"/>
              <w:rPr>
                <w:rFonts w:ascii="Calibri" w:hAnsi="Calibri" w:cs="Calibri"/>
                <w:sz w:val="16"/>
                <w:szCs w:val="16"/>
              </w:rPr>
            </w:pPr>
            <w:r>
              <w:rPr>
                <w:rFonts w:ascii="Calibri" w:hAnsi="Calibri" w:cs="Calibri"/>
                <w:sz w:val="16"/>
                <w:szCs w:val="16"/>
              </w:rPr>
              <w:t xml:space="preserve"> </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E95E93" w:rsidP="002539DC">
            <w:pPr>
              <w:spacing w:after="0"/>
              <w:jc w:val="center"/>
              <w:rPr>
                <w:rFonts w:ascii="Calibri" w:hAnsi="Calibri" w:cs="Calibri"/>
                <w:sz w:val="16"/>
                <w:szCs w:val="16"/>
              </w:rPr>
            </w:pPr>
            <w:r>
              <w:rPr>
                <w:rFonts w:ascii="Calibri" w:hAnsi="Calibri" w:cs="Calibri"/>
                <w:sz w:val="16"/>
                <w:szCs w:val="16"/>
              </w:rPr>
              <w:t xml:space="preserve"> </w:t>
            </w:r>
          </w:p>
        </w:tc>
      </w:tr>
      <w:tr w:rsidR="00B61BF6" w:rsidRPr="00E95E93" w:rsidTr="0089439A">
        <w:trPr>
          <w:trHeight w:val="300"/>
          <w:jc w:val="center"/>
        </w:trPr>
        <w:tc>
          <w:tcPr>
            <w:tcW w:w="1577" w:type="dxa"/>
            <w:tcBorders>
              <w:top w:val="single" w:sz="4" w:space="0" w:color="auto"/>
              <w:left w:val="single" w:sz="8" w:space="0" w:color="auto"/>
              <w:bottom w:val="single" w:sz="4" w:space="0" w:color="auto"/>
              <w:right w:val="nil"/>
            </w:tcBorders>
            <w:shd w:val="clear" w:color="auto" w:fill="auto"/>
            <w:noWrap/>
            <w:vAlign w:val="center"/>
            <w:hideMark/>
          </w:tcPr>
          <w:p w:rsidR="002539DC" w:rsidRPr="00E95E93" w:rsidRDefault="002539DC" w:rsidP="002539DC">
            <w:pPr>
              <w:spacing w:after="0" w:line="240" w:lineRule="auto"/>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Numbers positive</w:t>
            </w:r>
          </w:p>
        </w:tc>
        <w:tc>
          <w:tcPr>
            <w:tcW w:w="541" w:type="dxa"/>
            <w:vMerge/>
            <w:tcBorders>
              <w:left w:val="single" w:sz="8" w:space="0" w:color="auto"/>
              <w:right w:val="single" w:sz="4" w:space="0" w:color="auto"/>
            </w:tcBorders>
            <w:shd w:val="clear" w:color="auto" w:fill="auto"/>
            <w:vAlign w:val="center"/>
            <w:hideMark/>
          </w:tcPr>
          <w:p w:rsidR="002539DC" w:rsidRPr="00E95E93" w:rsidRDefault="002539DC" w:rsidP="002539DC">
            <w:pPr>
              <w:spacing w:after="0" w:line="240" w:lineRule="auto"/>
              <w:jc w:val="center"/>
              <w:rPr>
                <w:rFonts w:ascii="Calibri" w:eastAsia="Times New Roman" w:hAnsi="Calibri" w:cs="Calibri"/>
                <w:sz w:val="16"/>
                <w:szCs w:val="16"/>
                <w:lang w:eastAsia="en-CA"/>
              </w:rPr>
            </w:pPr>
          </w:p>
        </w:tc>
        <w:tc>
          <w:tcPr>
            <w:tcW w:w="451"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1</w:t>
            </w:r>
          </w:p>
        </w:tc>
        <w:tc>
          <w:tcPr>
            <w:tcW w:w="428"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6</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1</w:t>
            </w:r>
          </w:p>
        </w:tc>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2</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6</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10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9</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8</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1</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8</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4</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E95E93" w:rsidP="002539DC">
            <w:pPr>
              <w:spacing w:after="0"/>
              <w:jc w:val="center"/>
              <w:rPr>
                <w:rFonts w:ascii="Calibri" w:hAnsi="Calibri" w:cs="Calibri"/>
                <w:sz w:val="16"/>
                <w:szCs w:val="16"/>
              </w:rPr>
            </w:pPr>
            <w:r>
              <w:rPr>
                <w:rFonts w:ascii="Calibri" w:hAnsi="Calibri" w:cs="Calibri"/>
                <w:sz w:val="16"/>
                <w:szCs w:val="16"/>
              </w:rPr>
              <w:t xml:space="preserve"> </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E95E93" w:rsidP="002539DC">
            <w:pPr>
              <w:spacing w:after="0"/>
              <w:jc w:val="center"/>
              <w:rPr>
                <w:rFonts w:ascii="Calibri" w:hAnsi="Calibri" w:cs="Calibri"/>
                <w:sz w:val="16"/>
                <w:szCs w:val="16"/>
              </w:rPr>
            </w:pPr>
            <w:r>
              <w:rPr>
                <w:rFonts w:ascii="Calibri" w:hAnsi="Calibri" w:cs="Calibri"/>
                <w:sz w:val="16"/>
                <w:szCs w:val="16"/>
              </w:rPr>
              <w:t xml:space="preserve"> </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E95E93" w:rsidP="002539DC">
            <w:pPr>
              <w:spacing w:after="0"/>
              <w:jc w:val="center"/>
              <w:rPr>
                <w:rFonts w:ascii="Calibri" w:hAnsi="Calibri" w:cs="Calibri"/>
                <w:sz w:val="16"/>
                <w:szCs w:val="16"/>
              </w:rPr>
            </w:pPr>
            <w:r>
              <w:rPr>
                <w:rFonts w:ascii="Calibri" w:hAnsi="Calibri" w:cs="Calibri"/>
                <w:sz w:val="16"/>
                <w:szCs w:val="16"/>
              </w:rPr>
              <w:t xml:space="preserve"> </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E95E93" w:rsidP="002539DC">
            <w:pPr>
              <w:spacing w:after="0"/>
              <w:jc w:val="center"/>
              <w:rPr>
                <w:rFonts w:ascii="Calibri" w:hAnsi="Calibri" w:cs="Calibri"/>
                <w:sz w:val="16"/>
                <w:szCs w:val="16"/>
              </w:rPr>
            </w:pPr>
            <w:r>
              <w:rPr>
                <w:rFonts w:ascii="Calibri" w:hAnsi="Calibri" w:cs="Calibri"/>
                <w:sz w:val="16"/>
                <w:szCs w:val="16"/>
              </w:rPr>
              <w:t xml:space="preserve"> </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E95E93" w:rsidP="002539DC">
            <w:pPr>
              <w:spacing w:after="0"/>
              <w:jc w:val="center"/>
              <w:rPr>
                <w:rFonts w:ascii="Calibri" w:hAnsi="Calibri" w:cs="Calibri"/>
                <w:sz w:val="16"/>
                <w:szCs w:val="16"/>
              </w:rPr>
            </w:pPr>
            <w:r>
              <w:rPr>
                <w:rFonts w:ascii="Calibri" w:hAnsi="Calibri" w:cs="Calibri"/>
                <w:sz w:val="16"/>
                <w:szCs w:val="16"/>
              </w:rPr>
              <w:t xml:space="preserve"> </w:t>
            </w:r>
          </w:p>
        </w:tc>
        <w:tc>
          <w:tcPr>
            <w:tcW w:w="379" w:type="dxa"/>
            <w:tcBorders>
              <w:top w:val="single" w:sz="4" w:space="0" w:color="auto"/>
              <w:left w:val="single" w:sz="4" w:space="0" w:color="auto"/>
              <w:bottom w:val="single" w:sz="4" w:space="0" w:color="auto"/>
              <w:right w:val="single" w:sz="4" w:space="0" w:color="auto"/>
            </w:tcBorders>
            <w:shd w:val="clear" w:color="auto" w:fill="auto"/>
            <w:vAlign w:val="center"/>
          </w:tcPr>
          <w:p w:rsidR="002539DC" w:rsidRPr="00E95E93" w:rsidRDefault="00E95E93" w:rsidP="002539DC">
            <w:pPr>
              <w:spacing w:after="0"/>
              <w:jc w:val="center"/>
              <w:rPr>
                <w:rFonts w:ascii="Calibri" w:hAnsi="Calibri" w:cs="Calibri"/>
                <w:sz w:val="16"/>
                <w:szCs w:val="16"/>
              </w:rPr>
            </w:pPr>
            <w:r>
              <w:rPr>
                <w:rFonts w:ascii="Calibri" w:hAnsi="Calibri" w:cs="Calibri"/>
                <w:sz w:val="16"/>
                <w:szCs w:val="16"/>
              </w:rPr>
              <w:t xml:space="preserve"> </w:t>
            </w:r>
          </w:p>
        </w:tc>
      </w:tr>
      <w:tr w:rsidR="00B61BF6" w:rsidRPr="00E95E93" w:rsidTr="00166B7B">
        <w:trPr>
          <w:trHeight w:val="315"/>
          <w:jc w:val="center"/>
        </w:trPr>
        <w:tc>
          <w:tcPr>
            <w:tcW w:w="1577"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rsidR="002539DC" w:rsidRPr="00E95E93" w:rsidRDefault="002539DC" w:rsidP="002539DC">
            <w:pPr>
              <w:spacing w:after="0" w:line="240" w:lineRule="auto"/>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Percentage positive</w:t>
            </w:r>
          </w:p>
        </w:tc>
        <w:tc>
          <w:tcPr>
            <w:tcW w:w="541" w:type="dxa"/>
            <w:vMerge/>
            <w:tcBorders>
              <w:left w:val="single" w:sz="8" w:space="0" w:color="auto"/>
              <w:bottom w:val="single" w:sz="4" w:space="0" w:color="auto"/>
              <w:right w:val="single" w:sz="4" w:space="0" w:color="auto"/>
            </w:tcBorders>
            <w:shd w:val="clear" w:color="auto" w:fill="auto"/>
            <w:vAlign w:val="center"/>
            <w:hideMark/>
          </w:tcPr>
          <w:p w:rsidR="002539DC" w:rsidRPr="00E95E93" w:rsidRDefault="002539DC" w:rsidP="002539DC">
            <w:pPr>
              <w:spacing w:after="0" w:line="240" w:lineRule="auto"/>
              <w:jc w:val="center"/>
              <w:rPr>
                <w:rFonts w:ascii="Calibri" w:eastAsia="Times New Roman" w:hAnsi="Calibri" w:cs="Calibri"/>
                <w:sz w:val="16"/>
                <w:szCs w:val="16"/>
                <w:lang w:eastAsia="en-CA"/>
              </w:rPr>
            </w:pPr>
          </w:p>
        </w:tc>
        <w:tc>
          <w:tcPr>
            <w:tcW w:w="4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4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33</w:t>
            </w:r>
          </w:p>
        </w:tc>
        <w:tc>
          <w:tcPr>
            <w:tcW w:w="42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67</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50</w:t>
            </w:r>
          </w:p>
        </w:tc>
        <w:tc>
          <w:tcPr>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67</w:t>
            </w:r>
          </w:p>
        </w:tc>
        <w:tc>
          <w:tcPr>
            <w:tcW w:w="4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33</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50</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77</w:t>
            </w:r>
          </w:p>
        </w:tc>
        <w:tc>
          <w:tcPr>
            <w:tcW w:w="4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69</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67</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33</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62</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80</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2539DC" w:rsidP="002539D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E95E93" w:rsidP="002539DC">
            <w:pPr>
              <w:spacing w:after="0"/>
              <w:jc w:val="center"/>
              <w:rPr>
                <w:rFonts w:ascii="Calibri" w:hAnsi="Calibri" w:cs="Calibri"/>
                <w:sz w:val="16"/>
                <w:szCs w:val="16"/>
              </w:rPr>
            </w:pPr>
            <w:r>
              <w:rPr>
                <w:rFonts w:ascii="Calibri" w:hAnsi="Calibri" w:cs="Calibri"/>
                <w:sz w:val="16"/>
                <w:szCs w:val="16"/>
              </w:rPr>
              <w:t xml:space="preserve"> </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E95E93" w:rsidP="002539DC">
            <w:pPr>
              <w:spacing w:after="0"/>
              <w:jc w:val="center"/>
              <w:rPr>
                <w:rFonts w:ascii="Calibri" w:hAnsi="Calibri" w:cs="Calibri"/>
                <w:sz w:val="16"/>
                <w:szCs w:val="16"/>
              </w:rPr>
            </w:pPr>
            <w:r>
              <w:rPr>
                <w:rFonts w:ascii="Calibri" w:hAnsi="Calibri" w:cs="Calibri"/>
                <w:sz w:val="16"/>
                <w:szCs w:val="16"/>
              </w:rPr>
              <w:t xml:space="preserve"> </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E95E93" w:rsidP="002539DC">
            <w:pPr>
              <w:spacing w:after="0"/>
              <w:jc w:val="center"/>
              <w:rPr>
                <w:rFonts w:ascii="Calibri" w:hAnsi="Calibri" w:cs="Calibri"/>
                <w:sz w:val="16"/>
                <w:szCs w:val="16"/>
              </w:rPr>
            </w:pPr>
            <w:r>
              <w:rPr>
                <w:rFonts w:ascii="Calibri" w:hAnsi="Calibri" w:cs="Calibri"/>
                <w:sz w:val="16"/>
                <w:szCs w:val="16"/>
              </w:rPr>
              <w:t xml:space="preserve"> </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E95E93" w:rsidP="002539DC">
            <w:pPr>
              <w:spacing w:after="0"/>
              <w:jc w:val="center"/>
              <w:rPr>
                <w:rFonts w:ascii="Calibri" w:hAnsi="Calibri" w:cs="Calibri"/>
                <w:sz w:val="16"/>
                <w:szCs w:val="16"/>
              </w:rPr>
            </w:pPr>
            <w:r>
              <w:rPr>
                <w:rFonts w:ascii="Calibri" w:hAnsi="Calibri" w:cs="Calibri"/>
                <w:sz w:val="16"/>
                <w:szCs w:val="16"/>
              </w:rPr>
              <w:t xml:space="preserve"> </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E95E93" w:rsidP="002539DC">
            <w:pPr>
              <w:spacing w:after="0"/>
              <w:jc w:val="center"/>
              <w:rPr>
                <w:rFonts w:ascii="Calibri" w:hAnsi="Calibri" w:cs="Calibri"/>
                <w:sz w:val="16"/>
                <w:szCs w:val="16"/>
              </w:rPr>
            </w:pPr>
            <w:r>
              <w:rPr>
                <w:rFonts w:ascii="Calibri" w:hAnsi="Calibri" w:cs="Calibri"/>
                <w:sz w:val="16"/>
                <w:szCs w:val="16"/>
              </w:rPr>
              <w:t xml:space="preserve"> </w:t>
            </w:r>
          </w:p>
        </w:tc>
        <w:tc>
          <w:tcPr>
            <w:tcW w:w="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39DC" w:rsidRPr="00E95E93" w:rsidRDefault="00E95E93" w:rsidP="002539DC">
            <w:pPr>
              <w:spacing w:after="0"/>
              <w:jc w:val="center"/>
              <w:rPr>
                <w:rFonts w:ascii="Calibri" w:hAnsi="Calibri" w:cs="Calibri"/>
                <w:sz w:val="16"/>
                <w:szCs w:val="16"/>
              </w:rPr>
            </w:pPr>
            <w:r>
              <w:rPr>
                <w:rFonts w:ascii="Calibri" w:hAnsi="Calibri" w:cs="Calibri"/>
                <w:sz w:val="16"/>
                <w:szCs w:val="16"/>
              </w:rPr>
              <w:t xml:space="preserve"> </w:t>
            </w:r>
          </w:p>
        </w:tc>
      </w:tr>
      <w:tr w:rsidR="00B61BF6" w:rsidRPr="00E95E93" w:rsidTr="00817B2A">
        <w:trPr>
          <w:trHeight w:val="315"/>
          <w:jc w:val="center"/>
        </w:trPr>
        <w:tc>
          <w:tcPr>
            <w:tcW w:w="1577" w:type="dxa"/>
            <w:tcBorders>
              <w:top w:val="nil"/>
              <w:left w:val="single" w:sz="8" w:space="0" w:color="auto"/>
              <w:bottom w:val="single" w:sz="4" w:space="0" w:color="auto"/>
              <w:right w:val="nil"/>
            </w:tcBorders>
            <w:shd w:val="clear" w:color="auto" w:fill="D9D9D9" w:themeFill="background1" w:themeFillShade="D9"/>
            <w:noWrap/>
            <w:vAlign w:val="center"/>
            <w:hideMark/>
          </w:tcPr>
          <w:p w:rsidR="00620515" w:rsidRPr="00E95E93" w:rsidRDefault="00620515" w:rsidP="0069573C">
            <w:pPr>
              <w:spacing w:after="0" w:line="240" w:lineRule="auto"/>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Percentage positive</w:t>
            </w:r>
          </w:p>
        </w:tc>
        <w:tc>
          <w:tcPr>
            <w:tcW w:w="541" w:type="dxa"/>
            <w:tcBorders>
              <w:top w:val="single" w:sz="4" w:space="0" w:color="auto"/>
              <w:left w:val="single" w:sz="8" w:space="0" w:color="auto"/>
              <w:bottom w:val="single" w:sz="8" w:space="0" w:color="auto"/>
              <w:right w:val="single" w:sz="4" w:space="0" w:color="auto"/>
            </w:tcBorders>
            <w:shd w:val="clear" w:color="auto" w:fill="D9D9D9" w:themeFill="background1" w:themeFillShade="D9"/>
            <w:vAlign w:val="center"/>
            <w:hideMark/>
          </w:tcPr>
          <w:p w:rsidR="00620515" w:rsidRPr="00E95E93" w:rsidRDefault="00620515" w:rsidP="0069573C">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2011</w:t>
            </w:r>
          </w:p>
        </w:tc>
        <w:tc>
          <w:tcPr>
            <w:tcW w:w="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33</w:t>
            </w:r>
          </w:p>
        </w:tc>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25</w:t>
            </w:r>
          </w:p>
        </w:tc>
        <w:tc>
          <w:tcPr>
            <w:tcW w:w="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100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63</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42</w:t>
            </w:r>
          </w:p>
        </w:tc>
        <w:tc>
          <w:tcPr>
            <w:tcW w:w="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100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r>
      <w:tr w:rsidR="00B61BF6" w:rsidRPr="00E95E93" w:rsidTr="00817B2A">
        <w:trPr>
          <w:trHeight w:val="315"/>
          <w:jc w:val="center"/>
        </w:trPr>
        <w:tc>
          <w:tcPr>
            <w:tcW w:w="1577" w:type="dxa"/>
            <w:tcBorders>
              <w:top w:val="single" w:sz="4" w:space="0" w:color="auto"/>
              <w:left w:val="single" w:sz="8" w:space="0" w:color="auto"/>
              <w:bottom w:val="single" w:sz="8" w:space="0" w:color="auto"/>
              <w:right w:val="nil"/>
            </w:tcBorders>
            <w:shd w:val="clear" w:color="auto" w:fill="D9D9D9" w:themeFill="background1" w:themeFillShade="D9"/>
            <w:noWrap/>
            <w:vAlign w:val="center"/>
            <w:hideMark/>
          </w:tcPr>
          <w:p w:rsidR="00620515" w:rsidRPr="00E95E93" w:rsidRDefault="00620515" w:rsidP="0069573C">
            <w:pPr>
              <w:spacing w:after="0" w:line="240" w:lineRule="auto"/>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Percentage positive</w:t>
            </w:r>
          </w:p>
        </w:tc>
        <w:tc>
          <w:tcPr>
            <w:tcW w:w="541" w:type="dxa"/>
            <w:tcBorders>
              <w:top w:val="nil"/>
              <w:left w:val="single" w:sz="8" w:space="0" w:color="auto"/>
              <w:bottom w:val="single" w:sz="8" w:space="0" w:color="auto"/>
              <w:right w:val="single" w:sz="4" w:space="0" w:color="auto"/>
            </w:tcBorders>
            <w:shd w:val="clear" w:color="auto" w:fill="D9D9D9" w:themeFill="background1" w:themeFillShade="D9"/>
            <w:vAlign w:val="center"/>
            <w:hideMark/>
          </w:tcPr>
          <w:p w:rsidR="00620515" w:rsidRPr="00E95E93" w:rsidRDefault="00620515" w:rsidP="0069573C">
            <w:pPr>
              <w:spacing w:after="0" w:line="240" w:lineRule="auto"/>
              <w:jc w:val="center"/>
              <w:rPr>
                <w:rFonts w:ascii="Calibri" w:eastAsia="Times New Roman" w:hAnsi="Calibri" w:cs="Calibri"/>
                <w:sz w:val="16"/>
                <w:szCs w:val="16"/>
                <w:lang w:eastAsia="en-CA"/>
              </w:rPr>
            </w:pPr>
            <w:r w:rsidRPr="00E95E93">
              <w:rPr>
                <w:rFonts w:ascii="Calibri" w:eastAsia="Times New Roman" w:hAnsi="Calibri" w:cs="Calibri"/>
                <w:sz w:val="16"/>
                <w:szCs w:val="16"/>
                <w:lang w:eastAsia="en-CA"/>
              </w:rPr>
              <w:t>2003</w:t>
            </w:r>
          </w:p>
        </w:tc>
        <w:tc>
          <w:tcPr>
            <w:tcW w:w="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1</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1</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1</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1</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1</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1</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3</w:t>
            </w:r>
          </w:p>
        </w:tc>
        <w:tc>
          <w:tcPr>
            <w:tcW w:w="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3</w:t>
            </w:r>
          </w:p>
        </w:tc>
        <w:tc>
          <w:tcPr>
            <w:tcW w:w="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6</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7</w:t>
            </w:r>
          </w:p>
        </w:tc>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10</w:t>
            </w:r>
          </w:p>
        </w:tc>
        <w:tc>
          <w:tcPr>
            <w:tcW w:w="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17</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21</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38</w:t>
            </w:r>
          </w:p>
        </w:tc>
        <w:tc>
          <w:tcPr>
            <w:tcW w:w="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35</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43</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46</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45</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45</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58</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29</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20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15</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8</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c>
          <w:tcPr>
            <w:tcW w:w="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0515" w:rsidRPr="00E95E93" w:rsidRDefault="00620515" w:rsidP="0069573C">
            <w:pPr>
              <w:spacing w:after="0"/>
              <w:jc w:val="center"/>
              <w:rPr>
                <w:rFonts w:ascii="Calibri" w:hAnsi="Calibri" w:cs="Calibri"/>
                <w:sz w:val="16"/>
                <w:szCs w:val="16"/>
              </w:rPr>
            </w:pPr>
            <w:r w:rsidRPr="00E95E93">
              <w:rPr>
                <w:rFonts w:ascii="Calibri" w:hAnsi="Calibri" w:cs="Calibri"/>
                <w:sz w:val="16"/>
                <w:szCs w:val="16"/>
              </w:rPr>
              <w:t>0</w:t>
            </w:r>
          </w:p>
        </w:tc>
      </w:tr>
    </w:tbl>
    <w:p w:rsidR="00AD6D4C" w:rsidRPr="00E95E93" w:rsidRDefault="00AD6D4C" w:rsidP="00AD6D4C">
      <w:pPr>
        <w:spacing w:after="0" w:line="240" w:lineRule="auto"/>
        <w:rPr>
          <w:b/>
          <w:bCs/>
          <w:sz w:val="16"/>
          <w:szCs w:val="16"/>
        </w:rPr>
      </w:pPr>
    </w:p>
    <w:p w:rsidR="00AD6D4C" w:rsidRPr="00E95E93" w:rsidRDefault="00AD6D4C" w:rsidP="00AD6D4C">
      <w:pPr>
        <w:spacing w:after="0" w:line="240" w:lineRule="auto"/>
        <w:rPr>
          <w:b/>
          <w:bCs/>
          <w:sz w:val="16"/>
          <w:szCs w:val="16"/>
        </w:rPr>
      </w:pPr>
    </w:p>
    <w:p w:rsidR="00AD6D4C" w:rsidRPr="00E95E93" w:rsidRDefault="00AD6D4C" w:rsidP="00AD6D4C">
      <w:pPr>
        <w:rPr>
          <w:b/>
          <w:bCs/>
          <w:sz w:val="16"/>
          <w:szCs w:val="16"/>
        </w:rPr>
      </w:pPr>
    </w:p>
    <w:sectPr w:rsidR="00AD6D4C" w:rsidRPr="00E95E93" w:rsidSect="000E0DD4">
      <w:headerReference w:type="default" r:id="rId21"/>
      <w:footerReference w:type="default" r:id="rId22"/>
      <w:pgSz w:w="15840" w:h="12240" w:orient="landscape"/>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C49" w:rsidRDefault="00B87C49">
      <w:pPr>
        <w:spacing w:after="0" w:line="240" w:lineRule="auto"/>
      </w:pPr>
      <w:r>
        <w:separator/>
      </w:r>
    </w:p>
  </w:endnote>
  <w:endnote w:type="continuationSeparator" w:id="0">
    <w:p w:rsidR="00B87C49" w:rsidRDefault="00B87C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E93" w:rsidRDefault="00E95E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579942"/>
      <w:docPartObj>
        <w:docPartGallery w:val="Page Numbers (Bottom of Page)"/>
        <w:docPartUnique/>
      </w:docPartObj>
    </w:sdtPr>
    <w:sdtEndPr>
      <w:rPr>
        <w:noProof/>
      </w:rPr>
    </w:sdtEndPr>
    <w:sdtContent>
      <w:p w:rsidR="00B87C49" w:rsidRDefault="00B87C49" w:rsidP="00E70F7E">
        <w:pPr>
          <w:pStyle w:val="Footer"/>
          <w:jc w:val="right"/>
        </w:pPr>
        <w:r>
          <w:t xml:space="preserve">Page </w:t>
        </w:r>
        <w:r w:rsidR="00BA3156">
          <w:fldChar w:fldCharType="begin"/>
        </w:r>
        <w:r>
          <w:instrText xml:space="preserve"> PAGE   \* MERGEFORMAT </w:instrText>
        </w:r>
        <w:r w:rsidR="00BA3156">
          <w:fldChar w:fldCharType="separate"/>
        </w:r>
        <w:r w:rsidR="00E95E93">
          <w:rPr>
            <w:noProof/>
          </w:rPr>
          <w:t>1</w:t>
        </w:r>
        <w:r w:rsidR="00BA3156">
          <w:rPr>
            <w:noProof/>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E93" w:rsidRDefault="00E95E9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4338594"/>
      <w:docPartObj>
        <w:docPartGallery w:val="Page Numbers (Bottom of Page)"/>
        <w:docPartUnique/>
      </w:docPartObj>
    </w:sdtPr>
    <w:sdtEndPr>
      <w:rPr>
        <w:noProof/>
      </w:rPr>
    </w:sdtEndPr>
    <w:sdtContent>
      <w:p w:rsidR="00B87C49" w:rsidRDefault="00B87C49" w:rsidP="00E70F7E">
        <w:pPr>
          <w:pStyle w:val="Footer"/>
          <w:jc w:val="right"/>
        </w:pPr>
        <w:r>
          <w:t xml:space="preserve">Page </w:t>
        </w:r>
        <w:r w:rsidR="00BA3156">
          <w:fldChar w:fldCharType="begin"/>
        </w:r>
        <w:r>
          <w:instrText xml:space="preserve"> PAGE   \* MERGEFORMAT </w:instrText>
        </w:r>
        <w:r w:rsidR="00BA3156">
          <w:fldChar w:fldCharType="separate"/>
        </w:r>
        <w:r w:rsidR="00E95E93">
          <w:rPr>
            <w:noProof/>
          </w:rPr>
          <w:t>8</w:t>
        </w:r>
        <w:r w:rsidR="00BA3156">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C49" w:rsidRDefault="00B87C49">
      <w:pPr>
        <w:spacing w:after="0" w:line="240" w:lineRule="auto"/>
      </w:pPr>
      <w:r>
        <w:separator/>
      </w:r>
    </w:p>
  </w:footnote>
  <w:footnote w:type="continuationSeparator" w:id="0">
    <w:p w:rsidR="00B87C49" w:rsidRDefault="00B87C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E93" w:rsidRDefault="00E95E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C49" w:rsidRDefault="00B87C49" w:rsidP="007A084A">
    <w:pPr>
      <w:pStyle w:val="Header"/>
      <w:ind w:left="-567"/>
      <w:jc w:val="center"/>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E93" w:rsidRDefault="00E95E9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C49" w:rsidRDefault="00B87C49" w:rsidP="007A084A">
    <w:pPr>
      <w:pStyle w:val="Header"/>
      <w:ind w:left="-567"/>
      <w:jc w:val="center"/>
    </w:pP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cumentProtection w:edit="readOnly" w:enforcement="0"/>
  <w:defaultTabStop w:val="720"/>
  <w:characterSpacingControl w:val="doNotCompress"/>
  <w:hdrShapeDefaults>
    <o:shapedefaults v:ext="edit" spidmax="114689"/>
  </w:hdrShapeDefaults>
  <w:footnotePr>
    <w:footnote w:id="-1"/>
    <w:footnote w:id="0"/>
  </w:footnotePr>
  <w:endnotePr>
    <w:endnote w:id="-1"/>
    <w:endnote w:id="0"/>
  </w:endnotePr>
  <w:compat/>
  <w:rsids>
    <w:rsidRoot w:val="0048394C"/>
    <w:rsid w:val="00001FC9"/>
    <w:rsid w:val="00005CFE"/>
    <w:rsid w:val="00007676"/>
    <w:rsid w:val="00013BEB"/>
    <w:rsid w:val="000242D4"/>
    <w:rsid w:val="00026597"/>
    <w:rsid w:val="00032AC0"/>
    <w:rsid w:val="0004547C"/>
    <w:rsid w:val="00054AB1"/>
    <w:rsid w:val="000649A8"/>
    <w:rsid w:val="000672BB"/>
    <w:rsid w:val="00071ABE"/>
    <w:rsid w:val="00077592"/>
    <w:rsid w:val="000775A9"/>
    <w:rsid w:val="00080068"/>
    <w:rsid w:val="00085537"/>
    <w:rsid w:val="00092AA0"/>
    <w:rsid w:val="00096B52"/>
    <w:rsid w:val="000A23F3"/>
    <w:rsid w:val="000B1D5C"/>
    <w:rsid w:val="000B4A38"/>
    <w:rsid w:val="000B633C"/>
    <w:rsid w:val="000B7D70"/>
    <w:rsid w:val="000C7045"/>
    <w:rsid w:val="000C78EE"/>
    <w:rsid w:val="000C7E72"/>
    <w:rsid w:val="000E0085"/>
    <w:rsid w:val="000E0DD4"/>
    <w:rsid w:val="000E5E6D"/>
    <w:rsid w:val="000E7D63"/>
    <w:rsid w:val="000F10A4"/>
    <w:rsid w:val="000F2AD8"/>
    <w:rsid w:val="000F5C19"/>
    <w:rsid w:val="000F72F7"/>
    <w:rsid w:val="000F79B5"/>
    <w:rsid w:val="00101DA0"/>
    <w:rsid w:val="0010746F"/>
    <w:rsid w:val="00107594"/>
    <w:rsid w:val="00107E5D"/>
    <w:rsid w:val="00110C52"/>
    <w:rsid w:val="00115617"/>
    <w:rsid w:val="0012445E"/>
    <w:rsid w:val="00127A28"/>
    <w:rsid w:val="00136439"/>
    <w:rsid w:val="001366B7"/>
    <w:rsid w:val="001375A4"/>
    <w:rsid w:val="00143753"/>
    <w:rsid w:val="00152876"/>
    <w:rsid w:val="00154F8B"/>
    <w:rsid w:val="00156753"/>
    <w:rsid w:val="00166B7B"/>
    <w:rsid w:val="001716C9"/>
    <w:rsid w:val="00182C3B"/>
    <w:rsid w:val="00184FA2"/>
    <w:rsid w:val="00192539"/>
    <w:rsid w:val="001952D9"/>
    <w:rsid w:val="001A14C0"/>
    <w:rsid w:val="001C0A54"/>
    <w:rsid w:val="001C381D"/>
    <w:rsid w:val="001C671D"/>
    <w:rsid w:val="001D11B2"/>
    <w:rsid w:val="001D196F"/>
    <w:rsid w:val="001F5A03"/>
    <w:rsid w:val="00207B0B"/>
    <w:rsid w:val="00207E64"/>
    <w:rsid w:val="0021049A"/>
    <w:rsid w:val="002107C6"/>
    <w:rsid w:val="002217F4"/>
    <w:rsid w:val="00221C65"/>
    <w:rsid w:val="00227CD2"/>
    <w:rsid w:val="002346BF"/>
    <w:rsid w:val="00237220"/>
    <w:rsid w:val="00244450"/>
    <w:rsid w:val="00244860"/>
    <w:rsid w:val="00252D22"/>
    <w:rsid w:val="002539DC"/>
    <w:rsid w:val="00254756"/>
    <w:rsid w:val="0026112A"/>
    <w:rsid w:val="00263E30"/>
    <w:rsid w:val="002707E8"/>
    <w:rsid w:val="00270A3D"/>
    <w:rsid w:val="002712CF"/>
    <w:rsid w:val="002732AC"/>
    <w:rsid w:val="002810D6"/>
    <w:rsid w:val="00281FD4"/>
    <w:rsid w:val="002838CE"/>
    <w:rsid w:val="002A40A2"/>
    <w:rsid w:val="002A5A82"/>
    <w:rsid w:val="002A6333"/>
    <w:rsid w:val="002C1A78"/>
    <w:rsid w:val="002C1C5A"/>
    <w:rsid w:val="002C54E5"/>
    <w:rsid w:val="002C5A0C"/>
    <w:rsid w:val="002D172A"/>
    <w:rsid w:val="002E1300"/>
    <w:rsid w:val="002E7FBC"/>
    <w:rsid w:val="00302DE6"/>
    <w:rsid w:val="00307039"/>
    <w:rsid w:val="003162CE"/>
    <w:rsid w:val="00322C74"/>
    <w:rsid w:val="00322F87"/>
    <w:rsid w:val="00341A4B"/>
    <w:rsid w:val="003620C5"/>
    <w:rsid w:val="00364B47"/>
    <w:rsid w:val="00374DFF"/>
    <w:rsid w:val="00380AB5"/>
    <w:rsid w:val="00382363"/>
    <w:rsid w:val="003901AD"/>
    <w:rsid w:val="00390B8D"/>
    <w:rsid w:val="00392D13"/>
    <w:rsid w:val="00392E0D"/>
    <w:rsid w:val="003A1F33"/>
    <w:rsid w:val="003A565F"/>
    <w:rsid w:val="003A5F17"/>
    <w:rsid w:val="003A7957"/>
    <w:rsid w:val="003B0790"/>
    <w:rsid w:val="003B2461"/>
    <w:rsid w:val="003C0678"/>
    <w:rsid w:val="003C248F"/>
    <w:rsid w:val="003C2591"/>
    <w:rsid w:val="003C6191"/>
    <w:rsid w:val="003C7D4A"/>
    <w:rsid w:val="003D4AC0"/>
    <w:rsid w:val="003D54C8"/>
    <w:rsid w:val="003D55F6"/>
    <w:rsid w:val="003D6ED5"/>
    <w:rsid w:val="003E0BA9"/>
    <w:rsid w:val="003E1211"/>
    <w:rsid w:val="003E513C"/>
    <w:rsid w:val="003E62BF"/>
    <w:rsid w:val="003F1906"/>
    <w:rsid w:val="003F4695"/>
    <w:rsid w:val="003F61FD"/>
    <w:rsid w:val="00402CA6"/>
    <w:rsid w:val="00406850"/>
    <w:rsid w:val="00406E43"/>
    <w:rsid w:val="0041379F"/>
    <w:rsid w:val="00414040"/>
    <w:rsid w:val="00430D7C"/>
    <w:rsid w:val="004315FC"/>
    <w:rsid w:val="00436F66"/>
    <w:rsid w:val="004415CF"/>
    <w:rsid w:val="00442051"/>
    <w:rsid w:val="0044501A"/>
    <w:rsid w:val="00450891"/>
    <w:rsid w:val="00454D83"/>
    <w:rsid w:val="004747C1"/>
    <w:rsid w:val="004828A5"/>
    <w:rsid w:val="00482B25"/>
    <w:rsid w:val="0048394C"/>
    <w:rsid w:val="00484DA7"/>
    <w:rsid w:val="00485655"/>
    <w:rsid w:val="00492789"/>
    <w:rsid w:val="004A2F65"/>
    <w:rsid w:val="004A4036"/>
    <w:rsid w:val="004A721E"/>
    <w:rsid w:val="004B098D"/>
    <w:rsid w:val="004B6CD6"/>
    <w:rsid w:val="004B786A"/>
    <w:rsid w:val="004D75C1"/>
    <w:rsid w:val="004E3106"/>
    <w:rsid w:val="004E32FB"/>
    <w:rsid w:val="004E6F1B"/>
    <w:rsid w:val="004F290F"/>
    <w:rsid w:val="004F6CD7"/>
    <w:rsid w:val="005011A5"/>
    <w:rsid w:val="00502318"/>
    <w:rsid w:val="00511E72"/>
    <w:rsid w:val="00532099"/>
    <w:rsid w:val="005404AA"/>
    <w:rsid w:val="005516AA"/>
    <w:rsid w:val="00551800"/>
    <w:rsid w:val="005523F0"/>
    <w:rsid w:val="00560E90"/>
    <w:rsid w:val="0056110A"/>
    <w:rsid w:val="00561179"/>
    <w:rsid w:val="005663DA"/>
    <w:rsid w:val="005738D8"/>
    <w:rsid w:val="005745EE"/>
    <w:rsid w:val="00577C16"/>
    <w:rsid w:val="005812A1"/>
    <w:rsid w:val="0058387C"/>
    <w:rsid w:val="00584A21"/>
    <w:rsid w:val="00590923"/>
    <w:rsid w:val="005A6FA8"/>
    <w:rsid w:val="005B1666"/>
    <w:rsid w:val="005B2248"/>
    <w:rsid w:val="005C782D"/>
    <w:rsid w:val="005D0DB3"/>
    <w:rsid w:val="005D7D85"/>
    <w:rsid w:val="005E4126"/>
    <w:rsid w:val="005E6F6F"/>
    <w:rsid w:val="005F0211"/>
    <w:rsid w:val="005F0448"/>
    <w:rsid w:val="005F1E43"/>
    <w:rsid w:val="00602DBD"/>
    <w:rsid w:val="006050DD"/>
    <w:rsid w:val="006066A0"/>
    <w:rsid w:val="00620515"/>
    <w:rsid w:val="00623A43"/>
    <w:rsid w:val="006256DE"/>
    <w:rsid w:val="00631E2E"/>
    <w:rsid w:val="00643226"/>
    <w:rsid w:val="00650388"/>
    <w:rsid w:val="0065446A"/>
    <w:rsid w:val="00656D28"/>
    <w:rsid w:val="00663E80"/>
    <w:rsid w:val="0067447F"/>
    <w:rsid w:val="006765E5"/>
    <w:rsid w:val="00686FF3"/>
    <w:rsid w:val="0069573C"/>
    <w:rsid w:val="006A2DC8"/>
    <w:rsid w:val="006B7226"/>
    <w:rsid w:val="006C2A9A"/>
    <w:rsid w:val="006D6CC4"/>
    <w:rsid w:val="006E0C22"/>
    <w:rsid w:val="006E0F7C"/>
    <w:rsid w:val="006E6AC6"/>
    <w:rsid w:val="006F05F1"/>
    <w:rsid w:val="006F11E7"/>
    <w:rsid w:val="006F2110"/>
    <w:rsid w:val="006F259F"/>
    <w:rsid w:val="006F4DFF"/>
    <w:rsid w:val="006F5877"/>
    <w:rsid w:val="007064AF"/>
    <w:rsid w:val="00710C76"/>
    <w:rsid w:val="00713E9D"/>
    <w:rsid w:val="00716543"/>
    <w:rsid w:val="00717BE6"/>
    <w:rsid w:val="007233BB"/>
    <w:rsid w:val="00726FD0"/>
    <w:rsid w:val="0073406B"/>
    <w:rsid w:val="00740733"/>
    <w:rsid w:val="00741BE9"/>
    <w:rsid w:val="00764660"/>
    <w:rsid w:val="00772FDF"/>
    <w:rsid w:val="00777B8E"/>
    <w:rsid w:val="00780B65"/>
    <w:rsid w:val="007935B0"/>
    <w:rsid w:val="0079777F"/>
    <w:rsid w:val="007A084A"/>
    <w:rsid w:val="007B25F4"/>
    <w:rsid w:val="007C3A48"/>
    <w:rsid w:val="007D2C01"/>
    <w:rsid w:val="007D5C65"/>
    <w:rsid w:val="007E48DB"/>
    <w:rsid w:val="007E666F"/>
    <w:rsid w:val="007E79E4"/>
    <w:rsid w:val="007F2159"/>
    <w:rsid w:val="00804D41"/>
    <w:rsid w:val="00806D7F"/>
    <w:rsid w:val="00814336"/>
    <w:rsid w:val="00817B2A"/>
    <w:rsid w:val="008360BA"/>
    <w:rsid w:val="00847274"/>
    <w:rsid w:val="00854CC0"/>
    <w:rsid w:val="00865DD4"/>
    <w:rsid w:val="00870A7F"/>
    <w:rsid w:val="0089439A"/>
    <w:rsid w:val="008A2BF4"/>
    <w:rsid w:val="008A2EB4"/>
    <w:rsid w:val="008A6188"/>
    <w:rsid w:val="008D130C"/>
    <w:rsid w:val="008E7D09"/>
    <w:rsid w:val="008F0ACE"/>
    <w:rsid w:val="00900649"/>
    <w:rsid w:val="00904BEF"/>
    <w:rsid w:val="009075CA"/>
    <w:rsid w:val="00910F82"/>
    <w:rsid w:val="00913021"/>
    <w:rsid w:val="009154FF"/>
    <w:rsid w:val="0091764D"/>
    <w:rsid w:val="00917E63"/>
    <w:rsid w:val="00920336"/>
    <w:rsid w:val="00923744"/>
    <w:rsid w:val="00934DEB"/>
    <w:rsid w:val="00937E53"/>
    <w:rsid w:val="00942546"/>
    <w:rsid w:val="009462CC"/>
    <w:rsid w:val="00951F8F"/>
    <w:rsid w:val="0095205C"/>
    <w:rsid w:val="009554F2"/>
    <w:rsid w:val="009602F5"/>
    <w:rsid w:val="00963F92"/>
    <w:rsid w:val="00966BCC"/>
    <w:rsid w:val="00970C9C"/>
    <w:rsid w:val="00973F95"/>
    <w:rsid w:val="009759FD"/>
    <w:rsid w:val="009763B8"/>
    <w:rsid w:val="009871E4"/>
    <w:rsid w:val="00991597"/>
    <w:rsid w:val="00991C02"/>
    <w:rsid w:val="009921C8"/>
    <w:rsid w:val="00994390"/>
    <w:rsid w:val="009A18F1"/>
    <w:rsid w:val="009A3C0C"/>
    <w:rsid w:val="009A4ACC"/>
    <w:rsid w:val="009C172D"/>
    <w:rsid w:val="009C47A7"/>
    <w:rsid w:val="009D1362"/>
    <w:rsid w:val="009D3DB9"/>
    <w:rsid w:val="009E04AC"/>
    <w:rsid w:val="009E0EA2"/>
    <w:rsid w:val="009F1C27"/>
    <w:rsid w:val="009F46E0"/>
    <w:rsid w:val="00A02566"/>
    <w:rsid w:val="00A039FF"/>
    <w:rsid w:val="00A04A10"/>
    <w:rsid w:val="00A05542"/>
    <w:rsid w:val="00A15FA4"/>
    <w:rsid w:val="00A1711E"/>
    <w:rsid w:val="00A178F7"/>
    <w:rsid w:val="00A31FFF"/>
    <w:rsid w:val="00A37EB9"/>
    <w:rsid w:val="00A43AFB"/>
    <w:rsid w:val="00A5708E"/>
    <w:rsid w:val="00A603AF"/>
    <w:rsid w:val="00A615F3"/>
    <w:rsid w:val="00A62478"/>
    <w:rsid w:val="00A65D42"/>
    <w:rsid w:val="00A71568"/>
    <w:rsid w:val="00A71DDD"/>
    <w:rsid w:val="00A71F57"/>
    <w:rsid w:val="00A77353"/>
    <w:rsid w:val="00A77362"/>
    <w:rsid w:val="00A81C37"/>
    <w:rsid w:val="00A840DB"/>
    <w:rsid w:val="00AA06F5"/>
    <w:rsid w:val="00AB49DB"/>
    <w:rsid w:val="00AC7282"/>
    <w:rsid w:val="00AD6D4C"/>
    <w:rsid w:val="00AE2BB3"/>
    <w:rsid w:val="00AF094D"/>
    <w:rsid w:val="00AF0ABC"/>
    <w:rsid w:val="00AF10A3"/>
    <w:rsid w:val="00AF5686"/>
    <w:rsid w:val="00AF7D3A"/>
    <w:rsid w:val="00B00BA1"/>
    <w:rsid w:val="00B00BC4"/>
    <w:rsid w:val="00B0199B"/>
    <w:rsid w:val="00B17B61"/>
    <w:rsid w:val="00B37DA0"/>
    <w:rsid w:val="00B4723A"/>
    <w:rsid w:val="00B50514"/>
    <w:rsid w:val="00B50B05"/>
    <w:rsid w:val="00B53DDB"/>
    <w:rsid w:val="00B55693"/>
    <w:rsid w:val="00B61BF6"/>
    <w:rsid w:val="00B63DEA"/>
    <w:rsid w:val="00B64479"/>
    <w:rsid w:val="00B72F4F"/>
    <w:rsid w:val="00B7323C"/>
    <w:rsid w:val="00B747CF"/>
    <w:rsid w:val="00B77BA1"/>
    <w:rsid w:val="00B839D2"/>
    <w:rsid w:val="00B87C49"/>
    <w:rsid w:val="00B936D6"/>
    <w:rsid w:val="00B94DD2"/>
    <w:rsid w:val="00BA3156"/>
    <w:rsid w:val="00BA6613"/>
    <w:rsid w:val="00BB16DF"/>
    <w:rsid w:val="00BB6C3E"/>
    <w:rsid w:val="00BD2C69"/>
    <w:rsid w:val="00BE0D1A"/>
    <w:rsid w:val="00BE1531"/>
    <w:rsid w:val="00BE25FF"/>
    <w:rsid w:val="00C02C46"/>
    <w:rsid w:val="00C05AE8"/>
    <w:rsid w:val="00C067A0"/>
    <w:rsid w:val="00C15D59"/>
    <w:rsid w:val="00C21FDC"/>
    <w:rsid w:val="00C26524"/>
    <w:rsid w:val="00C3247B"/>
    <w:rsid w:val="00C339F5"/>
    <w:rsid w:val="00C4606F"/>
    <w:rsid w:val="00C47CC4"/>
    <w:rsid w:val="00C505D4"/>
    <w:rsid w:val="00C524EB"/>
    <w:rsid w:val="00C52BBA"/>
    <w:rsid w:val="00C53E96"/>
    <w:rsid w:val="00C608B9"/>
    <w:rsid w:val="00C77278"/>
    <w:rsid w:val="00C77C3C"/>
    <w:rsid w:val="00C90AD4"/>
    <w:rsid w:val="00CA03F0"/>
    <w:rsid w:val="00CC091C"/>
    <w:rsid w:val="00CC388D"/>
    <w:rsid w:val="00CC73D7"/>
    <w:rsid w:val="00CC7B79"/>
    <w:rsid w:val="00CE5C17"/>
    <w:rsid w:val="00CE7332"/>
    <w:rsid w:val="00CF2A9C"/>
    <w:rsid w:val="00CF2ABD"/>
    <w:rsid w:val="00CF45C1"/>
    <w:rsid w:val="00CF4DFB"/>
    <w:rsid w:val="00CF5B5D"/>
    <w:rsid w:val="00CF7EFA"/>
    <w:rsid w:val="00D0409A"/>
    <w:rsid w:val="00D0644A"/>
    <w:rsid w:val="00D24D27"/>
    <w:rsid w:val="00D3670A"/>
    <w:rsid w:val="00D41CD4"/>
    <w:rsid w:val="00D420D4"/>
    <w:rsid w:val="00D4569F"/>
    <w:rsid w:val="00D46615"/>
    <w:rsid w:val="00D57F66"/>
    <w:rsid w:val="00D73FED"/>
    <w:rsid w:val="00D749F0"/>
    <w:rsid w:val="00D74BCD"/>
    <w:rsid w:val="00D81A33"/>
    <w:rsid w:val="00D8304D"/>
    <w:rsid w:val="00D85394"/>
    <w:rsid w:val="00D90B18"/>
    <w:rsid w:val="00D97440"/>
    <w:rsid w:val="00DA354B"/>
    <w:rsid w:val="00DA5C76"/>
    <w:rsid w:val="00DA7D34"/>
    <w:rsid w:val="00DB5182"/>
    <w:rsid w:val="00DB5E7C"/>
    <w:rsid w:val="00DC0861"/>
    <w:rsid w:val="00DC710F"/>
    <w:rsid w:val="00DD0C1B"/>
    <w:rsid w:val="00DD11A3"/>
    <w:rsid w:val="00DE06B1"/>
    <w:rsid w:val="00DE675B"/>
    <w:rsid w:val="00E10AD9"/>
    <w:rsid w:val="00E12985"/>
    <w:rsid w:val="00E33C18"/>
    <w:rsid w:val="00E37316"/>
    <w:rsid w:val="00E37DF4"/>
    <w:rsid w:val="00E50E57"/>
    <w:rsid w:val="00E62A2A"/>
    <w:rsid w:val="00E62FE9"/>
    <w:rsid w:val="00E70F7E"/>
    <w:rsid w:val="00E7179B"/>
    <w:rsid w:val="00E942A5"/>
    <w:rsid w:val="00E95D50"/>
    <w:rsid w:val="00E95E93"/>
    <w:rsid w:val="00EA1282"/>
    <w:rsid w:val="00EA130D"/>
    <w:rsid w:val="00EA1CFA"/>
    <w:rsid w:val="00EA2815"/>
    <w:rsid w:val="00EA3586"/>
    <w:rsid w:val="00EA69AE"/>
    <w:rsid w:val="00EB1651"/>
    <w:rsid w:val="00EB2275"/>
    <w:rsid w:val="00EB47DC"/>
    <w:rsid w:val="00EC5642"/>
    <w:rsid w:val="00ED1D96"/>
    <w:rsid w:val="00ED5DEF"/>
    <w:rsid w:val="00EE107C"/>
    <w:rsid w:val="00EE2D4B"/>
    <w:rsid w:val="00EE35AB"/>
    <w:rsid w:val="00EE4FBC"/>
    <w:rsid w:val="00EE5D12"/>
    <w:rsid w:val="00EE6FFC"/>
    <w:rsid w:val="00EF0C6D"/>
    <w:rsid w:val="00EF36B9"/>
    <w:rsid w:val="00EF65C0"/>
    <w:rsid w:val="00EF7954"/>
    <w:rsid w:val="00F06202"/>
    <w:rsid w:val="00F06B65"/>
    <w:rsid w:val="00F149AD"/>
    <w:rsid w:val="00F264D8"/>
    <w:rsid w:val="00F26AFD"/>
    <w:rsid w:val="00F325B1"/>
    <w:rsid w:val="00F3440C"/>
    <w:rsid w:val="00F36D90"/>
    <w:rsid w:val="00F43F47"/>
    <w:rsid w:val="00F52621"/>
    <w:rsid w:val="00F53DA5"/>
    <w:rsid w:val="00F54C6F"/>
    <w:rsid w:val="00F71EC6"/>
    <w:rsid w:val="00F75377"/>
    <w:rsid w:val="00F82FA8"/>
    <w:rsid w:val="00F84F22"/>
    <w:rsid w:val="00F87595"/>
    <w:rsid w:val="00F87640"/>
    <w:rsid w:val="00F94FA3"/>
    <w:rsid w:val="00F97AB9"/>
    <w:rsid w:val="00FA43E9"/>
    <w:rsid w:val="00FB0534"/>
    <w:rsid w:val="00FC2535"/>
    <w:rsid w:val="00FD4A0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46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94C"/>
  </w:style>
  <w:style w:type="paragraph" w:styleId="Heading1">
    <w:name w:val="heading 1"/>
    <w:basedOn w:val="Normal"/>
    <w:next w:val="Normal"/>
    <w:link w:val="Heading1Char"/>
    <w:uiPriority w:val="9"/>
    <w:qFormat/>
    <w:rsid w:val="00AF0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3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94C"/>
    <w:rPr>
      <w:rFonts w:ascii="Tahoma" w:hAnsi="Tahoma" w:cs="Tahoma"/>
      <w:sz w:val="16"/>
      <w:szCs w:val="16"/>
    </w:rPr>
  </w:style>
  <w:style w:type="table" w:styleId="TableGrid">
    <w:name w:val="Table Grid"/>
    <w:basedOn w:val="TableNormal"/>
    <w:uiPriority w:val="59"/>
    <w:rsid w:val="004839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3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94C"/>
  </w:style>
  <w:style w:type="paragraph" w:styleId="Footer">
    <w:name w:val="footer"/>
    <w:basedOn w:val="Normal"/>
    <w:link w:val="FooterChar"/>
    <w:uiPriority w:val="99"/>
    <w:unhideWhenUsed/>
    <w:rsid w:val="00483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94C"/>
  </w:style>
  <w:style w:type="character" w:customStyle="1" w:styleId="apple-converted-space">
    <w:name w:val="apple-converted-space"/>
    <w:basedOn w:val="DefaultParagraphFont"/>
    <w:rsid w:val="00AA06F5"/>
  </w:style>
  <w:style w:type="character" w:styleId="Hyperlink">
    <w:name w:val="Hyperlink"/>
    <w:basedOn w:val="DefaultParagraphFont"/>
    <w:uiPriority w:val="99"/>
    <w:unhideWhenUsed/>
    <w:rsid w:val="002712CF"/>
    <w:rPr>
      <w:color w:val="0000FF"/>
      <w:u w:val="single"/>
    </w:rPr>
  </w:style>
  <w:style w:type="paragraph" w:styleId="ListParagraph">
    <w:name w:val="List Paragraph"/>
    <w:basedOn w:val="Normal"/>
    <w:uiPriority w:val="34"/>
    <w:qFormat/>
    <w:rsid w:val="00913021"/>
    <w:pPr>
      <w:ind w:left="720"/>
      <w:contextualSpacing/>
    </w:pPr>
  </w:style>
  <w:style w:type="character" w:styleId="FollowedHyperlink">
    <w:name w:val="FollowedHyperlink"/>
    <w:basedOn w:val="DefaultParagraphFont"/>
    <w:uiPriority w:val="99"/>
    <w:semiHidden/>
    <w:unhideWhenUsed/>
    <w:rsid w:val="00D420D4"/>
    <w:rPr>
      <w:color w:val="800080" w:themeColor="followedHyperlink"/>
      <w:u w:val="single"/>
    </w:rPr>
  </w:style>
  <w:style w:type="paragraph" w:styleId="NoSpacing">
    <w:name w:val="No Spacing"/>
    <w:uiPriority w:val="1"/>
    <w:qFormat/>
    <w:rsid w:val="00AF0ABC"/>
    <w:pPr>
      <w:spacing w:after="0" w:line="240" w:lineRule="auto"/>
    </w:pPr>
  </w:style>
  <w:style w:type="character" w:customStyle="1" w:styleId="Heading1Char">
    <w:name w:val="Heading 1 Char"/>
    <w:basedOn w:val="DefaultParagraphFont"/>
    <w:link w:val="Heading1"/>
    <w:uiPriority w:val="9"/>
    <w:rsid w:val="00AF0AB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F0A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0AB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94C"/>
  </w:style>
  <w:style w:type="paragraph" w:styleId="Heading1">
    <w:name w:val="heading 1"/>
    <w:basedOn w:val="Normal"/>
    <w:next w:val="Normal"/>
    <w:link w:val="Heading1Char"/>
    <w:uiPriority w:val="9"/>
    <w:qFormat/>
    <w:rsid w:val="00AF0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3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94C"/>
    <w:rPr>
      <w:rFonts w:ascii="Tahoma" w:hAnsi="Tahoma" w:cs="Tahoma"/>
      <w:sz w:val="16"/>
      <w:szCs w:val="16"/>
    </w:rPr>
  </w:style>
  <w:style w:type="table" w:styleId="TableGrid">
    <w:name w:val="Table Grid"/>
    <w:basedOn w:val="TableNormal"/>
    <w:uiPriority w:val="59"/>
    <w:rsid w:val="004839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3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94C"/>
  </w:style>
  <w:style w:type="paragraph" w:styleId="Footer">
    <w:name w:val="footer"/>
    <w:basedOn w:val="Normal"/>
    <w:link w:val="FooterChar"/>
    <w:uiPriority w:val="99"/>
    <w:unhideWhenUsed/>
    <w:rsid w:val="00483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94C"/>
  </w:style>
  <w:style w:type="character" w:customStyle="1" w:styleId="apple-converted-space">
    <w:name w:val="apple-converted-space"/>
    <w:basedOn w:val="DefaultParagraphFont"/>
    <w:rsid w:val="00AA06F5"/>
  </w:style>
  <w:style w:type="character" w:styleId="Hyperlink">
    <w:name w:val="Hyperlink"/>
    <w:basedOn w:val="DefaultParagraphFont"/>
    <w:uiPriority w:val="99"/>
    <w:unhideWhenUsed/>
    <w:rsid w:val="002712CF"/>
    <w:rPr>
      <w:color w:val="0000FF"/>
      <w:u w:val="single"/>
    </w:rPr>
  </w:style>
  <w:style w:type="paragraph" w:styleId="ListParagraph">
    <w:name w:val="List Paragraph"/>
    <w:basedOn w:val="Normal"/>
    <w:uiPriority w:val="34"/>
    <w:qFormat/>
    <w:rsid w:val="00913021"/>
    <w:pPr>
      <w:ind w:left="720"/>
      <w:contextualSpacing/>
    </w:pPr>
  </w:style>
  <w:style w:type="character" w:styleId="FollowedHyperlink">
    <w:name w:val="FollowedHyperlink"/>
    <w:basedOn w:val="DefaultParagraphFont"/>
    <w:uiPriority w:val="99"/>
    <w:semiHidden/>
    <w:unhideWhenUsed/>
    <w:rsid w:val="00D420D4"/>
    <w:rPr>
      <w:color w:val="800080" w:themeColor="followedHyperlink"/>
      <w:u w:val="single"/>
    </w:rPr>
  </w:style>
  <w:style w:type="paragraph" w:styleId="NoSpacing">
    <w:name w:val="No Spacing"/>
    <w:uiPriority w:val="1"/>
    <w:qFormat/>
    <w:rsid w:val="00AF0ABC"/>
    <w:pPr>
      <w:spacing w:after="0" w:line="240" w:lineRule="auto"/>
    </w:pPr>
  </w:style>
  <w:style w:type="character" w:customStyle="1" w:styleId="Heading1Char">
    <w:name w:val="Heading 1 Char"/>
    <w:basedOn w:val="DefaultParagraphFont"/>
    <w:link w:val="Heading1"/>
    <w:uiPriority w:val="9"/>
    <w:rsid w:val="00AF0AB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F0A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0AB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513804808">
      <w:bodyDiv w:val="1"/>
      <w:marLeft w:val="0"/>
      <w:marRight w:val="0"/>
      <w:marTop w:val="0"/>
      <w:marBottom w:val="0"/>
      <w:divBdr>
        <w:top w:val="none" w:sz="0" w:space="0" w:color="auto"/>
        <w:left w:val="none" w:sz="0" w:space="0" w:color="auto"/>
        <w:bottom w:val="none" w:sz="0" w:space="0" w:color="auto"/>
        <w:right w:val="none" w:sz="0" w:space="0" w:color="auto"/>
      </w:divBdr>
    </w:div>
    <w:div w:id="630088647">
      <w:bodyDiv w:val="1"/>
      <w:marLeft w:val="0"/>
      <w:marRight w:val="0"/>
      <w:marTop w:val="0"/>
      <w:marBottom w:val="0"/>
      <w:divBdr>
        <w:top w:val="none" w:sz="0" w:space="0" w:color="auto"/>
        <w:left w:val="none" w:sz="0" w:space="0" w:color="auto"/>
        <w:bottom w:val="none" w:sz="0" w:space="0" w:color="auto"/>
        <w:right w:val="none" w:sz="0" w:space="0" w:color="auto"/>
      </w:divBdr>
    </w:div>
    <w:div w:id="656105390">
      <w:bodyDiv w:val="1"/>
      <w:marLeft w:val="0"/>
      <w:marRight w:val="0"/>
      <w:marTop w:val="0"/>
      <w:marBottom w:val="0"/>
      <w:divBdr>
        <w:top w:val="none" w:sz="0" w:space="0" w:color="auto"/>
        <w:left w:val="none" w:sz="0" w:space="0" w:color="auto"/>
        <w:bottom w:val="none" w:sz="0" w:space="0" w:color="auto"/>
        <w:right w:val="none" w:sz="0" w:space="0" w:color="auto"/>
      </w:divBdr>
    </w:div>
    <w:div w:id="834420596">
      <w:bodyDiv w:val="1"/>
      <w:marLeft w:val="0"/>
      <w:marRight w:val="0"/>
      <w:marTop w:val="0"/>
      <w:marBottom w:val="0"/>
      <w:divBdr>
        <w:top w:val="none" w:sz="0" w:space="0" w:color="auto"/>
        <w:left w:val="none" w:sz="0" w:space="0" w:color="auto"/>
        <w:bottom w:val="none" w:sz="0" w:space="0" w:color="auto"/>
        <w:right w:val="none" w:sz="0" w:space="0" w:color="auto"/>
      </w:divBdr>
    </w:div>
    <w:div w:id="1599943250">
      <w:bodyDiv w:val="1"/>
      <w:marLeft w:val="0"/>
      <w:marRight w:val="0"/>
      <w:marTop w:val="0"/>
      <w:marBottom w:val="0"/>
      <w:divBdr>
        <w:top w:val="none" w:sz="0" w:space="0" w:color="auto"/>
        <w:left w:val="none" w:sz="0" w:space="0" w:color="auto"/>
        <w:bottom w:val="none" w:sz="0" w:space="0" w:color="auto"/>
        <w:right w:val="none" w:sz="0" w:space="0" w:color="auto"/>
      </w:divBdr>
    </w:div>
    <w:div w:id="1931966315">
      <w:bodyDiv w:val="1"/>
      <w:marLeft w:val="0"/>
      <w:marRight w:val="0"/>
      <w:marTop w:val="0"/>
      <w:marBottom w:val="0"/>
      <w:divBdr>
        <w:top w:val="none" w:sz="0" w:space="0" w:color="auto"/>
        <w:left w:val="none" w:sz="0" w:space="0" w:color="auto"/>
        <w:bottom w:val="none" w:sz="0" w:space="0" w:color="auto"/>
        <w:right w:val="none" w:sz="0" w:space="0" w:color="auto"/>
      </w:divBdr>
    </w:div>
    <w:div w:id="213713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ac-aspc.gc.ca/wnv-vwn/index.html" TargetMode="External"/><Relationship Id="rId13" Type="http://schemas.openxmlformats.org/officeDocument/2006/relationships/footer" Target="footer1.xml"/><Relationship Id="rId18" Type="http://schemas.openxmlformats.org/officeDocument/2006/relationships/chart" Target="charts/chart2.xml"/><Relationship Id="rId3" Type="http://schemas.openxmlformats.org/officeDocument/2006/relationships/webSettings" Target="webSettings.xml"/><Relationship Id="rId21" Type="http://schemas.openxmlformats.org/officeDocument/2006/relationships/header" Target="header4.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chart" Target="charts/chart1.xml"/><Relationship Id="rId25"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chart" Target="charts/chart4.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ecdc.europa.eu/en/healthtopics/west_nile_fever/West-Nile-fever-maps/Pages/index.aspx" TargetMode="External"/><Relationship Id="rId19"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hyperlink" Target="http://www.cdc.gov/ncidod/dvbid/westnile/surv&amp;controlCaseCount12_detailed.htm" TargetMode="External"/><Relationship Id="rId14" Type="http://schemas.openxmlformats.org/officeDocument/2006/relationships/footer" Target="footer2.xml"/><Relationship Id="rId22" Type="http://schemas.openxmlformats.org/officeDocument/2006/relationships/footer" Target="footer4.xml"/></Relationships>
</file>

<file path=word/charts/_rels/chart1.xml.rels><?xml version="1.0" encoding="UTF-8" standalone="yes"?>
<Relationships xmlns="http://schemas.openxmlformats.org/package/2006/relationships"><Relationship Id="rId1" Type="http://schemas.openxmlformats.org/officeDocument/2006/relationships/oleObject" Target="file:///\\PHAC-NCR-CLSTR_LDRIVE_SERVER\LDRIVE\COMMON\CFEZID\ZD\WNv\2012\WNv%20reports%20-%20ASY\Week39\WNv%20report%20-%20WEEK%2039%20graphs%20and%20tables%20(4th%20Oct%2020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PHAC-NCR-CLSTR_LDRIVE_SERVER\LDRIVE\COMMON\CFEZID\ZD\WNv\2012\WNv%20reports%20-%20ASY\Week39\WNv%20report%20-%20WEEK%2039%20graphs%20and%20tables%20(4th%20Oct%20201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PHAC-NCR-CLSTR_LDRIVE_SERVER\LDRIVE\COMMON\CFEZID\ZD\WNv\2012\WNv%20reports%20-%20ASY\Week39\WNv%20report%20-%20WEEK%2039%20graphs%20and%20tables%20(28st%20Sep%20201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PHAC-NCR-CLSTR_LDRIVE_SERVER\LDRIVE\COMMON\CFEZID\ZD\WNv\2012\WNv%20reports%20-%20ASY\Week39\WNv%20report%20-%20WEEK%2039%20graphs%20and%20tables%20(28st%20Sep%2020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style val="34"/>
  <c:chart>
    <c:autoTitleDeleted val="1"/>
    <c:plotArea>
      <c:layout>
        <c:manualLayout>
          <c:layoutTarget val="inner"/>
          <c:xMode val="edge"/>
          <c:yMode val="edge"/>
          <c:x val="5.7162104858125964E-2"/>
          <c:y val="4.6768684632954555E-2"/>
          <c:w val="0.920433267549287"/>
          <c:h val="0.80869943469058314"/>
        </c:manualLayout>
      </c:layout>
      <c:barChart>
        <c:barDir val="col"/>
        <c:grouping val="stacked"/>
        <c:ser>
          <c:idx val="0"/>
          <c:order val="0"/>
          <c:tx>
            <c:strRef>
              <c:f>'Human infections'!$C$10:$D$10</c:f>
              <c:strCache>
                <c:ptCount val="1"/>
                <c:pt idx="0">
                  <c:v>Newfoundland</c:v>
                </c:pt>
              </c:strCache>
            </c:strRef>
          </c:tx>
          <c:cat>
            <c:numRef>
              <c:f>'Human infections'!$E$9:$AG$9</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'Human infections'!$E$10:$AG$10</c:f>
              <c:numCache>
                <c:formatCode>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1"/>
          <c:order val="1"/>
          <c:tx>
            <c:strRef>
              <c:f>'Human infections'!$C$11:$D$11</c:f>
              <c:strCache>
                <c:ptCount val="1"/>
                <c:pt idx="0">
                  <c:v>Prince Edward Island</c:v>
                </c:pt>
              </c:strCache>
            </c:strRef>
          </c:tx>
          <c:cat>
            <c:numRef>
              <c:f>'Human infections'!$E$9:$AG$9</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'Human infections'!$E$11:$AG$11</c:f>
              <c:numCache>
                <c:formatCode>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1</c:v>
                </c:pt>
              </c:numCache>
            </c:numRef>
          </c:val>
        </c:ser>
        <c:ser>
          <c:idx val="2"/>
          <c:order val="2"/>
          <c:tx>
            <c:strRef>
              <c:f>'Human infections'!$C$12:$D$12</c:f>
              <c:strCache>
                <c:ptCount val="1"/>
                <c:pt idx="0">
                  <c:v>Nova Scotia</c:v>
                </c:pt>
              </c:strCache>
            </c:strRef>
          </c:tx>
          <c:cat>
            <c:numRef>
              <c:f>'Human infections'!$E$9:$AG$9</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'Human infections'!$E$12:$AG$12</c:f>
              <c:numCache>
                <c:formatCode>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3"/>
          <c:order val="3"/>
          <c:tx>
            <c:strRef>
              <c:f>'Human infections'!$C$14:$D$14</c:f>
              <c:strCache>
                <c:ptCount val="1"/>
                <c:pt idx="0">
                  <c:v>Quebec</c:v>
                </c:pt>
              </c:strCache>
            </c:strRef>
          </c:tx>
          <c:cat>
            <c:numRef>
              <c:f>'Human infections'!$E$9:$AG$9</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'Human infections'!$E$14:$AG$14</c:f>
              <c:numCache>
                <c:formatCode>0</c:formatCode>
                <c:ptCount val="29"/>
                <c:pt idx="0">
                  <c:v>0</c:v>
                </c:pt>
                <c:pt idx="1">
                  <c:v>0</c:v>
                </c:pt>
                <c:pt idx="2">
                  <c:v>0</c:v>
                </c:pt>
                <c:pt idx="3">
                  <c:v>0</c:v>
                </c:pt>
                <c:pt idx="4">
                  <c:v>0</c:v>
                </c:pt>
                <c:pt idx="5">
                  <c:v>0</c:v>
                </c:pt>
                <c:pt idx="6">
                  <c:v>0</c:v>
                </c:pt>
                <c:pt idx="7">
                  <c:v>0</c:v>
                </c:pt>
                <c:pt idx="8">
                  <c:v>0</c:v>
                </c:pt>
                <c:pt idx="9">
                  <c:v>0</c:v>
                </c:pt>
                <c:pt idx="10">
                  <c:v>0</c:v>
                </c:pt>
                <c:pt idx="11">
                  <c:v>0</c:v>
                </c:pt>
                <c:pt idx="12">
                  <c:v>1</c:v>
                </c:pt>
                <c:pt idx="13">
                  <c:v>1</c:v>
                </c:pt>
                <c:pt idx="14">
                  <c:v>0</c:v>
                </c:pt>
                <c:pt idx="15">
                  <c:v>2</c:v>
                </c:pt>
                <c:pt idx="16">
                  <c:v>6</c:v>
                </c:pt>
                <c:pt idx="17">
                  <c:v>10</c:v>
                </c:pt>
                <c:pt idx="18">
                  <c:v>9</c:v>
                </c:pt>
                <c:pt idx="19">
                  <c:v>13</c:v>
                </c:pt>
                <c:pt idx="20">
                  <c:v>22</c:v>
                </c:pt>
                <c:pt idx="21">
                  <c:v>16</c:v>
                </c:pt>
                <c:pt idx="22">
                  <c:v>27</c:v>
                </c:pt>
              </c:numCache>
            </c:numRef>
          </c:val>
        </c:ser>
        <c:ser>
          <c:idx val="4"/>
          <c:order val="4"/>
          <c:tx>
            <c:strRef>
              <c:f>'Human infections'!$C$15:$D$15</c:f>
              <c:strCache>
                <c:ptCount val="1"/>
                <c:pt idx="0">
                  <c:v>Ontario</c:v>
                </c:pt>
              </c:strCache>
            </c:strRef>
          </c:tx>
          <c:cat>
            <c:numRef>
              <c:f>'Human infections'!$E$9:$AG$9</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'Human infections'!$E$15:$AG$15</c:f>
              <c:numCache>
                <c:formatCode>0</c:formatCode>
                <c:ptCount val="29"/>
                <c:pt idx="0">
                  <c:v>0</c:v>
                </c:pt>
                <c:pt idx="1">
                  <c:v>0</c:v>
                </c:pt>
                <c:pt idx="2">
                  <c:v>0</c:v>
                </c:pt>
                <c:pt idx="3">
                  <c:v>0</c:v>
                </c:pt>
                <c:pt idx="4">
                  <c:v>0</c:v>
                </c:pt>
                <c:pt idx="5">
                  <c:v>0</c:v>
                </c:pt>
                <c:pt idx="6">
                  <c:v>1</c:v>
                </c:pt>
                <c:pt idx="7">
                  <c:v>0</c:v>
                </c:pt>
                <c:pt idx="8">
                  <c:v>0</c:v>
                </c:pt>
                <c:pt idx="9">
                  <c:v>0</c:v>
                </c:pt>
                <c:pt idx="10">
                  <c:v>2</c:v>
                </c:pt>
                <c:pt idx="11">
                  <c:v>3</c:v>
                </c:pt>
                <c:pt idx="12">
                  <c:v>8</c:v>
                </c:pt>
                <c:pt idx="13">
                  <c:v>13</c:v>
                </c:pt>
                <c:pt idx="14">
                  <c:v>21</c:v>
                </c:pt>
                <c:pt idx="15">
                  <c:v>40</c:v>
                </c:pt>
                <c:pt idx="16">
                  <c:v>41</c:v>
                </c:pt>
                <c:pt idx="17">
                  <c:v>39</c:v>
                </c:pt>
                <c:pt idx="18">
                  <c:v>30</c:v>
                </c:pt>
                <c:pt idx="19">
                  <c:v>16</c:v>
                </c:pt>
                <c:pt idx="20">
                  <c:v>17</c:v>
                </c:pt>
                <c:pt idx="21">
                  <c:v>4</c:v>
                </c:pt>
                <c:pt idx="22">
                  <c:v>1</c:v>
                </c:pt>
              </c:numCache>
            </c:numRef>
          </c:val>
        </c:ser>
        <c:ser>
          <c:idx val="5"/>
          <c:order val="5"/>
          <c:tx>
            <c:strRef>
              <c:f>'Human infections'!$C$16:$D$16</c:f>
              <c:strCache>
                <c:ptCount val="1"/>
                <c:pt idx="0">
                  <c:v>Manitoba</c:v>
                </c:pt>
              </c:strCache>
            </c:strRef>
          </c:tx>
          <c:cat>
            <c:numRef>
              <c:f>'Human infections'!$E$9:$AG$9</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'Human infections'!$E$16:$AG$16</c:f>
              <c:numCache>
                <c:formatCode>0</c:formatCode>
                <c:ptCount val="29"/>
                <c:pt idx="0">
                  <c:v>0</c:v>
                </c:pt>
                <c:pt idx="1">
                  <c:v>0</c:v>
                </c:pt>
                <c:pt idx="2">
                  <c:v>0</c:v>
                </c:pt>
                <c:pt idx="3">
                  <c:v>0</c:v>
                </c:pt>
                <c:pt idx="4">
                  <c:v>0</c:v>
                </c:pt>
                <c:pt idx="5">
                  <c:v>0</c:v>
                </c:pt>
                <c:pt idx="6">
                  <c:v>0</c:v>
                </c:pt>
                <c:pt idx="7">
                  <c:v>0</c:v>
                </c:pt>
                <c:pt idx="8">
                  <c:v>0</c:v>
                </c:pt>
                <c:pt idx="9">
                  <c:v>0</c:v>
                </c:pt>
                <c:pt idx="10">
                  <c:v>0</c:v>
                </c:pt>
                <c:pt idx="11">
                  <c:v>0</c:v>
                </c:pt>
                <c:pt idx="12">
                  <c:v>1</c:v>
                </c:pt>
                <c:pt idx="13">
                  <c:v>1</c:v>
                </c:pt>
                <c:pt idx="14">
                  <c:v>4</c:v>
                </c:pt>
                <c:pt idx="15">
                  <c:v>7</c:v>
                </c:pt>
                <c:pt idx="16">
                  <c:v>7</c:v>
                </c:pt>
                <c:pt idx="17">
                  <c:v>6</c:v>
                </c:pt>
                <c:pt idx="18">
                  <c:v>7</c:v>
                </c:pt>
                <c:pt idx="19">
                  <c:v>1</c:v>
                </c:pt>
                <c:pt idx="20">
                  <c:v>3</c:v>
                </c:pt>
                <c:pt idx="21">
                  <c:v>2</c:v>
                </c:pt>
                <c:pt idx="22">
                  <c:v>0</c:v>
                </c:pt>
              </c:numCache>
            </c:numRef>
          </c:val>
        </c:ser>
        <c:ser>
          <c:idx val="6"/>
          <c:order val="6"/>
          <c:tx>
            <c:strRef>
              <c:f>'Human infections'!$C$17:$D$17</c:f>
              <c:strCache>
                <c:ptCount val="1"/>
                <c:pt idx="0">
                  <c:v>Saskatchewan</c:v>
                </c:pt>
              </c:strCache>
            </c:strRef>
          </c:tx>
          <c:cat>
            <c:numRef>
              <c:f>'Human infections'!$E$9:$AG$9</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'Human infections'!$E$17:$AG$17</c:f>
              <c:numCache>
                <c:formatCode>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2</c:v>
                </c:pt>
                <c:pt idx="17">
                  <c:v>1</c:v>
                </c:pt>
                <c:pt idx="18">
                  <c:v>0</c:v>
                </c:pt>
                <c:pt idx="19">
                  <c:v>3</c:v>
                </c:pt>
                <c:pt idx="20">
                  <c:v>0</c:v>
                </c:pt>
                <c:pt idx="21">
                  <c:v>3</c:v>
                </c:pt>
                <c:pt idx="22">
                  <c:v>0</c:v>
                </c:pt>
              </c:numCache>
            </c:numRef>
          </c:val>
        </c:ser>
        <c:ser>
          <c:idx val="7"/>
          <c:order val="7"/>
          <c:tx>
            <c:strRef>
              <c:f>'Human infections'!$C$18:$D$18</c:f>
              <c:strCache>
                <c:ptCount val="1"/>
                <c:pt idx="0">
                  <c:v>Alberta</c:v>
                </c:pt>
              </c:strCache>
            </c:strRef>
          </c:tx>
          <c:cat>
            <c:numRef>
              <c:f>'Human infections'!$E$9:$AG$9</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'Human infections'!$E$18:$AG$18</c:f>
              <c:numCache>
                <c:formatCode>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4</c:v>
                </c:pt>
                <c:pt idx="17">
                  <c:v>2</c:v>
                </c:pt>
                <c:pt idx="18">
                  <c:v>0</c:v>
                </c:pt>
                <c:pt idx="19">
                  <c:v>1</c:v>
                </c:pt>
                <c:pt idx="20">
                  <c:v>2</c:v>
                </c:pt>
                <c:pt idx="21">
                  <c:v>0</c:v>
                </c:pt>
                <c:pt idx="22">
                  <c:v>0</c:v>
                </c:pt>
              </c:numCache>
            </c:numRef>
          </c:val>
        </c:ser>
        <c:ser>
          <c:idx val="8"/>
          <c:order val="8"/>
          <c:tx>
            <c:strRef>
              <c:f>'Human infections'!$C$19:$D$19</c:f>
              <c:strCache>
                <c:ptCount val="1"/>
                <c:pt idx="0">
                  <c:v>British Columbia</c:v>
                </c:pt>
              </c:strCache>
            </c:strRef>
          </c:tx>
          <c:cat>
            <c:numRef>
              <c:f>'Human infections'!$E$9:$AG$9</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'Human infections'!$E$19:$AG$19</c:f>
              <c:numCache>
                <c:formatCode>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9"/>
          <c:order val="9"/>
          <c:tx>
            <c:strRef>
              <c:f>'Human infections'!$C$20:$D$20</c:f>
              <c:strCache>
                <c:ptCount val="1"/>
                <c:pt idx="0">
                  <c:v>Yukon Territory</c:v>
                </c:pt>
              </c:strCache>
            </c:strRef>
          </c:tx>
          <c:cat>
            <c:numRef>
              <c:f>'Human infections'!$E$9:$AG$9</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'Human infections'!$E$20:$AG$20</c:f>
              <c:numCache>
                <c:formatCode>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10"/>
          <c:order val="10"/>
          <c:tx>
            <c:strRef>
              <c:f>'Human infections'!$C$21:$D$21</c:f>
              <c:strCache>
                <c:ptCount val="1"/>
                <c:pt idx="0">
                  <c:v>Northwest Territory</c:v>
                </c:pt>
              </c:strCache>
            </c:strRef>
          </c:tx>
          <c:cat>
            <c:numRef>
              <c:f>'Human infections'!$E$9:$AG$9</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'Human infections'!$E$21:$AG$21</c:f>
              <c:numCache>
                <c:formatCode>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11"/>
          <c:order val="11"/>
          <c:tx>
            <c:strRef>
              <c:f>'Human infections'!$C$22:$D$22</c:f>
              <c:strCache>
                <c:ptCount val="1"/>
                <c:pt idx="0">
                  <c:v>Nunavut</c:v>
                </c:pt>
              </c:strCache>
            </c:strRef>
          </c:tx>
          <c:cat>
            <c:numRef>
              <c:f>'Human infections'!$E$9:$AG$9</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'Human infections'!$E$22:$AG$22</c:f>
              <c:numCache>
                <c:formatCode>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12"/>
          <c:order val="12"/>
          <c:tx>
            <c:v>New Brunswick</c:v>
          </c:tx>
          <c:val>
            <c:numRef>
              <c:f>'Human infections'!$E$13:$S$13</c:f>
              <c:numCache>
                <c:formatCode>0</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numRef>
          </c:val>
        </c:ser>
        <c:dLbls/>
        <c:gapWidth val="166"/>
        <c:overlap val="100"/>
        <c:axId val="104698624"/>
        <c:axId val="104700544"/>
      </c:barChart>
      <c:catAx>
        <c:axId val="104698624"/>
        <c:scaling>
          <c:orientation val="minMax"/>
        </c:scaling>
        <c:axPos val="b"/>
        <c:title>
          <c:tx>
            <c:rich>
              <a:bodyPr/>
              <a:lstStyle/>
              <a:p>
                <a:pPr>
                  <a:defRPr/>
                </a:pPr>
                <a:r>
                  <a:rPr lang="en-US"/>
                  <a:t>Report Weeks of 2012</a:t>
                </a:r>
              </a:p>
            </c:rich>
          </c:tx>
          <c:layout/>
        </c:title>
        <c:numFmt formatCode="General" sourceLinked="1"/>
        <c:tickLblPos val="nextTo"/>
        <c:crossAx val="104700544"/>
        <c:crosses val="autoZero"/>
        <c:auto val="1"/>
        <c:lblAlgn val="ctr"/>
        <c:lblOffset val="100"/>
      </c:catAx>
      <c:valAx>
        <c:axId val="104700544"/>
        <c:scaling>
          <c:orientation val="minMax"/>
          <c:min val="0"/>
        </c:scaling>
        <c:axPos val="l"/>
        <c:title>
          <c:tx>
            <c:rich>
              <a:bodyPr rot="-5400000" vert="horz"/>
              <a:lstStyle/>
              <a:p>
                <a:pPr>
                  <a:defRPr/>
                </a:pPr>
                <a:r>
                  <a:rPr lang="en-US"/>
                  <a:t>Counts</a:t>
                </a:r>
              </a:p>
            </c:rich>
          </c:tx>
          <c:layout/>
        </c:title>
        <c:numFmt formatCode="0" sourceLinked="1"/>
        <c:tickLblPos val="nextTo"/>
        <c:crossAx val="104698624"/>
        <c:crosses val="autoZero"/>
        <c:crossBetween val="between"/>
      </c:valAx>
      <c:spPr>
        <a:noFill/>
      </c:spPr>
    </c:plotArea>
    <c:legend>
      <c:legendPos val="r"/>
      <c:layout>
        <c:manualLayout>
          <c:xMode val="edge"/>
          <c:yMode val="edge"/>
          <c:x val="9.4986155720568691E-2"/>
          <c:y val="8.1215758270006377E-2"/>
          <c:w val="0.36553200095018018"/>
          <c:h val="0.3486952345398695"/>
        </c:manualLayout>
      </c:layou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autoTitleDeleted val="1"/>
    <c:plotArea>
      <c:layout>
        <c:manualLayout>
          <c:layoutTarget val="inner"/>
          <c:xMode val="edge"/>
          <c:yMode val="edge"/>
          <c:x val="6.9811709178247972E-2"/>
          <c:y val="0.12073298107293251"/>
          <c:w val="0.8691229151210963"/>
          <c:h val="0.71480922832380345"/>
        </c:manualLayout>
      </c:layout>
      <c:scatterChart>
        <c:scatterStyle val="smoothMarker"/>
        <c:ser>
          <c:idx val="0"/>
          <c:order val="0"/>
          <c:tx>
            <c:strRef>
              <c:f>'Human infections'!$C$35:$D$35</c:f>
              <c:strCache>
                <c:ptCount val="1"/>
                <c:pt idx="0">
                  <c:v>2012</c:v>
                </c:pt>
              </c:strCache>
            </c:strRef>
          </c:tx>
          <c:spPr>
            <a:ln w="47625">
              <a:solidFill>
                <a:srgbClr val="FF0000"/>
              </a:solidFill>
            </a:ln>
          </c:spPr>
          <c:marker>
            <c:symbol val="none"/>
          </c:marker>
          <c:xVal>
            <c:numRef>
              <c:f>'Human infections'!$E$34:$AG$34</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xVal>
          <c:yVal>
            <c:numRef>
              <c:f>'Human infections'!$E$35:$AG$35</c:f>
              <c:numCache>
                <c:formatCode>General</c:formatCode>
                <c:ptCount val="29"/>
                <c:pt idx="0">
                  <c:v>0</c:v>
                </c:pt>
                <c:pt idx="1">
                  <c:v>0</c:v>
                </c:pt>
                <c:pt idx="2">
                  <c:v>0</c:v>
                </c:pt>
                <c:pt idx="3">
                  <c:v>0</c:v>
                </c:pt>
                <c:pt idx="4">
                  <c:v>0</c:v>
                </c:pt>
                <c:pt idx="5">
                  <c:v>0</c:v>
                </c:pt>
                <c:pt idx="6">
                  <c:v>1</c:v>
                </c:pt>
                <c:pt idx="7">
                  <c:v>0</c:v>
                </c:pt>
                <c:pt idx="8">
                  <c:v>0</c:v>
                </c:pt>
                <c:pt idx="9">
                  <c:v>0</c:v>
                </c:pt>
                <c:pt idx="10">
                  <c:v>2</c:v>
                </c:pt>
                <c:pt idx="11">
                  <c:v>3</c:v>
                </c:pt>
                <c:pt idx="12">
                  <c:v>10</c:v>
                </c:pt>
                <c:pt idx="13">
                  <c:v>15</c:v>
                </c:pt>
                <c:pt idx="14">
                  <c:v>25</c:v>
                </c:pt>
                <c:pt idx="15">
                  <c:v>49</c:v>
                </c:pt>
                <c:pt idx="16">
                  <c:v>60</c:v>
                </c:pt>
                <c:pt idx="17">
                  <c:v>58</c:v>
                </c:pt>
                <c:pt idx="18">
                  <c:v>46</c:v>
                </c:pt>
                <c:pt idx="19">
                  <c:v>34</c:v>
                </c:pt>
                <c:pt idx="20">
                  <c:v>43</c:v>
                </c:pt>
                <c:pt idx="21">
                  <c:v>24</c:v>
                </c:pt>
                <c:pt idx="22">
                  <c:v>29</c:v>
                </c:pt>
              </c:numCache>
            </c:numRef>
          </c:yVal>
          <c:smooth val="1"/>
        </c:ser>
        <c:ser>
          <c:idx val="1"/>
          <c:order val="1"/>
          <c:tx>
            <c:strRef>
              <c:f>'Human infections'!$C$36:$D$36</c:f>
              <c:strCache>
                <c:ptCount val="1"/>
                <c:pt idx="0">
                  <c:v>2011</c:v>
                </c:pt>
              </c:strCache>
            </c:strRef>
          </c:tx>
          <c:marker>
            <c:symbol val="none"/>
          </c:marker>
          <c:xVal>
            <c:numRef>
              <c:f>'Human infections'!$E$34:$AG$34</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xVal>
          <c:yVal>
            <c:numRef>
              <c:f>'Human infections'!$E$36:$AG$36</c:f>
              <c:numCache>
                <c:formatCode>General</c:formatCode>
                <c:ptCount val="29"/>
                <c:pt idx="0">
                  <c:v>0</c:v>
                </c:pt>
                <c:pt idx="1">
                  <c:v>0</c:v>
                </c:pt>
                <c:pt idx="2">
                  <c:v>0</c:v>
                </c:pt>
                <c:pt idx="3">
                  <c:v>0</c:v>
                </c:pt>
                <c:pt idx="4">
                  <c:v>1</c:v>
                </c:pt>
                <c:pt idx="5">
                  <c:v>0</c:v>
                </c:pt>
                <c:pt idx="6">
                  <c:v>1</c:v>
                </c:pt>
                <c:pt idx="7">
                  <c:v>0</c:v>
                </c:pt>
                <c:pt idx="8">
                  <c:v>2</c:v>
                </c:pt>
                <c:pt idx="9">
                  <c:v>0</c:v>
                </c:pt>
                <c:pt idx="10">
                  <c:v>0</c:v>
                </c:pt>
                <c:pt idx="11">
                  <c:v>0</c:v>
                </c:pt>
                <c:pt idx="12">
                  <c:v>0</c:v>
                </c:pt>
                <c:pt idx="13">
                  <c:v>0</c:v>
                </c:pt>
                <c:pt idx="14">
                  <c:v>1</c:v>
                </c:pt>
                <c:pt idx="15">
                  <c:v>8</c:v>
                </c:pt>
                <c:pt idx="16">
                  <c:v>3</c:v>
                </c:pt>
                <c:pt idx="17">
                  <c:v>8</c:v>
                </c:pt>
                <c:pt idx="18">
                  <c:v>16</c:v>
                </c:pt>
                <c:pt idx="19">
                  <c:v>11</c:v>
                </c:pt>
                <c:pt idx="20">
                  <c:v>5</c:v>
                </c:pt>
                <c:pt idx="21">
                  <c:v>13</c:v>
                </c:pt>
                <c:pt idx="22">
                  <c:v>6</c:v>
                </c:pt>
                <c:pt idx="23">
                  <c:v>3</c:v>
                </c:pt>
                <c:pt idx="24">
                  <c:v>3</c:v>
                </c:pt>
                <c:pt idx="25">
                  <c:v>2</c:v>
                </c:pt>
              </c:numCache>
            </c:numRef>
          </c:yVal>
          <c:smooth val="1"/>
        </c:ser>
        <c:ser>
          <c:idx val="2"/>
          <c:order val="2"/>
          <c:tx>
            <c:strRef>
              <c:f>'Human infections'!$C$37:$D$37</c:f>
              <c:strCache>
                <c:ptCount val="1"/>
                <c:pt idx="0">
                  <c:v>2010</c:v>
                </c:pt>
              </c:strCache>
            </c:strRef>
          </c:tx>
          <c:marker>
            <c:symbol val="none"/>
          </c:marker>
          <c:xVal>
            <c:numRef>
              <c:f>'Human infections'!$E$34:$AG$34</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xVal>
          <c:yVal>
            <c:numRef>
              <c:f>'Human infections'!$E$37:$AG$37</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4</c:v>
                </c:pt>
                <c:pt idx="18">
                  <c:v>0</c:v>
                </c:pt>
                <c:pt idx="19">
                  <c:v>1</c:v>
                </c:pt>
                <c:pt idx="20">
                  <c:v>0</c:v>
                </c:pt>
                <c:pt idx="21">
                  <c:v>0</c:v>
                </c:pt>
                <c:pt idx="22">
                  <c:v>0</c:v>
                </c:pt>
                <c:pt idx="23">
                  <c:v>0</c:v>
                </c:pt>
                <c:pt idx="24">
                  <c:v>0</c:v>
                </c:pt>
                <c:pt idx="25">
                  <c:v>0</c:v>
                </c:pt>
                <c:pt idx="26">
                  <c:v>0</c:v>
                </c:pt>
                <c:pt idx="27">
                  <c:v>0</c:v>
                </c:pt>
                <c:pt idx="28">
                  <c:v>0</c:v>
                </c:pt>
              </c:numCache>
            </c:numRef>
          </c:yVal>
          <c:smooth val="1"/>
        </c:ser>
        <c:ser>
          <c:idx val="3"/>
          <c:order val="3"/>
          <c:tx>
            <c:strRef>
              <c:f>'Human infections'!$C$38:$D$38</c:f>
              <c:strCache>
                <c:ptCount val="1"/>
                <c:pt idx="0">
                  <c:v>2009</c:v>
                </c:pt>
              </c:strCache>
            </c:strRef>
          </c:tx>
          <c:marker>
            <c:symbol val="none"/>
          </c:marker>
          <c:xVal>
            <c:numRef>
              <c:f>'Human infections'!$E$34:$AG$34</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xVal>
          <c:yVal>
            <c:numRef>
              <c:f>'Human infections'!$E$38:$AG$38</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3</c:v>
                </c:pt>
                <c:pt idx="17">
                  <c:v>0</c:v>
                </c:pt>
                <c:pt idx="18">
                  <c:v>2</c:v>
                </c:pt>
                <c:pt idx="19">
                  <c:v>1</c:v>
                </c:pt>
                <c:pt idx="20">
                  <c:v>1</c:v>
                </c:pt>
                <c:pt idx="21">
                  <c:v>0</c:v>
                </c:pt>
                <c:pt idx="22">
                  <c:v>0</c:v>
                </c:pt>
                <c:pt idx="23">
                  <c:v>2</c:v>
                </c:pt>
                <c:pt idx="24">
                  <c:v>0</c:v>
                </c:pt>
                <c:pt idx="25">
                  <c:v>0</c:v>
                </c:pt>
                <c:pt idx="26">
                  <c:v>1</c:v>
                </c:pt>
                <c:pt idx="27">
                  <c:v>0</c:v>
                </c:pt>
                <c:pt idx="28">
                  <c:v>0</c:v>
                </c:pt>
              </c:numCache>
            </c:numRef>
          </c:yVal>
          <c:smooth val="1"/>
        </c:ser>
        <c:ser>
          <c:idx val="4"/>
          <c:order val="4"/>
          <c:tx>
            <c:strRef>
              <c:f>'Human infections'!$C$39:$D$39</c:f>
              <c:strCache>
                <c:ptCount val="1"/>
                <c:pt idx="0">
                  <c:v>2008</c:v>
                </c:pt>
              </c:strCache>
            </c:strRef>
          </c:tx>
          <c:marker>
            <c:symbol val="none"/>
          </c:marker>
          <c:xVal>
            <c:numRef>
              <c:f>'Human infections'!$E$34:$AG$34</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xVal>
          <c:yVal>
            <c:numRef>
              <c:f>'Human infections'!$E$39:$AG$39</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0</c:v>
                </c:pt>
                <c:pt idx="12">
                  <c:v>2</c:v>
                </c:pt>
                <c:pt idx="13">
                  <c:v>0</c:v>
                </c:pt>
                <c:pt idx="14">
                  <c:v>0</c:v>
                </c:pt>
                <c:pt idx="15">
                  <c:v>0</c:v>
                </c:pt>
                <c:pt idx="16">
                  <c:v>1</c:v>
                </c:pt>
                <c:pt idx="17">
                  <c:v>5</c:v>
                </c:pt>
                <c:pt idx="18">
                  <c:v>6</c:v>
                </c:pt>
                <c:pt idx="19">
                  <c:v>2</c:v>
                </c:pt>
                <c:pt idx="20">
                  <c:v>11</c:v>
                </c:pt>
                <c:pt idx="21">
                  <c:v>8</c:v>
                </c:pt>
                <c:pt idx="22">
                  <c:v>1</c:v>
                </c:pt>
                <c:pt idx="23">
                  <c:v>1</c:v>
                </c:pt>
                <c:pt idx="24">
                  <c:v>0</c:v>
                </c:pt>
                <c:pt idx="25">
                  <c:v>1</c:v>
                </c:pt>
                <c:pt idx="26">
                  <c:v>0</c:v>
                </c:pt>
                <c:pt idx="27">
                  <c:v>0</c:v>
                </c:pt>
                <c:pt idx="28">
                  <c:v>0</c:v>
                </c:pt>
              </c:numCache>
            </c:numRef>
          </c:yVal>
          <c:smooth val="1"/>
        </c:ser>
        <c:ser>
          <c:idx val="5"/>
          <c:order val="5"/>
          <c:tx>
            <c:strRef>
              <c:f>'Human infections'!$C$40:$D$40</c:f>
              <c:strCache>
                <c:ptCount val="1"/>
                <c:pt idx="0">
                  <c:v>2007</c:v>
                </c:pt>
              </c:strCache>
            </c:strRef>
          </c:tx>
          <c:marker>
            <c:symbol val="none"/>
          </c:marker>
          <c:xVal>
            <c:numRef>
              <c:f>'Human infections'!$E$34:$AG$34</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xVal>
          <c:yVal>
            <c:numRef>
              <c:f>'Human infections'!$E$40:$AG$40</c:f>
              <c:numCache>
                <c:formatCode>General</c:formatCode>
                <c:ptCount val="29"/>
                <c:pt idx="0">
                  <c:v>0</c:v>
                </c:pt>
                <c:pt idx="1">
                  <c:v>0</c:v>
                </c:pt>
                <c:pt idx="2">
                  <c:v>0</c:v>
                </c:pt>
                <c:pt idx="3">
                  <c:v>0</c:v>
                </c:pt>
                <c:pt idx="4">
                  <c:v>0</c:v>
                </c:pt>
                <c:pt idx="5">
                  <c:v>0</c:v>
                </c:pt>
                <c:pt idx="6">
                  <c:v>2</c:v>
                </c:pt>
                <c:pt idx="7">
                  <c:v>2</c:v>
                </c:pt>
                <c:pt idx="8">
                  <c:v>3</c:v>
                </c:pt>
                <c:pt idx="9">
                  <c:v>4</c:v>
                </c:pt>
                <c:pt idx="10">
                  <c:v>11</c:v>
                </c:pt>
                <c:pt idx="11">
                  <c:v>35</c:v>
                </c:pt>
                <c:pt idx="12">
                  <c:v>36</c:v>
                </c:pt>
                <c:pt idx="13">
                  <c:v>72</c:v>
                </c:pt>
                <c:pt idx="14">
                  <c:v>139</c:v>
                </c:pt>
                <c:pt idx="15">
                  <c:v>424</c:v>
                </c:pt>
                <c:pt idx="16">
                  <c:v>471</c:v>
                </c:pt>
                <c:pt idx="17">
                  <c:v>443</c:v>
                </c:pt>
                <c:pt idx="18">
                  <c:v>287</c:v>
                </c:pt>
                <c:pt idx="19">
                  <c:v>182</c:v>
                </c:pt>
                <c:pt idx="20">
                  <c:v>116</c:v>
                </c:pt>
                <c:pt idx="21">
                  <c:v>71</c:v>
                </c:pt>
                <c:pt idx="22">
                  <c:v>30</c:v>
                </c:pt>
                <c:pt idx="23">
                  <c:v>18</c:v>
                </c:pt>
                <c:pt idx="24">
                  <c:v>10</c:v>
                </c:pt>
                <c:pt idx="25">
                  <c:v>11</c:v>
                </c:pt>
                <c:pt idx="26">
                  <c:v>5</c:v>
                </c:pt>
                <c:pt idx="27">
                  <c:v>4</c:v>
                </c:pt>
                <c:pt idx="28">
                  <c:v>2</c:v>
                </c:pt>
              </c:numCache>
            </c:numRef>
          </c:yVal>
          <c:smooth val="1"/>
        </c:ser>
        <c:ser>
          <c:idx val="6"/>
          <c:order val="6"/>
          <c:tx>
            <c:strRef>
              <c:f>'Human infections'!$C$41:$D$41</c:f>
              <c:strCache>
                <c:ptCount val="1"/>
                <c:pt idx="0">
                  <c:v>2006</c:v>
                </c:pt>
              </c:strCache>
            </c:strRef>
          </c:tx>
          <c:marker>
            <c:symbol val="none"/>
          </c:marker>
          <c:xVal>
            <c:numRef>
              <c:f>'Human infections'!$E$34:$AG$34</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xVal>
          <c:yVal>
            <c:numRef>
              <c:f>'Human infections'!$E$41:$AG$41</c:f>
              <c:numCache>
                <c:formatCode>General</c:formatCode>
                <c:ptCount val="29"/>
                <c:pt idx="0">
                  <c:v>0</c:v>
                </c:pt>
                <c:pt idx="1">
                  <c:v>0</c:v>
                </c:pt>
                <c:pt idx="2">
                  <c:v>0</c:v>
                </c:pt>
                <c:pt idx="3">
                  <c:v>0</c:v>
                </c:pt>
                <c:pt idx="4">
                  <c:v>0</c:v>
                </c:pt>
                <c:pt idx="5">
                  <c:v>0</c:v>
                </c:pt>
                <c:pt idx="6">
                  <c:v>0</c:v>
                </c:pt>
                <c:pt idx="7">
                  <c:v>0</c:v>
                </c:pt>
                <c:pt idx="8">
                  <c:v>0</c:v>
                </c:pt>
                <c:pt idx="9">
                  <c:v>0</c:v>
                </c:pt>
                <c:pt idx="10">
                  <c:v>2</c:v>
                </c:pt>
                <c:pt idx="11">
                  <c:v>1</c:v>
                </c:pt>
                <c:pt idx="12">
                  <c:v>1</c:v>
                </c:pt>
                <c:pt idx="13">
                  <c:v>4</c:v>
                </c:pt>
                <c:pt idx="14">
                  <c:v>10</c:v>
                </c:pt>
                <c:pt idx="15">
                  <c:v>11</c:v>
                </c:pt>
                <c:pt idx="16">
                  <c:v>15</c:v>
                </c:pt>
                <c:pt idx="17">
                  <c:v>27</c:v>
                </c:pt>
                <c:pt idx="18">
                  <c:v>22</c:v>
                </c:pt>
                <c:pt idx="19">
                  <c:v>16</c:v>
                </c:pt>
                <c:pt idx="20">
                  <c:v>13</c:v>
                </c:pt>
                <c:pt idx="21">
                  <c:v>1</c:v>
                </c:pt>
                <c:pt idx="22">
                  <c:v>2</c:v>
                </c:pt>
                <c:pt idx="23">
                  <c:v>2</c:v>
                </c:pt>
                <c:pt idx="24">
                  <c:v>0</c:v>
                </c:pt>
                <c:pt idx="25">
                  <c:v>0</c:v>
                </c:pt>
                <c:pt idx="26">
                  <c:v>0</c:v>
                </c:pt>
                <c:pt idx="27">
                  <c:v>0</c:v>
                </c:pt>
                <c:pt idx="28">
                  <c:v>0</c:v>
                </c:pt>
              </c:numCache>
            </c:numRef>
          </c:yVal>
          <c:smooth val="1"/>
        </c:ser>
        <c:ser>
          <c:idx val="7"/>
          <c:order val="7"/>
          <c:tx>
            <c:strRef>
              <c:f>'Human infections'!$C$42:$D$42</c:f>
              <c:strCache>
                <c:ptCount val="1"/>
                <c:pt idx="0">
                  <c:v>2005</c:v>
                </c:pt>
              </c:strCache>
            </c:strRef>
          </c:tx>
          <c:marker>
            <c:symbol val="none"/>
          </c:marker>
          <c:xVal>
            <c:numRef>
              <c:f>'Human infections'!$E$34:$AG$34</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xVal>
          <c:yVal>
            <c:numRef>
              <c:f>'Human infections'!$E$42:$AG$42</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4</c:v>
                </c:pt>
                <c:pt idx="15">
                  <c:v>4</c:v>
                </c:pt>
                <c:pt idx="16">
                  <c:v>11</c:v>
                </c:pt>
                <c:pt idx="17">
                  <c:v>28</c:v>
                </c:pt>
                <c:pt idx="18">
                  <c:v>28</c:v>
                </c:pt>
                <c:pt idx="19">
                  <c:v>38</c:v>
                </c:pt>
                <c:pt idx="20">
                  <c:v>45</c:v>
                </c:pt>
                <c:pt idx="21">
                  <c:v>27</c:v>
                </c:pt>
                <c:pt idx="22">
                  <c:v>15</c:v>
                </c:pt>
                <c:pt idx="23">
                  <c:v>7</c:v>
                </c:pt>
                <c:pt idx="24">
                  <c:v>12</c:v>
                </c:pt>
                <c:pt idx="25">
                  <c:v>3</c:v>
                </c:pt>
                <c:pt idx="26">
                  <c:v>3</c:v>
                </c:pt>
                <c:pt idx="27">
                  <c:v>1</c:v>
                </c:pt>
                <c:pt idx="28">
                  <c:v>0</c:v>
                </c:pt>
              </c:numCache>
            </c:numRef>
          </c:yVal>
          <c:smooth val="1"/>
        </c:ser>
        <c:ser>
          <c:idx val="8"/>
          <c:order val="8"/>
          <c:tx>
            <c:strRef>
              <c:f>'Human infections'!$C$43:$D$43</c:f>
              <c:strCache>
                <c:ptCount val="1"/>
                <c:pt idx="0">
                  <c:v>2004</c:v>
                </c:pt>
              </c:strCache>
            </c:strRef>
          </c:tx>
          <c:marker>
            <c:symbol val="none"/>
          </c:marker>
          <c:xVal>
            <c:numRef>
              <c:f>'Human infections'!$E$34:$AG$34</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xVal>
          <c:yVal>
            <c:numRef>
              <c:f>'Human infections'!$E$43:$AG$43</c:f>
              <c:numCache>
                <c:formatCode>General</c:formatCode>
                <c:ptCount val="29"/>
                <c:pt idx="0">
                  <c:v>0</c:v>
                </c:pt>
                <c:pt idx="1">
                  <c:v>0</c:v>
                </c:pt>
                <c:pt idx="2">
                  <c:v>0</c:v>
                </c:pt>
                <c:pt idx="3">
                  <c:v>0</c:v>
                </c:pt>
                <c:pt idx="4">
                  <c:v>0</c:v>
                </c:pt>
                <c:pt idx="5">
                  <c:v>0</c:v>
                </c:pt>
                <c:pt idx="6">
                  <c:v>0</c:v>
                </c:pt>
                <c:pt idx="7">
                  <c:v>0</c:v>
                </c:pt>
                <c:pt idx="8">
                  <c:v>0</c:v>
                </c:pt>
                <c:pt idx="9">
                  <c:v>1</c:v>
                </c:pt>
                <c:pt idx="10">
                  <c:v>0</c:v>
                </c:pt>
                <c:pt idx="11">
                  <c:v>0</c:v>
                </c:pt>
                <c:pt idx="12">
                  <c:v>0</c:v>
                </c:pt>
                <c:pt idx="13">
                  <c:v>1</c:v>
                </c:pt>
                <c:pt idx="14">
                  <c:v>2</c:v>
                </c:pt>
                <c:pt idx="15">
                  <c:v>6</c:v>
                </c:pt>
                <c:pt idx="16">
                  <c:v>4</c:v>
                </c:pt>
                <c:pt idx="17">
                  <c:v>2</c:v>
                </c:pt>
                <c:pt idx="18">
                  <c:v>3</c:v>
                </c:pt>
                <c:pt idx="19">
                  <c:v>2</c:v>
                </c:pt>
                <c:pt idx="20">
                  <c:v>1</c:v>
                </c:pt>
                <c:pt idx="21">
                  <c:v>1</c:v>
                </c:pt>
                <c:pt idx="22">
                  <c:v>1</c:v>
                </c:pt>
                <c:pt idx="23">
                  <c:v>0</c:v>
                </c:pt>
                <c:pt idx="24">
                  <c:v>0</c:v>
                </c:pt>
                <c:pt idx="25">
                  <c:v>1</c:v>
                </c:pt>
                <c:pt idx="26">
                  <c:v>0</c:v>
                </c:pt>
                <c:pt idx="27">
                  <c:v>0</c:v>
                </c:pt>
                <c:pt idx="28">
                  <c:v>0</c:v>
                </c:pt>
              </c:numCache>
            </c:numRef>
          </c:yVal>
          <c:smooth val="1"/>
        </c:ser>
        <c:ser>
          <c:idx val="9"/>
          <c:order val="9"/>
          <c:tx>
            <c:strRef>
              <c:f>'Human infections'!$C$44:$D$44</c:f>
              <c:strCache>
                <c:ptCount val="1"/>
                <c:pt idx="0">
                  <c:v>2003</c:v>
                </c:pt>
              </c:strCache>
            </c:strRef>
          </c:tx>
          <c:marker>
            <c:symbol val="none"/>
          </c:marker>
          <c:xVal>
            <c:numRef>
              <c:f>'Human infections'!$E$34:$AG$34</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xVal>
          <c:yVal>
            <c:numRef>
              <c:f>'Human infections'!$E$44:$AG$44</c:f>
              <c:numCache>
                <c:formatCode>General</c:formatCode>
                <c:ptCount val="29"/>
                <c:pt idx="0">
                  <c:v>0</c:v>
                </c:pt>
                <c:pt idx="1">
                  <c:v>0</c:v>
                </c:pt>
                <c:pt idx="2">
                  <c:v>0</c:v>
                </c:pt>
                <c:pt idx="3">
                  <c:v>0</c:v>
                </c:pt>
                <c:pt idx="4">
                  <c:v>0</c:v>
                </c:pt>
                <c:pt idx="5">
                  <c:v>0</c:v>
                </c:pt>
                <c:pt idx="6">
                  <c:v>0</c:v>
                </c:pt>
                <c:pt idx="7">
                  <c:v>0</c:v>
                </c:pt>
                <c:pt idx="8">
                  <c:v>0</c:v>
                </c:pt>
                <c:pt idx="9">
                  <c:v>1</c:v>
                </c:pt>
                <c:pt idx="10">
                  <c:v>1</c:v>
                </c:pt>
                <c:pt idx="11">
                  <c:v>1</c:v>
                </c:pt>
                <c:pt idx="12">
                  <c:v>5</c:v>
                </c:pt>
                <c:pt idx="13">
                  <c:v>11</c:v>
                </c:pt>
                <c:pt idx="14">
                  <c:v>9</c:v>
                </c:pt>
                <c:pt idx="15">
                  <c:v>27</c:v>
                </c:pt>
                <c:pt idx="16">
                  <c:v>66</c:v>
                </c:pt>
                <c:pt idx="17">
                  <c:v>249</c:v>
                </c:pt>
                <c:pt idx="18">
                  <c:v>323</c:v>
                </c:pt>
                <c:pt idx="19">
                  <c:v>324</c:v>
                </c:pt>
                <c:pt idx="20">
                  <c:v>178</c:v>
                </c:pt>
                <c:pt idx="21">
                  <c:v>107</c:v>
                </c:pt>
                <c:pt idx="22">
                  <c:v>82</c:v>
                </c:pt>
                <c:pt idx="23">
                  <c:v>37</c:v>
                </c:pt>
                <c:pt idx="24">
                  <c:v>14</c:v>
                </c:pt>
                <c:pt idx="25">
                  <c:v>8</c:v>
                </c:pt>
                <c:pt idx="26">
                  <c:v>4</c:v>
                </c:pt>
                <c:pt idx="27">
                  <c:v>3</c:v>
                </c:pt>
                <c:pt idx="28">
                  <c:v>0</c:v>
                </c:pt>
              </c:numCache>
            </c:numRef>
          </c:yVal>
          <c:smooth val="1"/>
        </c:ser>
        <c:dLbls/>
        <c:axId val="104910208"/>
        <c:axId val="104818176"/>
      </c:scatterChart>
      <c:valAx>
        <c:axId val="104910208"/>
        <c:scaling>
          <c:orientation val="minMax"/>
          <c:min val="17"/>
        </c:scaling>
        <c:axPos val="b"/>
        <c:title>
          <c:tx>
            <c:rich>
              <a:bodyPr/>
              <a:lstStyle/>
              <a:p>
                <a:pPr>
                  <a:defRPr/>
                </a:pPr>
                <a:r>
                  <a:rPr lang="en-US"/>
                  <a:t>Report Weeks</a:t>
                </a:r>
                <a:r>
                  <a:rPr lang="en-US" baseline="0"/>
                  <a:t> of 2012</a:t>
                </a:r>
                <a:endParaRPr lang="en-US"/>
              </a:p>
            </c:rich>
          </c:tx>
        </c:title>
        <c:numFmt formatCode="General" sourceLinked="1"/>
        <c:minorTickMark val="in"/>
        <c:tickLblPos val="nextTo"/>
        <c:crossAx val="104818176"/>
        <c:crosses val="autoZero"/>
        <c:crossBetween val="midCat"/>
        <c:majorUnit val="1"/>
        <c:minorUnit val="1"/>
      </c:valAx>
      <c:valAx>
        <c:axId val="104818176"/>
        <c:scaling>
          <c:orientation val="minMax"/>
          <c:max val="500"/>
          <c:min val="0"/>
        </c:scaling>
        <c:axPos val="l"/>
        <c:title>
          <c:tx>
            <c:rich>
              <a:bodyPr rot="-5400000" vert="horz"/>
              <a:lstStyle/>
              <a:p>
                <a:pPr>
                  <a:defRPr/>
                </a:pPr>
                <a:r>
                  <a:rPr lang="en-US"/>
                  <a:t>Counts</a:t>
                </a:r>
              </a:p>
            </c:rich>
          </c:tx>
        </c:title>
        <c:numFmt formatCode="General" sourceLinked="1"/>
        <c:tickLblPos val="nextTo"/>
        <c:crossAx val="104910208"/>
        <c:crosses val="autoZero"/>
        <c:crossBetween val="midCat"/>
      </c:valAx>
    </c:plotArea>
    <c:legend>
      <c:legendPos val="r"/>
      <c:layout>
        <c:manualLayout>
          <c:xMode val="edge"/>
          <c:yMode val="edge"/>
          <c:x val="0.10334328048643962"/>
          <c:y val="0.14203999494069477"/>
          <c:w val="0.24546190506802862"/>
          <c:h val="0.46632492715035767"/>
        </c:manualLayout>
      </c:layout>
      <c:txPr>
        <a:bodyPr/>
        <a:lstStyle/>
        <a:p>
          <a:pPr>
            <a:defRPr sz="1400"/>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34"/>
  <c:chart>
    <c:autoTitleDeleted val="1"/>
    <c:plotArea>
      <c:layout>
        <c:manualLayout>
          <c:layoutTarget val="inner"/>
          <c:xMode val="edge"/>
          <c:yMode val="edge"/>
          <c:x val="5.071863645944346E-2"/>
          <c:y val="3.1127519913603591E-2"/>
          <c:w val="0.93313260337149551"/>
          <c:h val="0.84662430146200141"/>
        </c:manualLayout>
      </c:layout>
      <c:barChart>
        <c:barDir val="col"/>
        <c:grouping val="stacked"/>
        <c:ser>
          <c:idx val="0"/>
          <c:order val="0"/>
          <c:tx>
            <c:strRef>
              <c:f>'Dead birds'!$C$7:$D$7</c:f>
              <c:strCache>
                <c:ptCount val="1"/>
                <c:pt idx="0">
                  <c:v>Newfoundland</c:v>
                </c:pt>
              </c:strCache>
            </c:strRef>
          </c:tx>
          <c:cat>
            <c:numRef>
              <c:f>'Dead birds'!$E$6:$AG$6</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'Dead birds'!$E$24:$AG$24</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1"/>
          <c:order val="1"/>
          <c:tx>
            <c:strRef>
              <c:f>'Dead birds'!$C$8:$D$8</c:f>
              <c:strCache>
                <c:ptCount val="1"/>
                <c:pt idx="0">
                  <c:v>Prince Edward Island</c:v>
                </c:pt>
              </c:strCache>
            </c:strRef>
          </c:tx>
          <c:cat>
            <c:numRef>
              <c:f>'Dead birds'!$E$6:$AG$6</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'Dead birds'!$E$25:$AG$25</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2"/>
          <c:order val="2"/>
          <c:tx>
            <c:strRef>
              <c:f>'Dead birds'!$C$9:$D$9</c:f>
              <c:strCache>
                <c:ptCount val="1"/>
                <c:pt idx="0">
                  <c:v>Nova Scotia</c:v>
                </c:pt>
              </c:strCache>
            </c:strRef>
          </c:tx>
          <c:cat>
            <c:numRef>
              <c:f>'Dead birds'!$E$6:$AG$6</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'Dead birds'!$E$26:$AG$26</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3"/>
          <c:order val="3"/>
          <c:tx>
            <c:strRef>
              <c:f>'Dead birds'!$C$11:$D$11</c:f>
              <c:strCache>
                <c:ptCount val="1"/>
                <c:pt idx="0">
                  <c:v>Quebec</c:v>
                </c:pt>
              </c:strCache>
            </c:strRef>
          </c:tx>
          <c:cat>
            <c:numRef>
              <c:f>'Dead birds'!$E$6:$AG$6</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'Dead birds'!$E$28:$AG$28</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2</c:v>
                </c:pt>
                <c:pt idx="12">
                  <c:v>0</c:v>
                </c:pt>
                <c:pt idx="13">
                  <c:v>0</c:v>
                </c:pt>
                <c:pt idx="14">
                  <c:v>1</c:v>
                </c:pt>
                <c:pt idx="15">
                  <c:v>5</c:v>
                </c:pt>
                <c:pt idx="16">
                  <c:v>2</c:v>
                </c:pt>
                <c:pt idx="17">
                  <c:v>5</c:v>
                </c:pt>
                <c:pt idx="18">
                  <c:v>8</c:v>
                </c:pt>
                <c:pt idx="19">
                  <c:v>1</c:v>
                </c:pt>
                <c:pt idx="20">
                  <c:v>6</c:v>
                </c:pt>
                <c:pt idx="21">
                  <c:v>0</c:v>
                </c:pt>
                <c:pt idx="22">
                  <c:v>0</c:v>
                </c:pt>
              </c:numCache>
            </c:numRef>
          </c:val>
        </c:ser>
        <c:ser>
          <c:idx val="4"/>
          <c:order val="4"/>
          <c:tx>
            <c:strRef>
              <c:f>'Dead birds'!$C$12:$D$12</c:f>
              <c:strCache>
                <c:ptCount val="1"/>
                <c:pt idx="0">
                  <c:v>Ontario</c:v>
                </c:pt>
              </c:strCache>
            </c:strRef>
          </c:tx>
          <c:cat>
            <c:numRef>
              <c:f>'Dead birds'!$E$6:$AG$6</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'Dead birds'!$E$29:$AG$29</c:f>
              <c:numCache>
                <c:formatCode>General</c:formatCode>
                <c:ptCount val="29"/>
                <c:pt idx="0">
                  <c:v>0</c:v>
                </c:pt>
                <c:pt idx="1">
                  <c:v>0</c:v>
                </c:pt>
                <c:pt idx="2">
                  <c:v>0</c:v>
                </c:pt>
                <c:pt idx="3">
                  <c:v>0</c:v>
                </c:pt>
                <c:pt idx="4">
                  <c:v>0</c:v>
                </c:pt>
                <c:pt idx="5">
                  <c:v>0</c:v>
                </c:pt>
                <c:pt idx="6">
                  <c:v>0</c:v>
                </c:pt>
                <c:pt idx="7">
                  <c:v>0</c:v>
                </c:pt>
                <c:pt idx="8">
                  <c:v>0</c:v>
                </c:pt>
                <c:pt idx="9">
                  <c:v>0</c:v>
                </c:pt>
                <c:pt idx="10">
                  <c:v>1</c:v>
                </c:pt>
                <c:pt idx="11">
                  <c:v>3</c:v>
                </c:pt>
                <c:pt idx="12">
                  <c:v>1</c:v>
                </c:pt>
                <c:pt idx="13">
                  <c:v>2</c:v>
                </c:pt>
                <c:pt idx="14">
                  <c:v>1</c:v>
                </c:pt>
                <c:pt idx="15">
                  <c:v>1</c:v>
                </c:pt>
                <c:pt idx="16">
                  <c:v>8</c:v>
                </c:pt>
                <c:pt idx="17">
                  <c:v>4</c:v>
                </c:pt>
                <c:pt idx="18">
                  <c:v>0</c:v>
                </c:pt>
                <c:pt idx="19">
                  <c:v>0</c:v>
                </c:pt>
                <c:pt idx="20">
                  <c:v>2</c:v>
                </c:pt>
                <c:pt idx="21">
                  <c:v>4</c:v>
                </c:pt>
                <c:pt idx="22">
                  <c:v>0</c:v>
                </c:pt>
              </c:numCache>
            </c:numRef>
          </c:val>
        </c:ser>
        <c:ser>
          <c:idx val="5"/>
          <c:order val="5"/>
          <c:tx>
            <c:strRef>
              <c:f>'Dead birds'!$C$13:$D$13</c:f>
              <c:strCache>
                <c:ptCount val="1"/>
                <c:pt idx="0">
                  <c:v>Manitoba</c:v>
                </c:pt>
              </c:strCache>
            </c:strRef>
          </c:tx>
          <c:cat>
            <c:numRef>
              <c:f>'Dead birds'!$E$6:$AG$6</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'Dead birds'!$E$30:$AG$30</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6"/>
          <c:order val="6"/>
          <c:tx>
            <c:strRef>
              <c:f>'Dead birds'!$C$14:$D$14</c:f>
              <c:strCache>
                <c:ptCount val="1"/>
                <c:pt idx="0">
                  <c:v>Saskatchewan</c:v>
                </c:pt>
              </c:strCache>
            </c:strRef>
          </c:tx>
          <c:cat>
            <c:numRef>
              <c:f>'Dead birds'!$E$6:$AG$6</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'Dead birds'!$E$31:$AG$31</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0</c:v>
                </c:pt>
                <c:pt idx="16">
                  <c:v>0</c:v>
                </c:pt>
                <c:pt idx="17">
                  <c:v>0</c:v>
                </c:pt>
                <c:pt idx="18">
                  <c:v>0</c:v>
                </c:pt>
                <c:pt idx="19">
                  <c:v>0</c:v>
                </c:pt>
                <c:pt idx="20">
                  <c:v>0</c:v>
                </c:pt>
                <c:pt idx="21">
                  <c:v>0</c:v>
                </c:pt>
                <c:pt idx="22">
                  <c:v>0</c:v>
                </c:pt>
              </c:numCache>
            </c:numRef>
          </c:val>
        </c:ser>
        <c:ser>
          <c:idx val="7"/>
          <c:order val="7"/>
          <c:tx>
            <c:strRef>
              <c:f>'Dead birds'!$C$15:$D$15</c:f>
              <c:strCache>
                <c:ptCount val="1"/>
                <c:pt idx="0">
                  <c:v>Alberta</c:v>
                </c:pt>
              </c:strCache>
            </c:strRef>
          </c:tx>
          <c:cat>
            <c:numRef>
              <c:f>'Dead birds'!$E$6:$AG$6</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'Dead birds'!$E$32:$AG$32</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8"/>
          <c:order val="8"/>
          <c:tx>
            <c:strRef>
              <c:f>'Dead birds'!$C$16:$D$16</c:f>
              <c:strCache>
                <c:ptCount val="1"/>
                <c:pt idx="0">
                  <c:v>British Columbia</c:v>
                </c:pt>
              </c:strCache>
            </c:strRef>
          </c:tx>
          <c:cat>
            <c:numRef>
              <c:f>'Dead birds'!$E$6:$AG$6</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'Dead birds'!$E$33:$AG$33</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9"/>
          <c:order val="9"/>
          <c:tx>
            <c:strRef>
              <c:f>'Dead birds'!$C$17:$D$17</c:f>
              <c:strCache>
                <c:ptCount val="1"/>
                <c:pt idx="0">
                  <c:v>Yukon Territory</c:v>
                </c:pt>
              </c:strCache>
            </c:strRef>
          </c:tx>
          <c:cat>
            <c:numRef>
              <c:f>'Dead birds'!$E$6:$AG$6</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'Dead birds'!$E$34:$AG$34</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10"/>
          <c:order val="10"/>
          <c:tx>
            <c:strRef>
              <c:f>'Dead birds'!$C$18:$D$18</c:f>
              <c:strCache>
                <c:ptCount val="1"/>
                <c:pt idx="0">
                  <c:v>Northwest Territory</c:v>
                </c:pt>
              </c:strCache>
            </c:strRef>
          </c:tx>
          <c:cat>
            <c:numRef>
              <c:f>'Dead birds'!$E$6:$AG$6</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'Dead birds'!$E$35:$AG$35</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11"/>
          <c:order val="11"/>
          <c:tx>
            <c:strRef>
              <c:f>'Dead birds'!$C$19:$D$19</c:f>
              <c:strCache>
                <c:ptCount val="1"/>
                <c:pt idx="0">
                  <c:v>Nunavut</c:v>
                </c:pt>
              </c:strCache>
            </c:strRef>
          </c:tx>
          <c:cat>
            <c:numRef>
              <c:f>'Dead birds'!$E$6:$AG$6</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'Dead birds'!$E$36:$AG$36</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12"/>
          <c:order val="12"/>
          <c:tx>
            <c:v>New Brunswick</c:v>
          </c:tx>
          <c:cat>
            <c:numRef>
              <c:f>'Dead birds'!$E$6:$AG$6</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'Dead birds'!$E$27:$AG$27</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dLbls/>
        <c:overlap val="100"/>
        <c:axId val="104970880"/>
        <c:axId val="104993536"/>
      </c:barChart>
      <c:catAx>
        <c:axId val="104970880"/>
        <c:scaling>
          <c:orientation val="minMax"/>
        </c:scaling>
        <c:axPos val="b"/>
        <c:title>
          <c:tx>
            <c:rich>
              <a:bodyPr/>
              <a:lstStyle/>
              <a:p>
                <a:pPr>
                  <a:defRPr/>
                </a:pPr>
                <a:r>
                  <a:rPr lang="en-US"/>
                  <a:t>Report week of 2012</a:t>
                </a:r>
              </a:p>
            </c:rich>
          </c:tx>
          <c:layout/>
        </c:title>
        <c:numFmt formatCode="General" sourceLinked="1"/>
        <c:tickLblPos val="nextTo"/>
        <c:crossAx val="104993536"/>
        <c:crosses val="autoZero"/>
        <c:auto val="1"/>
        <c:lblAlgn val="ctr"/>
        <c:lblOffset val="100"/>
      </c:catAx>
      <c:valAx>
        <c:axId val="104993536"/>
        <c:scaling>
          <c:orientation val="minMax"/>
          <c:max val="20"/>
          <c:min val="0"/>
        </c:scaling>
        <c:axPos val="l"/>
        <c:title>
          <c:tx>
            <c:rich>
              <a:bodyPr rot="-5400000" vert="horz"/>
              <a:lstStyle/>
              <a:p>
                <a:pPr>
                  <a:defRPr/>
                </a:pPr>
                <a:r>
                  <a:rPr lang="en-US"/>
                  <a:t>Counts</a:t>
                </a:r>
              </a:p>
            </c:rich>
          </c:tx>
          <c:layout/>
        </c:title>
        <c:numFmt formatCode="General" sourceLinked="1"/>
        <c:tickLblPos val="nextTo"/>
        <c:crossAx val="104970880"/>
        <c:crosses val="autoZero"/>
        <c:crossBetween val="between"/>
      </c:valAx>
      <c:spPr>
        <a:noFill/>
      </c:spPr>
    </c:plotArea>
    <c:legend>
      <c:legendPos val="r"/>
      <c:layout>
        <c:manualLayout>
          <c:xMode val="edge"/>
          <c:yMode val="edge"/>
          <c:x val="7.0189030451935294E-2"/>
          <c:y val="7.087950682239158E-2"/>
          <c:w val="0.32322345003958747"/>
          <c:h val="0.37982626832184951"/>
        </c:manualLayout>
      </c:layout>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autoTitleDeleted val="1"/>
    <c:plotArea>
      <c:layout>
        <c:manualLayout>
          <c:layoutTarget val="inner"/>
          <c:xMode val="edge"/>
          <c:yMode val="edge"/>
          <c:x val="8.3303048657379378E-2"/>
          <c:y val="5.1647044612921945E-2"/>
          <c:w val="0.89144992020736658"/>
          <c:h val="0.76977757561446114"/>
        </c:manualLayout>
      </c:layout>
      <c:barChart>
        <c:barDir val="col"/>
        <c:grouping val="clustered"/>
        <c:ser>
          <c:idx val="0"/>
          <c:order val="0"/>
          <c:tx>
            <c:strRef>
              <c:f>'Dead birds'!$C$46:$D$46</c:f>
              <c:strCache>
                <c:ptCount val="1"/>
                <c:pt idx="0">
                  <c:v>Percentage positive 2012</c:v>
                </c:pt>
              </c:strCache>
            </c:strRef>
          </c:tx>
          <c:spPr>
            <a:solidFill>
              <a:srgbClr val="FF0000"/>
            </a:solidFill>
            <a:ln w="25400" cmpd="sng"/>
          </c:spPr>
          <c:cat>
            <c:numRef>
              <c:f>'Dead birds'!$E$6:$AG$6</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'Dead birds'!$E$46:$AG$46</c:f>
              <c:numCache>
                <c:formatCode>0</c:formatCode>
                <c:ptCount val="29"/>
                <c:pt idx="0">
                  <c:v>0</c:v>
                </c:pt>
                <c:pt idx="1">
                  <c:v>0</c:v>
                </c:pt>
                <c:pt idx="2">
                  <c:v>0</c:v>
                </c:pt>
                <c:pt idx="3">
                  <c:v>0</c:v>
                </c:pt>
                <c:pt idx="4">
                  <c:v>0</c:v>
                </c:pt>
                <c:pt idx="5">
                  <c:v>0</c:v>
                </c:pt>
                <c:pt idx="6">
                  <c:v>0</c:v>
                </c:pt>
                <c:pt idx="7">
                  <c:v>0</c:v>
                </c:pt>
                <c:pt idx="8">
                  <c:v>0</c:v>
                </c:pt>
                <c:pt idx="9">
                  <c:v>0</c:v>
                </c:pt>
                <c:pt idx="10">
                  <c:v>33.333333333333329</c:v>
                </c:pt>
                <c:pt idx="11">
                  <c:v>66.666666666666657</c:v>
                </c:pt>
                <c:pt idx="12">
                  <c:v>50</c:v>
                </c:pt>
                <c:pt idx="13">
                  <c:v>66.666666666666657</c:v>
                </c:pt>
                <c:pt idx="14">
                  <c:v>33.333333333333329</c:v>
                </c:pt>
                <c:pt idx="15">
                  <c:v>50</c:v>
                </c:pt>
                <c:pt idx="16">
                  <c:v>76.92307692307692</c:v>
                </c:pt>
                <c:pt idx="17">
                  <c:v>69.230769230769212</c:v>
                </c:pt>
                <c:pt idx="18">
                  <c:v>66.666666666666657</c:v>
                </c:pt>
                <c:pt idx="19">
                  <c:v>33.333333333333329</c:v>
                </c:pt>
                <c:pt idx="20">
                  <c:v>61.53846153846154</c:v>
                </c:pt>
                <c:pt idx="21">
                  <c:v>80</c:v>
                </c:pt>
                <c:pt idx="22">
                  <c:v>0</c:v>
                </c:pt>
                <c:pt idx="23" formatCode="General">
                  <c:v>0</c:v>
                </c:pt>
                <c:pt idx="24" formatCode="General">
                  <c:v>0</c:v>
                </c:pt>
                <c:pt idx="25" formatCode="General">
                  <c:v>0</c:v>
                </c:pt>
                <c:pt idx="26" formatCode="General">
                  <c:v>0</c:v>
                </c:pt>
                <c:pt idx="27" formatCode="General">
                  <c:v>0</c:v>
                </c:pt>
                <c:pt idx="28" formatCode="General">
                  <c:v>0</c:v>
                </c:pt>
              </c:numCache>
            </c:numRef>
          </c:val>
        </c:ser>
        <c:ser>
          <c:idx val="1"/>
          <c:order val="1"/>
          <c:tx>
            <c:strRef>
              <c:f>'Dead birds'!$C$47:$D$47</c:f>
              <c:strCache>
                <c:ptCount val="1"/>
                <c:pt idx="0">
                  <c:v>Percentage positive 2011</c:v>
                </c:pt>
              </c:strCache>
            </c:strRef>
          </c:tx>
          <c:spPr>
            <a:solidFill>
              <a:srgbClr val="FFC000"/>
            </a:solidFill>
          </c:spPr>
          <c:cat>
            <c:numRef>
              <c:f>'Dead birds'!$E$6:$AG$6</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'Dead birds'!$E$47:$AG$47</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0</c:v>
                </c:pt>
                <c:pt idx="12">
                  <c:v>33.300000000000011</c:v>
                </c:pt>
                <c:pt idx="13">
                  <c:v>25</c:v>
                </c:pt>
                <c:pt idx="14">
                  <c:v>100</c:v>
                </c:pt>
                <c:pt idx="15">
                  <c:v>63</c:v>
                </c:pt>
                <c:pt idx="16">
                  <c:v>42</c:v>
                </c:pt>
                <c:pt idx="17">
                  <c:v>100</c:v>
                </c:pt>
                <c:pt idx="18">
                  <c:v>0</c:v>
                </c:pt>
                <c:pt idx="19">
                  <c:v>0</c:v>
                </c:pt>
                <c:pt idx="20">
                  <c:v>0</c:v>
                </c:pt>
                <c:pt idx="21">
                  <c:v>0</c:v>
                </c:pt>
                <c:pt idx="22">
                  <c:v>0</c:v>
                </c:pt>
                <c:pt idx="23">
                  <c:v>0</c:v>
                </c:pt>
                <c:pt idx="24">
                  <c:v>0</c:v>
                </c:pt>
                <c:pt idx="25">
                  <c:v>0</c:v>
                </c:pt>
                <c:pt idx="26">
                  <c:v>0</c:v>
                </c:pt>
                <c:pt idx="27">
                  <c:v>0</c:v>
                </c:pt>
                <c:pt idx="28">
                  <c:v>0</c:v>
                </c:pt>
              </c:numCache>
            </c:numRef>
          </c:val>
        </c:ser>
        <c:ser>
          <c:idx val="2"/>
          <c:order val="2"/>
          <c:tx>
            <c:strRef>
              <c:f>'Dead birds'!$C$48:$D$48</c:f>
              <c:strCache>
                <c:ptCount val="1"/>
                <c:pt idx="0">
                  <c:v>Percentage positive 2003</c:v>
                </c:pt>
              </c:strCache>
            </c:strRef>
          </c:tx>
          <c:spPr>
            <a:solidFill>
              <a:srgbClr val="92D050"/>
            </a:solidFill>
          </c:spPr>
          <c:cat>
            <c:numRef>
              <c:f>'Dead birds'!$E$6:$AG$6</c:f>
              <c:numCache>
                <c:formatCode>General</c:formatCode>
                <c:ptCount val="29"/>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numCache>
            </c:numRef>
          </c:cat>
          <c:val>
            <c:numRef>
              <c:f>'Dead birds'!$E$48:$AG$48</c:f>
              <c:numCache>
                <c:formatCode>General</c:formatCode>
                <c:ptCount val="29"/>
                <c:pt idx="0">
                  <c:v>0</c:v>
                </c:pt>
                <c:pt idx="1">
                  <c:v>0</c:v>
                </c:pt>
                <c:pt idx="2">
                  <c:v>0.62500000000000011</c:v>
                </c:pt>
                <c:pt idx="3">
                  <c:v>0</c:v>
                </c:pt>
                <c:pt idx="4">
                  <c:v>1.3888888888888891</c:v>
                </c:pt>
                <c:pt idx="5">
                  <c:v>1.3333333333333333</c:v>
                </c:pt>
                <c:pt idx="6">
                  <c:v>1.2195121951219512</c:v>
                </c:pt>
                <c:pt idx="7">
                  <c:v>0.60240963855421703</c:v>
                </c:pt>
                <c:pt idx="8">
                  <c:v>1.1111111111111114</c:v>
                </c:pt>
                <c:pt idx="9">
                  <c:v>3.1645569620253173</c:v>
                </c:pt>
                <c:pt idx="10">
                  <c:v>3.010752688172043</c:v>
                </c:pt>
                <c:pt idx="11">
                  <c:v>6.219630709426629</c:v>
                </c:pt>
                <c:pt idx="12">
                  <c:v>6.720977596741343</c:v>
                </c:pt>
                <c:pt idx="13">
                  <c:v>10.218978102189778</c:v>
                </c:pt>
                <c:pt idx="14">
                  <c:v>16.859504132231404</c:v>
                </c:pt>
                <c:pt idx="15">
                  <c:v>21.202003338898162</c:v>
                </c:pt>
                <c:pt idx="16">
                  <c:v>38.263665594855311</c:v>
                </c:pt>
                <c:pt idx="17">
                  <c:v>34.6938775510204</c:v>
                </c:pt>
                <c:pt idx="18">
                  <c:v>42.901234567901227</c:v>
                </c:pt>
                <c:pt idx="19">
                  <c:v>46.453900709219852</c:v>
                </c:pt>
                <c:pt idx="20">
                  <c:v>44.839857651245531</c:v>
                </c:pt>
                <c:pt idx="21">
                  <c:v>44.912280701754369</c:v>
                </c:pt>
                <c:pt idx="22">
                  <c:v>58.467741935483872</c:v>
                </c:pt>
                <c:pt idx="23">
                  <c:v>28.571428571428573</c:v>
                </c:pt>
                <c:pt idx="24">
                  <c:v>20</c:v>
                </c:pt>
                <c:pt idx="25">
                  <c:v>15.492957746478872</c:v>
                </c:pt>
                <c:pt idx="26">
                  <c:v>8</c:v>
                </c:pt>
                <c:pt idx="27">
                  <c:v>0</c:v>
                </c:pt>
                <c:pt idx="28">
                  <c:v>0</c:v>
                </c:pt>
              </c:numCache>
            </c:numRef>
          </c:val>
        </c:ser>
        <c:dLbls/>
        <c:gapWidth val="23"/>
        <c:overlap val="1"/>
        <c:axId val="105028608"/>
        <c:axId val="105047168"/>
      </c:barChart>
      <c:catAx>
        <c:axId val="105028608"/>
        <c:scaling>
          <c:orientation val="minMax"/>
        </c:scaling>
        <c:axPos val="b"/>
        <c:title>
          <c:tx>
            <c:rich>
              <a:bodyPr/>
              <a:lstStyle/>
              <a:p>
                <a:pPr>
                  <a:defRPr/>
                </a:pPr>
                <a:r>
                  <a:rPr lang="en-US"/>
                  <a:t>Report week of 2012</a:t>
                </a:r>
              </a:p>
            </c:rich>
          </c:tx>
          <c:layout/>
        </c:title>
        <c:numFmt formatCode="General" sourceLinked="1"/>
        <c:tickLblPos val="nextTo"/>
        <c:crossAx val="105047168"/>
        <c:crosses val="autoZero"/>
        <c:auto val="1"/>
        <c:lblAlgn val="ctr"/>
        <c:lblOffset val="100"/>
      </c:catAx>
      <c:valAx>
        <c:axId val="105047168"/>
        <c:scaling>
          <c:orientation val="minMax"/>
          <c:max val="100"/>
          <c:min val="0"/>
        </c:scaling>
        <c:axPos val="l"/>
        <c:title>
          <c:tx>
            <c:rich>
              <a:bodyPr rot="-5400000" vert="horz"/>
              <a:lstStyle/>
              <a:p>
                <a:pPr>
                  <a:defRPr/>
                </a:pPr>
                <a:r>
                  <a:rPr lang="en-US"/>
                  <a:t>percentage of positive results</a:t>
                </a:r>
              </a:p>
            </c:rich>
          </c:tx>
          <c:layout/>
        </c:title>
        <c:numFmt formatCode="0" sourceLinked="1"/>
        <c:tickLblPos val="nextTo"/>
        <c:crossAx val="105028608"/>
        <c:crosses val="autoZero"/>
        <c:crossBetween val="between"/>
      </c:valAx>
    </c:plotArea>
    <c:legend>
      <c:legendPos val="r"/>
      <c:layout>
        <c:manualLayout>
          <c:xMode val="edge"/>
          <c:yMode val="edge"/>
          <c:x val="7.1173122204851752E-2"/>
          <c:y val="0.13730006199970599"/>
          <c:w val="0.2847849161673186"/>
          <c:h val="0.26849259316893537"/>
        </c:manualLayout>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8</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Abdool S. Yasseen</dc:creator>
  <cp:keywords/>
  <dc:description/>
  <cp:lastModifiedBy>Louis Hebert</cp:lastModifiedBy>
  <cp:revision>135</cp:revision>
  <cp:lastPrinted>2012-10-05T15:49:00Z</cp:lastPrinted>
  <dcterms:created xsi:type="dcterms:W3CDTF">2012-08-31T18:13:00Z</dcterms:created>
  <dcterms:modified xsi:type="dcterms:W3CDTF">2012-10-05T18:33:00Z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nPrepV4.3.2">
    <vt:lpwstr>10/5/2012 3:29:46 PM</vt:lpwstr>
  </property>
</Properties>
</file>