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Risk Digital Twin – AI Risk Intelligence Reference Architecture (V2)</w:t>
      </w:r>
    </w:p>
    <w:p>
      <w:pPr>
        <w:pStyle w:val="Heading2"/>
      </w:pPr>
      <w:r>
        <w:t>1. Architecture Vision</w:t>
      </w:r>
    </w:p>
    <w:p>
      <w:r>
        <w:t>The platform should separate data collection, AI understanding, risk assessment and business decision support. Every connector, regardless of technology, produces the same canonical pipeline so that dashboards and AI services remain independent of individual data sources.</w:t>
      </w:r>
    </w:p>
    <w:p>
      <w:pPr>
        <w:pStyle w:val="Heading2"/>
      </w:pPr>
      <w:r>
        <w:t>2. Logical Component Architecture</w:t>
      </w:r>
    </w:p>
    <w:p>
      <w:r>
        <w:br/>
        <w:t>+------------------+      +------------------+      +----------------------+</w:t>
        <w:br/>
        <w:t>| Information      | ---&gt; | Connector        | ---&gt; | Raw Record Store     |</w:t>
        <w:br/>
        <w:t>| Sources          |      | (RSS/API/File)   |      | (Cosmos + Blob)      |</w:t>
        <w:br/>
        <w:t>+------------------+      +------------------+      +----------+-----------+</w:t>
        <w:br/>
        <w:t xml:space="preserve">                                                              |</w:t>
        <w:br/>
        <w:t xml:space="preserve">                                                              v</w:t>
        <w:br/>
        <w:t xml:space="preserve">                                                   +----------------------+</w:t>
        <w:br/>
        <w:t xml:space="preserve">                                                   | AI Enrichment        |</w:t>
        <w:br/>
        <w:t xml:space="preserve">                                                   | LLM + NLP + Rules    |</w:t>
        <w:br/>
        <w:t xml:space="preserve">                                                   +----------+-----------+</w:t>
        <w:br/>
        <w:t xml:space="preserve">                                                              |</w:t>
        <w:br/>
        <w:t xml:space="preserve">                                                              v</w:t>
        <w:br/>
        <w:t xml:space="preserve">                                                   +----------------------+</w:t>
        <w:br/>
        <w:t xml:space="preserve">                                                   | Risk Classification  |</w:t>
        <w:br/>
        <w:t xml:space="preserve">                                                   | Categories           |</w:t>
        <w:br/>
        <w:t xml:space="preserve">                                                   | Objectives           |</w:t>
        <w:br/>
        <w:t xml:space="preserve">                                                   +----------+-----------+</w:t>
        <w:br/>
        <w:t xml:space="preserve">                                                              |</w:t>
        <w:br/>
        <w:t xml:space="preserve">                                                              v</w:t>
        <w:br/>
        <w:t xml:space="preserve">                                                   +----------------------+</w:t>
        <w:br/>
        <w:t xml:space="preserve">                                                   | Alerts &amp; Dashboards  |</w:t>
        <w:br/>
        <w:t xml:space="preserve">                                                   +----------------------+</w:t>
        <w:br/>
      </w:r>
    </w:p>
    <w:p>
      <w:pPr>
        <w:pStyle w:val="Heading2"/>
      </w:pPr>
      <w:r>
        <w:t>3. Canonical Data Pipeline</w:t>
      </w:r>
    </w:p>
    <w:p>
      <w:r>
        <w:br/>
        <w:t>Information Source</w:t>
        <w:br/>
        <w:t xml:space="preserve">        ↓</w:t>
        <w:br/>
        <w:t>Connector</w:t>
        <w:br/>
        <w:t xml:space="preserve">        ↓</w:t>
        <w:br/>
        <w:t>Raw Record</w:t>
        <w:br/>
        <w:t xml:space="preserve">        ↓</w:t>
        <w:br/>
        <w:t>Deduplication</w:t>
        <w:br/>
        <w:t xml:space="preserve">        ↓</w:t>
        <w:br/>
        <w:t>AI Enrichment</w:t>
        <w:br/>
        <w:t xml:space="preserve">        ↓</w:t>
        <w:br/>
        <w:t>Risk Signals</w:t>
        <w:br/>
        <w:t xml:space="preserve">        ↓</w:t>
        <w:br/>
        <w:t>Monitoring Objective</w:t>
        <w:br/>
        <w:t xml:space="preserve">        ↓</w:t>
        <w:br/>
        <w:t>Dashboard / AI Recommendations</w:t>
        <w:br/>
      </w:r>
    </w:p>
    <w:p>
      <w:pPr>
        <w:pStyle w:val="Heading2"/>
      </w:pPr>
      <w:r>
        <w:t>4. Canonical Data Model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Entity</w:t>
            </w:r>
          </w:p>
        </w:tc>
        <w:tc>
          <w:tcPr>
            <w:tcW w:type="dxa" w:w="2160"/>
          </w:tcPr>
          <w:p>
            <w:r>
              <w:t>Purpose</w:t>
            </w:r>
          </w:p>
        </w:tc>
        <w:tc>
          <w:tcPr>
            <w:tcW w:type="dxa" w:w="2160"/>
          </w:tcPr>
          <w:p>
            <w:r>
              <w:t>Key Metadata</w:t>
            </w:r>
          </w:p>
        </w:tc>
        <w:tc>
          <w:tcPr>
            <w:tcW w:type="dxa" w:w="2160"/>
          </w:tcPr>
          <w:p>
            <w:r>
              <w:t>Retention</w:t>
            </w:r>
          </w:p>
        </w:tc>
      </w:tr>
      <w:tr>
        <w:tc>
          <w:tcPr>
            <w:tcW w:type="dxa" w:w="2160"/>
          </w:tcPr>
          <w:p>
            <w:r>
              <w:t>InformationSource</w:t>
            </w:r>
          </w:p>
        </w:tc>
        <w:tc>
          <w:tcPr>
            <w:tcW w:type="dxa" w:w="2160"/>
          </w:tcPr>
          <w:p>
            <w:r>
              <w:t>Defines monitored system</w:t>
            </w:r>
          </w:p>
        </w:tc>
        <w:tc>
          <w:tcPr>
            <w:tcW w:type="dxa" w:w="2160"/>
          </w:tcPr>
          <w:p>
            <w:r>
              <w:t>name,type,status,connector</w:t>
            </w:r>
          </w:p>
        </w:tc>
        <w:tc>
          <w:tcPr>
            <w:tcW w:type="dxa" w:w="2160"/>
          </w:tcPr>
          <w:p>
            <w:r>
              <w:t>Permanent</w:t>
            </w:r>
          </w:p>
        </w:tc>
      </w:tr>
      <w:tr>
        <w:tc>
          <w:tcPr>
            <w:tcW w:type="dxa" w:w="2160"/>
          </w:tcPr>
          <w:p>
            <w:r>
              <w:t>RawRecord</w:t>
            </w:r>
          </w:p>
        </w:tc>
        <w:tc>
          <w:tcPr>
            <w:tcW w:type="dxa" w:w="2160"/>
          </w:tcPr>
          <w:p>
            <w:r>
              <w:t>Original evidence</w:t>
            </w:r>
          </w:p>
        </w:tc>
        <w:tc>
          <w:tcPr>
            <w:tcW w:type="dxa" w:w="2160"/>
          </w:tcPr>
          <w:p>
            <w:r>
              <w:t>sourceId,publishedAt,rawPayload,hash</w:t>
            </w:r>
          </w:p>
        </w:tc>
        <w:tc>
          <w:tcPr>
            <w:tcW w:type="dxa" w:w="2160"/>
          </w:tcPr>
          <w:p>
            <w:r>
              <w:t>Policy based</w:t>
            </w:r>
          </w:p>
        </w:tc>
      </w:tr>
      <w:tr>
        <w:tc>
          <w:tcPr>
            <w:tcW w:type="dxa" w:w="2160"/>
          </w:tcPr>
          <w:p>
            <w:r>
              <w:t>AIEnrichment</w:t>
            </w:r>
          </w:p>
        </w:tc>
        <w:tc>
          <w:tcPr>
            <w:tcW w:type="dxa" w:w="2160"/>
          </w:tcPr>
          <w:p>
            <w:r>
              <w:t>Extracted meaning</w:t>
            </w:r>
          </w:p>
        </w:tc>
        <w:tc>
          <w:tcPr>
            <w:tcW w:type="dxa" w:w="2160"/>
          </w:tcPr>
          <w:p>
            <w:r>
              <w:t>entities,topics,sentiment,confidence</w:t>
            </w:r>
          </w:p>
        </w:tc>
        <w:tc>
          <w:tcPr>
            <w:tcW w:type="dxa" w:w="2160"/>
          </w:tcPr>
          <w:p>
            <w:r>
              <w:t>Re-creatable</w:t>
            </w:r>
          </w:p>
        </w:tc>
      </w:tr>
      <w:tr>
        <w:tc>
          <w:tcPr>
            <w:tcW w:type="dxa" w:w="2160"/>
          </w:tcPr>
          <w:p>
            <w:r>
              <w:t>RiskSignal</w:t>
            </w:r>
          </w:p>
        </w:tc>
        <w:tc>
          <w:tcPr>
            <w:tcW w:type="dxa" w:w="2160"/>
          </w:tcPr>
          <w:p>
            <w:r>
              <w:t>Business interpretation</w:t>
            </w:r>
          </w:p>
        </w:tc>
        <w:tc>
          <w:tcPr>
            <w:tcW w:type="dxa" w:w="2160"/>
          </w:tcPr>
          <w:p>
            <w:r>
              <w:t>severity,impact,objective</w:t>
            </w:r>
          </w:p>
        </w:tc>
        <w:tc>
          <w:tcPr>
            <w:tcW w:type="dxa" w:w="2160"/>
          </w:tcPr>
          <w:p>
            <w:r>
              <w:t>Permanent</w:t>
            </w:r>
          </w:p>
        </w:tc>
      </w:tr>
      <w:tr>
        <w:tc>
          <w:tcPr>
            <w:tcW w:type="dxa" w:w="2160"/>
          </w:tcPr>
          <w:p>
            <w:r>
              <w:t>MonitoringObjective</w:t>
            </w:r>
          </w:p>
        </w:tc>
        <w:tc>
          <w:tcPr>
            <w:tcW w:type="dxa" w:w="2160"/>
          </w:tcPr>
          <w:p>
            <w:r>
              <w:t>Business focus</w:t>
            </w:r>
          </w:p>
        </w:tc>
        <w:tc>
          <w:tcPr>
            <w:tcW w:type="dxa" w:w="2160"/>
          </w:tcPr>
          <w:p>
            <w:r>
              <w:t>owner,risk category,threshold</w:t>
            </w:r>
          </w:p>
        </w:tc>
        <w:tc>
          <w:tcPr>
            <w:tcW w:type="dxa" w:w="2160"/>
          </w:tcPr>
          <w:p>
            <w:r>
              <w:t>Permanent</w:t>
            </w:r>
          </w:p>
        </w:tc>
      </w:tr>
    </w:tbl>
    <w:p>
      <w:pPr>
        <w:pStyle w:val="Heading2"/>
      </w:pPr>
      <w:r>
        <w:t>5. Azure Storage Strategy</w:t>
      </w:r>
    </w:p>
    <w:p>
      <w:r>
        <w:t>Cosmos DB</w:t>
        <w:br/>
        <w:t>• InformationSource</w:t>
        <w:br/>
        <w:t>• ConnectorDefinition</w:t>
        <w:br/>
        <w:t>• RawRecord metadata</w:t>
        <w:br/>
        <w:t>• AIEnrichment</w:t>
        <w:br/>
        <w:t>• RiskSignal</w:t>
        <w:br/>
        <w:t>• MonitoringObjective</w:t>
        <w:br/>
        <w:br/>
        <w:t>Azure Blob Storage</w:t>
        <w:br/>
        <w:t>• Original documents</w:t>
        <w:br/>
        <w:t>• PDF reports</w:t>
        <w:br/>
        <w:t>• Images</w:t>
        <w:br/>
        <w:t>• Large JSON/XML payloads</w:t>
        <w:br/>
        <w:t>• Email attachments</w:t>
        <w:br/>
        <w:br/>
        <w:t>Azure AI</w:t>
        <w:br/>
        <w:t>• Summarisation</w:t>
        <w:br/>
        <w:t>• Entity extraction</w:t>
        <w:br/>
        <w:t>• Classification</w:t>
        <w:br/>
        <w:t>• Risk assessment</w:t>
        <w:br/>
        <w:t>• Recommendations</w:t>
      </w:r>
    </w:p>
    <w:p>
      <w:pPr>
        <w:pStyle w:val="Heading2"/>
      </w:pPr>
      <w:r>
        <w:t>6. Processing Flow</w:t>
      </w:r>
    </w:p>
    <w:p>
      <w:r>
        <w:br/>
        <w:t>1. Connector polls or receives data.</w:t>
        <w:br/>
        <w:t>2. Raw Record is stored unchanged.</w:t>
        <w:br/>
        <w:t>3. Duplicate detection using payload hash.</w:t>
        <w:br/>
        <w:t>4. AI enriches the record.</w:t>
        <w:br/>
        <w:t>5. One record may generate multiple Risk Signals.</w:t>
        <w:br/>
        <w:t>6. Risk Signals are matched to Monitoring Objectives.</w:t>
        <w:br/>
        <w:t>7. Dashboards and alerts are updated.</w:t>
        <w:br/>
      </w:r>
    </w:p>
    <w:p>
      <w:pPr>
        <w:pStyle w:val="Heading2"/>
      </w:pPr>
      <w:r>
        <w:t>7. Example – YLE News</w:t>
      </w:r>
    </w:p>
    <w:p>
      <w:r>
        <w:t>YLE RSS/API</w:t>
        <w:br/>
        <w:t xml:space="preserve">        ↓</w:t>
        <w:br/>
        <w:t>Raw Record</w:t>
        <w:br/>
        <w:t xml:space="preserve">        ↓</w:t>
        <w:br/>
        <w:t>AI extracts:</w:t>
        <w:br/>
        <w:t>• Organisations</w:t>
        <w:br/>
        <w:t>• Countries</w:t>
        <w:br/>
        <w:t>• Topics</w:t>
        <w:br/>
        <w:t>• Sentiment</w:t>
        <w:br/>
        <w:t xml:space="preserve">        ↓</w:t>
        <w:br/>
        <w:t>Risk Signals:</w:t>
        <w:br/>
        <w:t>• Supply Chain</w:t>
        <w:br/>
        <w:t>• Labour</w:t>
        <w:br/>
        <w:t>• Political</w:t>
        <w:br/>
        <w:t xml:space="preserve">        ↓</w:t>
        <w:br/>
        <w:t>Monitoring Objectives:</w:t>
        <w:br/>
        <w:t>• Supplier Stability</w:t>
        <w:br/>
        <w:t>• Logistics</w:t>
        <w:br/>
        <w:t>• Political Risk</w:t>
      </w:r>
    </w:p>
    <w:p>
      <w:pPr>
        <w:pStyle w:val="Heading2"/>
      </w:pPr>
      <w:r>
        <w:t>8. Design Principles</w:t>
      </w:r>
    </w:p>
    <w:p>
      <w:pPr>
        <w:pStyle w:val="ListBullet"/>
      </w:pPr>
      <w:r>
        <w:t>Connectors only collect data.</w:t>
      </w:r>
    </w:p>
    <w:p>
      <w:pPr>
        <w:pStyle w:val="ListBullet"/>
      </w:pPr>
      <w:r>
        <w:t>Never lose original evidence.</w:t>
      </w:r>
    </w:p>
    <w:p>
      <w:pPr>
        <w:pStyle w:val="ListBullet"/>
      </w:pPr>
      <w:r>
        <w:t>AI enriches but does not replace raw data.</w:t>
      </w:r>
    </w:p>
    <w:p>
      <w:pPr>
        <w:pStyle w:val="ListBullet"/>
      </w:pPr>
      <w:r>
        <w:t>Risk Signals are reusable across dashboards.</w:t>
      </w:r>
    </w:p>
    <w:p>
      <w:pPr>
        <w:pStyle w:val="ListBullet"/>
      </w:pPr>
      <w:r>
        <w:t>Monitoring Objectives consume Risk Signals rather than connector-specific outputs.</w:t>
      </w:r>
    </w:p>
    <w:p>
      <w:pPr>
        <w:pStyle w:val="ListBullet"/>
      </w:pPr>
      <w:r>
        <w:t>New connectors should require no changes to dashboards or business logic.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