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Industrial projects, graph applications, self-supervised time series, vision models and signal processing</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Siemens Gamesa: Probabilistic drivetrain configuration and kinematics identification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Remaining useful life prediction for aircraft engines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Very light to 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Illicit Bitcoin transaction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Graph-based movie recommendation with accuracy and coverage</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Molecular HIV activity prediction with calibrated GNNs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3.6</w:t>
            </w:r>
          </w:p>
        </w:tc>
        <w:tc>
          <w:tcPr>
            <w:tcW w:type="dxa" w:w="2438"/>
            <w:shd w:fill="F4F6F8"/>
            <w:tcMar>
              <w:top w:w="70" w:type="dxa"/>
              <w:start w:w="110" w:type="dxa"/>
              <w:bottom w:w="70" w:type="dxa"/>
              <w:end w:w="110" w:type="dxa"/>
            </w:tcMar>
          </w:tcPr>
          <w:p>
            <w:pPr>
              <w:spacing w:after="0" w:line="240" w:lineRule="auto"/>
            </w:pPr>
            <w:r>
              <w:t>Time–frequency contrastive Mamba for cross-condition bearing diagnosis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3.7</w:t>
            </w:r>
          </w:p>
        </w:tc>
        <w:tc>
          <w:tcPr>
            <w:tcW w:type="dxa" w:w="2438"/>
            <w:shd w:fill="FFFFFF"/>
            <w:tcMar>
              <w:top w:w="70" w:type="dxa"/>
              <w:start w:w="110" w:type="dxa"/>
              <w:bottom w:w="70" w:type="dxa"/>
              <w:end w:w="110" w:type="dxa"/>
            </w:tcMar>
          </w:tcPr>
          <w:p>
            <w:pPr>
              <w:spacing w:after="0" w:line="240" w:lineRule="auto"/>
            </w:pPr>
            <w:r>
              <w:t>Correlation-graph Mamba for order-robust multivariate forecasting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 on Weather</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4.2</w:t>
            </w:r>
          </w:p>
        </w:tc>
        <w:tc>
          <w:tcPr>
            <w:tcW w:type="dxa" w:w="2438"/>
            <w:shd w:fill="FFFFFF"/>
            <w:tcMar>
              <w:top w:w="70" w:type="dxa"/>
              <w:start w:w="110" w:type="dxa"/>
              <w:bottom w:w="70" w:type="dxa"/>
              <w:end w:w="110" w:type="dxa"/>
            </w:tcMar>
          </w:tcPr>
          <w:p>
            <w:pPr>
              <w:spacing w:after="0" w:line="240" w:lineRule="auto"/>
            </w:pPr>
            <w:r>
              <w:t>Adapting DINOv3 for robust abdominal CT segmentation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Moderate for BSc and moderate to high for MSc</w:t>
            </w:r>
          </w:p>
        </w:tc>
      </w:tr>
      <w:tr>
        <w:trPr>
          <w:cantSplit/>
        </w:trPr>
        <w:tc>
          <w:tcPr>
            <w:tcW w:type="dxa" w:w="2438"/>
            <w:shd w:fill="F4F6F8"/>
            <w:tcMar>
              <w:top w:w="70" w:type="dxa"/>
              <w:start w:w="110" w:type="dxa"/>
              <w:bottom w:w="70" w:type="dxa"/>
              <w:end w:w="110" w:type="dxa"/>
            </w:tcMar>
          </w:tcPr>
          <w:p>
            <w:pPr>
              <w:spacing w:after="0" w:line="240" w:lineRule="auto"/>
            </w:pPr>
            <w:r>
              <w:t>4.3</w:t>
            </w:r>
          </w:p>
        </w:tc>
        <w:tc>
          <w:tcPr>
            <w:tcW w:type="dxa" w:w="2438"/>
            <w:shd w:fill="F4F6F8"/>
            <w:tcMar>
              <w:top w:w="70" w:type="dxa"/>
              <w:start w:w="110" w:type="dxa"/>
              <w:bottom w:w="70" w:type="dxa"/>
              <w:end w:w="110" w:type="dxa"/>
            </w:tcMar>
          </w:tcPr>
          <w:p>
            <w:pPr>
              <w:spacing w:after="0" w:line="240" w:lineRule="auto"/>
            </w:pPr>
            <w:r>
              <w:t>Federated knowledge distillation for medical image denoising</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Industrial projects: machine learning + signal processing</w:t>
      </w:r>
    </w:p>
    <w:p>
      <w:pPr>
        <w:spacing w:before="0" w:after="100" w:line="254" w:lineRule="auto"/>
      </w:pPr>
      <w:r>
        <w:t>These projects are developed with Siemens Gamesa and Tetra Pak using non-public operational data. At the start of each project, the student, supervisor and partner will confirm the available data, downstream task and permitted outputs.</w:t>
      </w:r>
    </w:p>
    <w:p>
      <w:pPr>
        <w:spacing w:before="0" w:after="100" w:line="254" w:lineRule="auto"/>
      </w:pPr>
      <w:r>
        <w:t>All three are primarily Master projects. A reduced Bachelor version can be offered when a prepared dataset and fixed task are available. The Bachelor project implements and compares established methods; the Master project adds a new representation, feature design or evaluation question.</w:t>
      </w:r>
    </w:p>
    <w:p>
      <w:pPr>
        <w:spacing w:before="0" w:after="100" w:line="254" w:lineRule="auto"/>
      </w:pPr>
      <w:r>
        <w:rPr>
          <w:b/>
        </w:rPr>
        <w:t>Evaluation split.</w:t>
      </w:r>
      <w:r>
        <w:t xml:space="preserve"> Keep all measurements from one turbine or filtration cycle in the same split. A held-out site or production line can be used as an additional Master-level transfer test when enough data are available.</w:t>
      </w:r>
    </w:p>
    <w:p>
      <w:pPr>
        <w:pStyle w:val="Heading2"/>
      </w:pPr>
      <w:r>
        <w:t>Learn first and find ideas</w:t>
      </w:r>
    </w:p>
    <w:p>
      <w:pPr>
        <w:pStyle w:val="ListBullet"/>
        <w:spacing w:before="0" w:after="40" w:line="254" w:lineRule="auto"/>
      </w:pPr>
      <w:r>
        <w:t xml:space="preserve">Operational-state discovery: </w:t>
      </w:r>
      <w:hyperlink r:id="rId13">
        <w:r>
          <w:rPr>
            <w:color w:val="2F5597"/>
            <w:u w:val="single"/>
          </w:rPr>
          <w:t>TS2Vec</w:t>
        </w:r>
      </w:hyperlink>
      <w:r>
        <w:t xml:space="preserve">, clustering with </w:t>
      </w:r>
      <w:hyperlink r:id="rId14">
        <w:r>
          <w:rPr>
            <w:color w:val="2F5597"/>
            <w:u w:val="single"/>
          </w:rPr>
          <w:t>scikit-learn</w:t>
        </w:r>
      </w:hyperlink>
      <w:r>
        <w:t xml:space="preserve">, and the </w:t>
      </w:r>
      <w:hyperlink r:id="rId15">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16">
        <w:r>
          <w:rPr>
            <w:color w:val="2F5597"/>
            <w:u w:val="single"/>
          </w:rPr>
          <w:t>MiniRocket</w:t>
        </w:r>
      </w:hyperlink>
      <w:r>
        <w:t xml:space="preserve">, </w:t>
      </w:r>
      <w:hyperlink r:id="rId17">
        <w:r>
          <w:rPr>
            <w:color w:val="2F5597"/>
            <w:u w:val="single"/>
          </w:rPr>
          <w:t>InceptionTime</w:t>
        </w:r>
      </w:hyperlink>
      <w:r>
        <w:t xml:space="preserve"> and the </w:t>
      </w:r>
      <w:hyperlink r:id="rId18">
        <w:r>
          <w:rPr>
            <w:color w:val="2F5597"/>
            <w:u w:val="single"/>
          </w:rPr>
          <w:t>sktime toolkit</w:t>
        </w:r>
      </w:hyperlink>
      <w:r>
        <w:t>.</w:t>
      </w:r>
    </w:p>
    <w:p>
      <w:pPr>
        <w:pStyle w:val="ListBullet"/>
        <w:spacing w:before="0" w:after="40" w:line="254" w:lineRule="auto"/>
      </w:pPr>
      <w:r>
        <w:t xml:space="preserve">Representation learning and non-stationarity: </w:t>
      </w:r>
      <w:hyperlink r:id="rId19">
        <w:r>
          <w:rPr>
            <w:color w:val="2F5597"/>
            <w:u w:val="single"/>
          </w:rPr>
          <w:t>TS2Vec</w:t>
        </w:r>
      </w:hyperlink>
      <w:r>
        <w:t xml:space="preserve">, </w:t>
      </w:r>
      <w:hyperlink r:id="rId20">
        <w:r>
          <w:rPr>
            <w:color w:val="2F5597"/>
            <w:u w:val="single"/>
          </w:rPr>
          <w:t>TS-TCC</w:t>
        </w:r>
      </w:hyperlink>
      <w:r>
        <w:t xml:space="preserve"> and </w:t>
      </w:r>
      <w:hyperlink r:id="rId21">
        <w:r>
          <w:rPr>
            <w:color w:val="2F5597"/>
            <w:u w:val="single"/>
          </w:rPr>
          <w:t>SimMTM</w:t>
        </w:r>
      </w:hyperlink>
      <w:r>
        <w:t>.</w:t>
      </w:r>
    </w:p>
    <w:p>
      <w:r>
        <w:br w:type="page"/>
      </w:r>
    </w:p>
    <w:p>
      <w:pPr>
        <w:pStyle w:val="Heading2"/>
        <w:spacing w:after="140"/>
      </w:pPr>
      <w:r>
        <w:t>Project 1.1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 Where possible, the discovered operating states should be interpreted in relation to known turbine operating regimes, controller actions, or structural and aerodynamic phenomena.</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19">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Do not judge the result only by silhouette score or a two-dimensional plot. A useful state should be repeatable, physically interpretable where possible,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1.2  Siemens Gamesa: Probabilistic drivetrain configuration and kinematics identification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Probabilistic ranking of candidate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22">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measured vibration and operational data can narrow the set of plausible configurations and provide probabilities or confidence estimates for the candidates, rather than requiring a single fixed assignment.</w:t>
      </w:r>
    </w:p>
    <w:p>
      <w:pPr>
        <w:spacing w:before="0" w:after="100" w:line="254" w:lineRule="auto"/>
      </w:pPr>
      <w:r>
        <w:rPr>
          <w:b/>
          <w:color w:val="25313C"/>
        </w:rPr>
        <w:t xml:space="preserve">Project goal. </w:t>
      </w:r>
      <w:r>
        <w:t>Use vibration and operational measurements to determine whether fixed drivetrain hardware variants can be distinguished and, when candidate configurations are known, rank the most plausible configurations for each turbine. Verified configuration information for a subset of turbines or components will be used to validate and calibrate the rankings. As an optional physics-informed extension, condition the model on known bearing or drivetrain kinematics and test whether relationships learned from well-documented components can be transferred to more complex components with limited labels.</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probabilistic ranking study requires enough independent turbines for each candidate configuration.</w:t>
      </w:r>
    </w:p>
    <w:p>
      <w:pPr>
        <w:spacing w:before="0" w:after="100" w:line="254" w:lineRule="auto"/>
      </w:pPr>
      <w:r>
        <w:rPr>
          <w:b/>
          <w:color w:val="25313C"/>
        </w:rPr>
        <w:t xml:space="preserve">Methods and code. </w:t>
      </w:r>
      <w:r>
        <w:t xml:space="preserve">Begin with a probabilistic baseline such as multinomial logistic regression, or a random-forest or gradient-boosting model that outputs candidate probabilities, using the supplied spectral and operational features. If sequences or spectra are available, compare </w:t>
      </w:r>
      <w:hyperlink r:id="rId23">
        <w:r>
          <w:rPr>
            <w:color w:val="2F5597"/>
            <w:u w:val="single"/>
          </w:rPr>
          <w:t>MiniRocket</w:t>
        </w:r>
      </w:hyperlink>
      <w:r>
        <w:t xml:space="preserve">, </w:t>
      </w:r>
      <w:hyperlink r:id="rId24">
        <w:r>
          <w:rPr>
            <w:color w:val="2F5597"/>
            <w:u w:val="single"/>
          </w:rPr>
          <w:t>InceptionTime</w:t>
        </w:r>
      </w:hyperlink>
      <w:r>
        <w:t xml:space="preserve"> or a compact 1-D CNN, followed by probability calibration when needed. If speed and component geometry are available, add order-domain or characteristic-frequency features as a physics-informed extension. An advanced extension can condition the model on known kinematic parameters so that it learns how vibration patterns relate to machine properties rather than merely memorising component identities.</w:t>
      </w:r>
    </w:p>
    <w:p>
      <w:pPr>
        <w:spacing w:before="0" w:after="100" w:line="254" w:lineRule="auto"/>
      </w:pPr>
      <w:r>
        <w:rPr>
          <w:b/>
          <w:color w:val="25313C"/>
        </w:rPr>
        <w:t xml:space="preserve">Baselines and evaluation. </w:t>
      </w:r>
      <w:r>
        <w:t>Compare prior-probability and operational-metadata baselines with feature-based and learned vibration models. Treat the output as a ranked probability distribution over candidate configurations rather than only a fixed assignment. Split by turbine; use a site-grouped test only if the data contain enough sites and classes. Report balanced accuracy and macro-F1 for the highest-ranked candidate, top-k candidate recall, and a probabilistic score such as log loss or the Brier score. Also report calibration and coverage: how often can the system make an automatic decision above a chosen confidence threshold, and how often is that decision correct?</w:t>
      </w:r>
    </w:p>
    <w:p>
      <w:pPr>
        <w:spacing w:before="0" w:after="100" w:line="254" w:lineRule="auto"/>
      </w:pPr>
      <w:r>
        <w:rPr>
          <w:b/>
          <w:color w:val="25313C"/>
        </w:rPr>
        <w:t xml:space="preserve">Practical notes. </w:t>
      </w:r>
      <w:r>
        <w:t>This project is feasible only if enough turbines have reliable configuration labels for training and validation. Configuration may also correlate with site, turbine age or rating, so these variables must be examined before attributing performance to vibration signatures. A physics-informed transfer study from well-labelled components to complex components with limited labels is a valuable MSc extension, but it depends on having both known kinematic parameters and a credible target-component test set.</w:t>
      </w:r>
    </w:p>
    <w:p>
      <w:pPr>
        <w:pStyle w:val="Heading3"/>
      </w:pPr>
      <w:r>
        <w:t>Bachelor scope</w:t>
      </w:r>
    </w:p>
    <w:p>
      <w:pPr>
        <w:spacing w:before="0" w:after="100" w:line="254" w:lineRule="auto"/>
      </w:pPr>
      <w:r>
        <w:rPr>
          <w:b/>
        </w:rPr>
        <w:t>Bachelor version.</w:t>
      </w:r>
      <w:r>
        <w:t xml:space="preserve"> Using a prepared feature table and verified configuration labels, compare one probabilistic classifier with the metadata-only baseline on turbine-grouped splits. Report both the highest-ranked classification result and whether the true configuration appears among the top candidate configurations.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vibration and operational measurements narrow the set of plausible drivetrain configurations and provide calibrated confidence estimates beyond what operational metadata already reveals?</w:t>
      </w:r>
      <w:r>
        <w:t xml:space="preserve"> The contribution may be a calibrated candidate-ranking method, a physics-informed feature set or a model conditioned on kinematic information. Include a metadata-only control and analyse performance across operating conditions.</w:t>
      </w:r>
    </w:p>
    <w:p>
      <w:r>
        <w:br w:type="page"/>
      </w:r>
    </w:p>
    <w:p>
      <w:pPr>
        <w:pStyle w:val="Heading2"/>
        <w:spacing w:after="140"/>
      </w:pPr>
      <w:r>
        <w:t>Project 1.3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19">
        <w:r>
          <w:rPr>
            <w:color w:val="2F5597"/>
            <w:u w:val="single"/>
          </w:rPr>
          <w:t>TS2Vec</w:t>
        </w:r>
      </w:hyperlink>
      <w:r>
        <w:t xml:space="preserve">, </w:t>
      </w:r>
      <w:hyperlink r:id="rId20">
        <w:r>
          <w:rPr>
            <w:color w:val="2F5597"/>
            <w:u w:val="single"/>
          </w:rPr>
          <w:t>TS-TCC</w:t>
        </w:r>
      </w:hyperlink>
      <w:r>
        <w:t xml:space="preserve"> or </w:t>
      </w:r>
      <w:hyperlink r:id="rId21">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25">
        <w:r>
          <w:rPr>
            <w:color w:val="2F5597"/>
            <w:u w:val="single"/>
          </w:rPr>
          <w:t>shared protocol for self-supervised projects</w:t>
        </w:r>
      </w:hyperlink>
      <w:r>
        <w:t>.</w:t>
      </w:r>
    </w:p>
    <w:p>
      <w:pPr>
        <w:pStyle w:val="Heading3"/>
      </w:pPr>
      <w:r>
        <w:t>Bachelor scope</w:t>
      </w:r>
    </w:p>
    <w:p>
      <w:pPr>
        <w:spacing w:before="0" w:after="100" w:line="254" w:lineRule="auto"/>
      </w:pPr>
      <w:r>
        <w:rPr>
          <w:b/>
        </w:rPr>
        <w:t>Bachelor version.</w:t>
      </w:r>
      <w:r>
        <w:t xml:space="preserve"> Using pre-segmented filtration cycles and a fixed downstream target, compare one statistical or supervised baseline with one established self-supervised method. Use cycle-grouped splits and evaluate a frozen representation with a small prediction head. Designing a new augmentation or representation is not required.</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Category 2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26">
        <w:r>
          <w:rPr>
            <w:color w:val="2F5597"/>
            <w:u w:val="single"/>
          </w:rPr>
          <w:t>A Gentle Introduction to Graph Neural Networks</w:t>
        </w:r>
      </w:hyperlink>
      <w:r>
        <w:t xml:space="preserve">, then use the </w:t>
      </w:r>
      <w:hyperlink r:id="rId27">
        <w:r>
          <w:rPr>
            <w:color w:val="2F5597"/>
            <w:u w:val="single"/>
          </w:rPr>
          <w:t>Stanford CS224W course and project guidance</w:t>
        </w:r>
      </w:hyperlink>
      <w:r>
        <w:t xml:space="preserve"> and the </w:t>
      </w:r>
      <w:hyperlink r:id="rId28">
        <w:r>
          <w:rPr>
            <w:color w:val="2F5597"/>
            <w:u w:val="single"/>
          </w:rPr>
          <w:t>CS224W project archive</w:t>
        </w:r>
      </w:hyperlink>
      <w:r>
        <w:t>.</w:t>
      </w:r>
    </w:p>
    <w:p>
      <w:pPr>
        <w:pStyle w:val="ListBullet"/>
        <w:spacing w:before="0" w:after="40" w:line="254" w:lineRule="auto"/>
      </w:pPr>
      <w:hyperlink r:id="rId29">
        <w:r>
          <w:rPr>
            <w:color w:val="2F5597"/>
            <w:u w:val="single"/>
          </w:rPr>
          <w:t>PyTorch Geometric dataset catalogue</w:t>
        </w:r>
      </w:hyperlink>
      <w:r>
        <w:t xml:space="preserve">, </w:t>
      </w:r>
      <w:hyperlink r:id="rId30">
        <w:r>
          <w:rPr>
            <w:color w:val="2F5597"/>
            <w:u w:val="single"/>
          </w:rPr>
          <w:t>Open Graph Benchmark</w:t>
        </w:r>
      </w:hyperlink>
      <w:r>
        <w:t xml:space="preserve">, </w:t>
      </w:r>
      <w:hyperlink r:id="rId31">
        <w:r>
          <w:rPr>
            <w:color w:val="2F5597"/>
            <w:u w:val="single"/>
          </w:rPr>
          <w:t>SNAP datasets</w:t>
        </w:r>
      </w:hyperlink>
      <w:r>
        <w:t xml:space="preserve"> and the </w:t>
      </w:r>
      <w:hyperlink r:id="rId32">
        <w:r>
          <w:rPr>
            <w:color w:val="2F5597"/>
            <w:u w:val="single"/>
          </w:rPr>
          <w:t>Temporal Graph Benchmark</w:t>
        </w:r>
      </w:hyperlink>
      <w:r>
        <w:t>.</w:t>
      </w:r>
    </w:p>
    <w:p>
      <w:pPr>
        <w:pStyle w:val="ListBullet"/>
        <w:spacing w:before="0" w:after="40" w:line="254" w:lineRule="auto"/>
      </w:pPr>
      <w:r>
        <w:t xml:space="preserve">Stanford examples: </w:t>
      </w:r>
      <w:hyperlink r:id="rId33">
        <w:r>
          <w:rPr>
            <w:color w:val="2F5597"/>
            <w:u w:val="single"/>
          </w:rPr>
          <w:t>traffic as a dynamic graph</w:t>
        </w:r>
      </w:hyperlink>
      <w:r>
        <w:t xml:space="preserve">, </w:t>
      </w:r>
      <w:hyperlink r:id="rId34">
        <w:r>
          <w:rPr>
            <w:color w:val="2F5597"/>
            <w:u w:val="single"/>
          </w:rPr>
          <w:t>water quality with RGCNs</w:t>
        </w:r>
      </w:hyperlink>
      <w:r>
        <w:t xml:space="preserve">, </w:t>
      </w:r>
      <w:hyperlink r:id="rId35">
        <w:r>
          <w:rPr>
            <w:color w:val="2F5597"/>
            <w:u w:val="single"/>
          </w:rPr>
          <w:t>fake-news detection</w:t>
        </w:r>
      </w:hyperlink>
      <w:r>
        <w:t xml:space="preserve"> and </w:t>
      </w:r>
      <w:hyperlink r:id="rId36">
        <w:r>
          <w:rPr>
            <w:color w:val="2F5597"/>
            <w:u w:val="single"/>
          </w:rPr>
          <w:t>NFT transaction prediction</w:t>
        </w:r>
      </w:hyperlink>
      <w:r>
        <w:t>.</w:t>
      </w:r>
    </w:p>
    <w:p>
      <w:r>
        <w:br w:type="page"/>
      </w:r>
    </w:p>
    <w:p>
      <w:pPr>
        <w:pStyle w:val="Heading2"/>
        <w:spacing w:after="140"/>
      </w:pPr>
      <w:r>
        <w:t>Project 2.1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7">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38">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39">
        <w:r>
          <w:rPr>
            <w:color w:val="2F5597"/>
            <w:u w:val="single"/>
          </w:rPr>
          <w:t>GNN RUL benchmark</w:t>
        </w:r>
      </w:hyperlink>
      <w:r>
        <w:t xml:space="preserve"> is a useful reference; a small </w:t>
      </w:r>
      <w:hyperlink r:id="rId40">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2.2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1">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42">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43">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2.3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4">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45">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40">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2.4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6">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47">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40">
        <w:r>
          <w:rPr>
            <w:color w:val="2F5597"/>
            <w:u w:val="single"/>
          </w:rPr>
          <w:t>PyTorch Geometric</w:t>
        </w:r>
      </w:hyperlink>
      <w:r>
        <w:t xml:space="preserve"> implementation is simpler than adapting the </w:t>
      </w:r>
      <w:hyperlink r:id="rId48">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2.5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9">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50">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30">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51">
        <w:r>
          <w:rPr>
            <w:color w:val="2F5597"/>
            <w:u w:val="single"/>
          </w:rPr>
          <w:t>RDKit</w:t>
        </w:r>
      </w:hyperlink>
      <w:r>
        <w:t xml:space="preserve"> against GCN and edge-aware GINE models. OGB and </w:t>
      </w:r>
      <w:hyperlink r:id="rId40">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3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20">
        <w:r>
          <w:rPr>
            <w:color w:val="2F5597"/>
            <w:u w:val="single"/>
          </w:rPr>
          <w:t>TS-TCC</w:t>
        </w:r>
      </w:hyperlink>
      <w:r>
        <w:t xml:space="preserve">, </w:t>
      </w:r>
      <w:hyperlink r:id="rId19">
        <w:r>
          <w:rPr>
            <w:color w:val="2F5597"/>
            <w:u w:val="single"/>
          </w:rPr>
          <w:t>TS2Vec</w:t>
        </w:r>
      </w:hyperlink>
      <w:r>
        <w:t xml:space="preserve">, </w:t>
      </w:r>
      <w:hyperlink r:id="rId52">
        <w:r>
          <w:rPr>
            <w:color w:val="2F5597"/>
            <w:u w:val="single"/>
          </w:rPr>
          <w:t>TF-C</w:t>
        </w:r>
      </w:hyperlink>
      <w:r>
        <w:t xml:space="preserve"> and </w:t>
      </w:r>
      <w:hyperlink r:id="rId21">
        <w:r>
          <w:rPr>
            <w:color w:val="2F5597"/>
            <w:u w:val="single"/>
          </w:rPr>
          <w:t>SimMTM</w:t>
        </w:r>
      </w:hyperlink>
      <w:r>
        <w:t>.</w:t>
      </w:r>
    </w:p>
    <w:p>
      <w:pPr>
        <w:pStyle w:val="ListBullet"/>
        <w:spacing w:before="0" w:after="40" w:line="254" w:lineRule="auto"/>
      </w:pPr>
      <w:r>
        <w:t xml:space="preserve">Data sources: </w:t>
      </w:r>
      <w:hyperlink r:id="rId53">
        <w:r>
          <w:rPr>
            <w:color w:val="2F5597"/>
            <w:u w:val="single"/>
          </w:rPr>
          <w:t>UCI Machine Learning Repository</w:t>
        </w:r>
      </w:hyperlink>
      <w:r>
        <w:t xml:space="preserve">, </w:t>
      </w:r>
      <w:hyperlink r:id="rId54">
        <w:r>
          <w:rPr>
            <w:color w:val="2F5597"/>
            <w:u w:val="single"/>
          </w:rPr>
          <w:t>PhysioNet</w:t>
        </w:r>
      </w:hyperlink>
      <w:r>
        <w:t xml:space="preserve">, </w:t>
      </w:r>
      <w:hyperlink r:id="rId55">
        <w:r>
          <w:rPr>
            <w:color w:val="2F5597"/>
            <w:u w:val="single"/>
          </w:rPr>
          <w:t>UCR/UEA archive</w:t>
        </w:r>
      </w:hyperlink>
      <w:r>
        <w:t xml:space="preserve">, </w:t>
      </w:r>
      <w:hyperlink r:id="rId56">
        <w:r>
          <w:rPr>
            <w:color w:val="2F5597"/>
            <w:u w:val="single"/>
          </w:rPr>
          <w:t>Monash forecasting archive</w:t>
        </w:r>
      </w:hyperlink>
      <w:r>
        <w:t xml:space="preserve"> and </w:t>
      </w:r>
      <w:hyperlink r:id="rId57">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8">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5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20">
        <w:r>
          <w:rPr>
            <w:color w:val="2F5597"/>
            <w:u w:val="single"/>
          </w:rPr>
          <w:t>TS-TCC</w:t>
        </w:r>
      </w:hyperlink>
      <w:r>
        <w:t xml:space="preserve"> or </w:t>
      </w:r>
      <w:hyperlink r:id="rId1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0">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61">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21">
        <w:r>
          <w:rPr>
            <w:color w:val="2F5597"/>
            <w:u w:val="single"/>
          </w:rPr>
          <w:t>SimMTM</w:t>
        </w:r>
      </w:hyperlink>
      <w:r>
        <w:t xml:space="preserve"> or </w:t>
      </w:r>
      <w:hyperlink r:id="rId19">
        <w:r>
          <w:rPr>
            <w:color w:val="2F5597"/>
            <w:u w:val="single"/>
          </w:rPr>
          <w:t>TS2Vec</w:t>
        </w:r>
      </w:hyperlink>
      <w:r>
        <w:t xml:space="preserve"> and a 1-D ResNet or compact Transformer. The </w:t>
      </w:r>
      <w:hyperlink r:id="rId62">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3">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64">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65">
        <w:r>
          <w:rPr>
            <w:color w:val="2F5597"/>
            <w:u w:val="single"/>
          </w:rPr>
          <w:t>CoST</w:t>
        </w:r>
      </w:hyperlink>
      <w:r>
        <w:t xml:space="preserve">, </w:t>
      </w:r>
      <w:hyperlink r:id="rId19">
        <w:r>
          <w:rPr>
            <w:color w:val="2F5597"/>
            <w:u w:val="single"/>
          </w:rPr>
          <w:t>TS2Vec</w:t>
        </w:r>
      </w:hyperlink>
      <w:r>
        <w:t xml:space="preserve"> or </w:t>
      </w:r>
      <w:hyperlink r:id="rId21">
        <w:r>
          <w:rPr>
            <w:color w:val="2F5597"/>
            <w:u w:val="single"/>
          </w:rPr>
          <w:t>SimMTM</w:t>
        </w:r>
      </w:hyperlink>
      <w:r>
        <w:t xml:space="preserve"> for pretraining. </w:t>
      </w:r>
      <w:hyperlink r:id="rId66">
        <w:r>
          <w:rPr>
            <w:color w:val="2F5597"/>
            <w:u w:val="single"/>
          </w:rPr>
          <w:t>DLinear</w:t>
        </w:r>
      </w:hyperlink>
      <w:r>
        <w:t xml:space="preserve"> is the required supervised reference; </w:t>
      </w:r>
      <w:hyperlink r:id="rId67">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8">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69">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70">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19">
        <w:r>
          <w:rPr>
            <w:color w:val="2F5597"/>
            <w:u w:val="single"/>
          </w:rPr>
          <w:t>TS2Vec</w:t>
        </w:r>
      </w:hyperlink>
      <w:r>
        <w:t xml:space="preserve"> or </w:t>
      </w:r>
      <w:hyperlink r:id="rId2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72">
              <w:r>
                <w:rPr>
                  <w:color w:val="2F5597"/>
                  <w:u w:val="single"/>
                </w:rPr>
                <w:t>GraphMAE</w:t>
              </w:r>
            </w:hyperlink>
            <w:r>
              <w:t xml:space="preserve">, KDD 2022 — </w:t>
            </w:r>
            <w:hyperlink r:id="rId73">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74">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73">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2"/>
        <w:spacing w:after="140"/>
      </w:pPr>
      <w:r>
        <w:t>Project 3.6  Time–frequency contrastive Mamba for cross-condition bearing diagnosis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fault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the processed dataset and a fixed comparison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32 bearings, four operating conditions, 64 kHz vibration,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Zhang et al., </w:t>
            </w:r>
            <w:hyperlink r:id="rId75">
              <w:r>
                <w:rPr>
                  <w:color w:val="2F5597"/>
                  <w:u w:val="single"/>
                </w:rPr>
                <w:t>TF-C</w:t>
              </w:r>
            </w:hyperlink>
            <w:r>
              <w:t xml:space="preserve">, NeurIPS 2022 — </w:t>
            </w:r>
            <w:hyperlink r:id="rId52">
              <w:r>
                <w:rPr>
                  <w:color w:val="2F5597"/>
                  <w:u w:val="single"/>
                </w:rPr>
                <w:t>official code</w:t>
              </w:r>
            </w:hyperlink>
          </w:p>
        </w:tc>
      </w:tr>
    </w:tbl>
    <w:p>
      <w:pPr>
        <w:spacing w:after="0"/>
      </w:pPr>
    </w:p>
    <w:p>
      <w:pPr>
        <w:spacing w:before="80" w:after="100" w:line="254" w:lineRule="auto"/>
      </w:pPr>
      <w:r>
        <w:rPr>
          <w:b/>
          <w:color w:val="25313C"/>
        </w:rPr>
        <w:t xml:space="preserve">What you will do. </w:t>
      </w:r>
      <w:r>
        <w:t>Use Mamba as the temporal encoder in TF-C, which learns jointly from time- and frequency-domain views. Test whether the resulting representation transfers between bearing operating conditions when only a small labelled set is available.</w:t>
      </w:r>
    </w:p>
    <w:p>
      <w:pPr>
        <w:spacing w:before="0" w:after="100" w:line="254" w:lineRule="auto"/>
      </w:pPr>
      <w:r>
        <w:rPr>
          <w:b/>
          <w:color w:val="25313C"/>
        </w:rPr>
        <w:t xml:space="preserve">Data. </w:t>
      </w:r>
      <w:r>
        <w:t>The official Paderborn archive contains vibration, motor current, speed, torque and radial load for six healthy, twelve artificially damaged and fourteen naturally damaged bearings. Begin with the processed FD-A and FD-B subsets provided through the TF-C repository. For the final evaluation, group the split by physical bearing or recording so overlapping windows cannot occur in both training and test sets.</w:t>
      </w:r>
    </w:p>
    <w:p>
      <w:pPr>
        <w:spacing w:before="0" w:after="100" w:line="254" w:lineRule="auto"/>
      </w:pPr>
      <w:r>
        <w:rPr>
          <w:b/>
          <w:color w:val="25313C"/>
        </w:rPr>
        <w:t xml:space="preserve">Methods and code. </w:t>
      </w:r>
      <w:r>
        <w:t xml:space="preserve">Start from the </w:t>
      </w:r>
      <w:hyperlink r:id="rId52">
        <w:r>
          <w:rPr>
            <w:color w:val="2F5597"/>
            <w:u w:val="single"/>
          </w:rPr>
          <w:t>TF-C implementation</w:t>
        </w:r>
      </w:hyperlink>
      <w:r>
        <w:t xml:space="preserve"> and replace its time-domain CNN or Transformer with a compact </w:t>
      </w:r>
      <w:hyperlink r:id="rId76">
        <w:r>
          <w:rPr>
            <w:color w:val="2F5597"/>
            <w:u w:val="single"/>
          </w:rPr>
          <w:t>Mamba</w:t>
        </w:r>
      </w:hyperlink>
      <w:r>
        <w:t xml:space="preserve"> encoder. Retain the time–frequency contrastive objective and use a linear or small multilayer classification head.</w:t>
      </w:r>
    </w:p>
    <w:p>
      <w:pPr>
        <w:spacing w:before="0" w:after="100" w:line="254" w:lineRule="auto"/>
      </w:pPr>
      <w:r>
        <w:rPr>
          <w:b/>
          <w:color w:val="25313C"/>
        </w:rPr>
        <w:t xml:space="preserve">Baselines and evaluation. </w:t>
      </w:r>
      <w:r>
        <w:t>Compare the original TF-C encoder, supervised 1-D CNN, supervised Mamba, random-frozen Mamba, frozen TF-C–Mamba and fine-tuned TF-C–Mamba. Report macro-F1, balanced accuracy, per-class recall and at least three seeds. The primary test is transfer to a different operating condition; report several labelled-example budgets and separate results for previously observed and unseen bearings where the data permit.</w:t>
      </w:r>
    </w:p>
    <w:p>
      <w:pPr>
        <w:spacing w:before="0" w:after="100" w:line="254" w:lineRule="auto"/>
      </w:pPr>
      <w:r>
        <w:rPr>
          <w:b/>
          <w:color w:val="25313C"/>
        </w:rPr>
        <w:t xml:space="preserve">Practical notes. </w:t>
      </w:r>
      <w:r>
        <w:t>The public code and processed data provide a complete starting pipeline, but the older TF-C dependencies may need updating. Test the Mamba environment during the first project week. The raw data are several gigabytes and are needed only for the MSc signal-processing extensions.</w:t>
      </w:r>
    </w:p>
    <w:p>
      <w:pPr>
        <w:pStyle w:val="Heading3"/>
      </w:pPr>
      <w:r>
        <w:t>Bachelor scope</w:t>
      </w:r>
    </w:p>
    <w:p>
      <w:pPr>
        <w:spacing w:before="0" w:after="100" w:line="254" w:lineRule="auto"/>
      </w:pPr>
      <w:r>
        <w:rPr>
          <w:b/>
        </w:rPr>
        <w:t>Bachelor research question.</w:t>
      </w:r>
      <w:r>
        <w:t xml:space="preserve"> </w:t>
      </w:r>
      <w:r>
        <w:rPr>
          <w:b/>
        </w:rPr>
        <w:t>Under the same TF-C objective, does a compact Mamba encoder improve cross-condition classification or computational efficiency over the existing encoder?</w:t>
      </w:r>
      <w:r>
        <w:t xml:space="preserve"> Use the processed FD-A and FD-B data, fixed augmentations and identical splits. Compare accuracy, macro-F1, training time and memory without proposing a new pretraining objective.</w:t>
      </w:r>
    </w:p>
    <w:p>
      <w:pPr>
        <w:pStyle w:val="Heading3"/>
      </w:pPr>
      <w:r>
        <w:t>Master scope</w:t>
      </w:r>
    </w:p>
    <w:p>
      <w:pPr>
        <w:spacing w:before="0" w:after="100" w:line="254" w:lineRule="auto"/>
      </w:pPr>
      <w:r>
        <w:rPr>
          <w:b/>
        </w:rPr>
        <w:t>Master research question.</w:t>
      </w:r>
      <w:r>
        <w:t xml:space="preserve"> </w:t>
      </w:r>
      <w:r>
        <w:rPr>
          <w:b/>
        </w:rPr>
        <w:t>Can bearing-specific time–frequency views improve the transfer of Mamba representations across operating conditions and unseen bearings?</w:t>
      </w:r>
      <w:r>
        <w:t xml:space="preserve"> Develop one process-informed view, such as an envelope-spectrum view centred on bearing fault frequencies, an order-normalised view or a positive pair drawn from the same bearing under different conditions. Compare it with the original TF-C augmentations and ablate the view construction.</w:t>
      </w:r>
    </w:p>
    <w:p>
      <w:r>
        <w:br w:type="page"/>
      </w:r>
    </w:p>
    <w:p>
      <w:pPr>
        <w:pStyle w:val="Heading2"/>
        <w:spacing w:after="140"/>
      </w:pPr>
      <w:r>
        <w:t>Project 3.7  Correlation-graph Mamba for order-robust multivariate forecasting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Multivariate time-series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evaluation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on Weather; moderate on Electricity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7">
              <w:r>
                <w:rPr>
                  <w:color w:val="2F5597"/>
                  <w:u w:val="single"/>
                </w:rPr>
                <w:t>Weather and Electricity</w:t>
              </w:r>
            </w:hyperlink>
            <w:r>
              <w:t xml:space="preserve"> — public forecasting benchmarks with 21 and 321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Cai et al., </w:t>
            </w:r>
            <w:hyperlink r:id="rId78">
              <w:r>
                <w:rPr>
                  <w:color w:val="2F5597"/>
                  <w:u w:val="single"/>
                </w:rPr>
                <w:t>MambaTS</w:t>
              </w:r>
            </w:hyperlink>
            <w:r>
              <w:t xml:space="preserve"> — </w:t>
            </w:r>
            <w:hyperlink r:id="rId79">
              <w:r>
                <w:rPr>
                  <w:color w:val="2F5597"/>
                  <w:u w:val="single"/>
                </w:rPr>
                <w:t>MIT-licensed code</w:t>
              </w:r>
            </w:hyperlink>
          </w:p>
        </w:tc>
      </w:tr>
    </w:tbl>
    <w:p>
      <w:pPr>
        <w:spacing w:after="0"/>
      </w:pPr>
    </w:p>
    <w:p>
      <w:pPr>
        <w:spacing w:before="80" w:after="100" w:line="254" w:lineRule="auto"/>
      </w:pPr>
      <w:r>
        <w:rPr>
          <w:b/>
          <w:color w:val="25313C"/>
        </w:rPr>
        <w:t xml:space="preserve">What you will do. </w:t>
      </w:r>
      <w:r>
        <w:t>Represent each signal channel as a graph node, exchange information between correlated channels, and then use a shared Mamba encoder to model each node through time. Test whether explicit channel structure improves forecasting and reduces sensitivity to arbitrary channel order.</w:t>
      </w:r>
    </w:p>
    <w:p>
      <w:pPr>
        <w:spacing w:before="0" w:after="100" w:line="254" w:lineRule="auto"/>
      </w:pPr>
      <w:r>
        <w:rPr>
          <w:b/>
          <w:color w:val="25313C"/>
        </w:rPr>
        <w:t xml:space="preserve">Data. </w:t>
      </w:r>
      <w:r>
        <w:t xml:space="preserve">Develop the method on Weather, which has 21 meteorological variables and 52,696 ten-minute observations. Confirm the result on Electricity, which contains 321 hourly electricity-demand series and 26,304 observations. Use chronological splits and fit scaling, correlations and graph thresholds on the training period only. The datasets and scripts are available through </w:t>
      </w:r>
      <w:hyperlink r:id="rId77">
        <w:r>
          <w:rPr>
            <w:color w:val="2F5597"/>
            <w:u w:val="single"/>
          </w:rPr>
          <w:t>Autoformer</w:t>
        </w:r>
      </w:hyperlink>
      <w:r>
        <w:t xml:space="preserve">; </w:t>
      </w:r>
      <w:hyperlink r:id="rId80">
        <w:r>
          <w:rPr>
            <w:color w:val="2F5597"/>
            <w:u w:val="single"/>
          </w:rPr>
          <w:t>OpenTS</w:t>
        </w:r>
      </w:hyperlink>
      <w:r>
        <w:t xml:space="preserve"> documents their dimensions and standard protocol.</w:t>
      </w:r>
    </w:p>
    <w:p>
      <w:pPr>
        <w:spacing w:before="0" w:after="100" w:line="254" w:lineRule="auto"/>
      </w:pPr>
      <w:r>
        <w:rPr>
          <w:b/>
          <w:color w:val="25313C"/>
        </w:rPr>
        <w:t xml:space="preserve">Methods and code. </w:t>
      </w:r>
      <w:r>
        <w:t xml:space="preserve">Use </w:t>
      </w:r>
      <w:hyperlink r:id="rId79">
        <w:r>
          <w:rPr>
            <w:color w:val="2F5597"/>
            <w:u w:val="single"/>
          </w:rPr>
          <w:t>MambaTS</w:t>
        </w:r>
      </w:hyperlink>
      <w:r>
        <w:t xml:space="preserve"> as the main code base and </w:t>
      </w:r>
      <w:hyperlink r:id="rId81">
        <w:r>
          <w:rPr>
            <w:color w:val="2F5597"/>
            <w:u w:val="single"/>
          </w:rPr>
          <w:t>S-Mamba</w:t>
        </w:r>
      </w:hyperlink>
      <w:r>
        <w:t xml:space="preserve"> and </w:t>
      </w:r>
      <w:hyperlink r:id="rId82">
        <w:r>
          <w:rPr>
            <w:color w:val="2F5597"/>
            <w:u w:val="single"/>
          </w:rPr>
          <w:t>C-Mamba</w:t>
        </w:r>
      </w:hyperlink>
      <w:r>
        <w:t xml:space="preserve"> as channel-modelling references. Build a sparse top-*k* correlation graph from the training data. At each time step or patch, apply a shared GCN, GraphSAGE or GAT layer across channels; then apply the same temporal Mamba encoder to every node and a shared forecasting head.</w:t>
      </w:r>
    </w:p>
    <w:p>
      <w:pPr>
        <w:spacing w:before="0" w:after="100" w:line="254" w:lineRule="auto"/>
      </w:pPr>
      <w:r>
        <w:rPr>
          <w:b/>
          <w:color w:val="25313C"/>
        </w:rPr>
        <w:t xml:space="preserve">Baselines and evaluation. </w:t>
      </w:r>
      <w:r>
        <w:t xml:space="preserve">Compare seasonal naive, </w:t>
      </w:r>
      <w:hyperlink r:id="rId66">
        <w:r>
          <w:rPr>
            <w:color w:val="2F5597"/>
            <w:u w:val="single"/>
          </w:rPr>
          <w:t>DLinear</w:t>
        </w:r>
      </w:hyperlink>
      <w:r>
        <w:t>, channel-independent Mamba, MambaTS and one existing channel-aware Mamba model. Graph controls must include identity, random and shuffled-correlation adjacency. Report MSE and MAE at standard horizons, three seeds, parameter count, training time and memory. Consistently permute the input channels, graph and outputs to measure order sensitivity, and mask channels at test time to measure robustness.</w:t>
      </w:r>
    </w:p>
    <w:p>
      <w:pPr>
        <w:spacing w:before="0" w:after="100" w:line="254" w:lineRule="auto"/>
      </w:pPr>
      <w:r>
        <w:rPr>
          <w:b/>
          <w:color w:val="25313C"/>
        </w:rPr>
        <w:t xml:space="preserve">Practical notes. </w:t>
      </w:r>
      <w:r>
        <w:t>Use Weather for development and a sparse graph for Electricity. Correlation describes statistical association rather than a physical or causal link. A consistent relabelling of nodes, adjacency and outputs should not materially change a correctly implemented shared graph–Mamba model.</w:t>
      </w:r>
    </w:p>
    <w:p>
      <w:pPr>
        <w:pStyle w:val="Heading3"/>
      </w:pPr>
      <w:r>
        <w:t>Bachelor scope</w:t>
      </w:r>
    </w:p>
    <w:p>
      <w:pPr>
        <w:spacing w:before="0" w:after="100" w:line="254" w:lineRule="auto"/>
      </w:pPr>
      <w:r>
        <w:rPr>
          <w:b/>
        </w:rPr>
        <w:t>Bachelor research question.</w:t>
      </w:r>
      <w:r>
        <w:t xml:space="preserve"> </w:t>
      </w:r>
      <w:r>
        <w:rPr>
          <w:b/>
        </w:rPr>
        <w:t>How sensitive are existing Mamba forecasters to channel order, and do their channel-interaction mechanisms improve over channel-independent Mamba?</w:t>
      </w:r>
      <w:r>
        <w:t xml:space="preserve"> Reproduce MambaTS or S-Mamba on Weather and compare channel-independent and channel-aware variants under channel permutations and missing-channel tests. A new graph architecture is not required.</w:t>
      </w:r>
    </w:p>
    <w:p>
      <w:pPr>
        <w:pStyle w:val="Heading3"/>
      </w:pPr>
      <w:r>
        <w:t>Master scope</w:t>
      </w:r>
    </w:p>
    <w:p>
      <w:pPr>
        <w:spacing w:before="0" w:after="100" w:line="254" w:lineRule="auto"/>
      </w:pPr>
      <w:r>
        <w:rPr>
          <w:b/>
        </w:rPr>
        <w:t>Master research question.</w:t>
      </w:r>
      <w:r>
        <w:t xml:space="preserve"> </w:t>
      </w:r>
      <w:r>
        <w:rPr>
          <w:b/>
        </w:rPr>
        <w:t>Can a sparse correlation-graph channel mixer improve forecasting and reduce sensitivity to arbitrary variable ordering compared with existing Mamba channel-mixing methods?</w:t>
      </w:r>
      <w:r>
        <w:t xml:space="preserve"> Implement the graph module, match model capacity, and ablate graph type, sign handling, sparsity and message-passing depth on Weather and Electricity. A window-dependent graph is an optional extension after the fixed-graph study.</w:t>
      </w:r>
    </w:p>
    <w:p>
      <w:r>
        <w:br w:type="page"/>
      </w:r>
    </w:p>
    <w:p>
      <w:pPr>
        <w:pStyle w:val="Heading1"/>
      </w:pPr>
      <w:r>
        <w:t>Category 4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83">
        <w:r>
          <w:rPr>
            <w:color w:val="2F5597"/>
            <w:u w:val="single"/>
          </w:rPr>
          <w:t>DINO</w:t>
        </w:r>
      </w:hyperlink>
      <w:r>
        <w:t xml:space="preserve">, </w:t>
      </w:r>
      <w:hyperlink r:id="rId84">
        <w:r>
          <w:rPr>
            <w:color w:val="2F5597"/>
            <w:u w:val="single"/>
          </w:rPr>
          <w:t>DINOv2</w:t>
        </w:r>
      </w:hyperlink>
      <w:r>
        <w:t xml:space="preserve">, the </w:t>
      </w:r>
      <w:hyperlink r:id="rId85">
        <w:r>
          <w:rPr>
            <w:color w:val="2F5597"/>
            <w:u w:val="single"/>
          </w:rPr>
          <w:t>DINOv2 model card and code</w:t>
        </w:r>
      </w:hyperlink>
      <w:r>
        <w:t xml:space="preserve">, and </w:t>
      </w:r>
      <w:hyperlink r:id="rId86">
        <w:r>
          <w:rPr>
            <w:color w:val="2F5597"/>
            <w:u w:val="single"/>
          </w:rPr>
          <w:t>AnomalyDINO</w:t>
        </w:r>
      </w:hyperlink>
      <w:r>
        <w:t xml:space="preserve"> with its </w:t>
      </w:r>
      <w:hyperlink r:id="rId87">
        <w:r>
          <w:rPr>
            <w:color w:val="2F5597"/>
            <w:u w:val="single"/>
          </w:rPr>
          <w:t>official code</w:t>
        </w:r>
      </w:hyperlink>
      <w:r>
        <w:t>.</w:t>
      </w:r>
    </w:p>
    <w:p>
      <w:pPr>
        <w:pStyle w:val="ListBullet"/>
        <w:spacing w:before="0" w:after="40" w:line="254" w:lineRule="auto"/>
      </w:pPr>
      <w:r>
        <w:t xml:space="preserve">Parameter-efficient adaptation: </w:t>
      </w:r>
      <w:hyperlink r:id="rId88">
        <w:r>
          <w:rPr>
            <w:color w:val="2F5597"/>
            <w:u w:val="single"/>
          </w:rPr>
          <w:t>LoRA</w:t>
        </w:r>
      </w:hyperlink>
      <w:r>
        <w:t xml:space="preserve"> and the </w:t>
      </w:r>
      <w:hyperlink r:id="rId89">
        <w:r>
          <w:rPr>
            <w:color w:val="2F5597"/>
            <w:u w:val="single"/>
          </w:rPr>
          <w:t>Hugging Face PEFT library</w:t>
        </w:r>
      </w:hyperlink>
      <w:r>
        <w:t>.</w:t>
      </w:r>
    </w:p>
    <w:p>
      <w:pPr>
        <w:pStyle w:val="ListBullet"/>
        <w:spacing w:before="0" w:after="40" w:line="254" w:lineRule="auto"/>
      </w:pPr>
      <w:r>
        <w:t xml:space="preserve">Normal-only objectives: </w:t>
      </w:r>
      <w:hyperlink r:id="rId83">
        <w:r>
          <w:rPr>
            <w:color w:val="2F5597"/>
            <w:u w:val="single"/>
          </w:rPr>
          <w:t>DINO self-distillation</w:t>
        </w:r>
      </w:hyperlink>
      <w:r>
        <w:t xml:space="preserve"> and </w:t>
      </w:r>
      <w:hyperlink r:id="rId90">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91">
        <w:r>
          <w:rPr>
            <w:color w:val="2F5597"/>
            <w:u w:val="single"/>
          </w:rPr>
          <w:t>MVTec AD</w:t>
        </w:r>
      </w:hyperlink>
      <w:r>
        <w:t xml:space="preserve">, </w:t>
      </w:r>
      <w:hyperlink r:id="rId92">
        <w:r>
          <w:rPr>
            <w:color w:val="2F5597"/>
            <w:u w:val="single"/>
          </w:rPr>
          <w:t>Hugging Face models</w:t>
        </w:r>
      </w:hyperlink>
      <w:r>
        <w:t xml:space="preserve"> and </w:t>
      </w:r>
      <w:hyperlink r:id="rId93">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4.1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1">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84">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91">
        <w:r>
          <w:rPr>
            <w:color w:val="2F5597"/>
            <w:u w:val="single"/>
          </w:rPr>
          <w:t>MVTec AD</w:t>
        </w:r>
      </w:hyperlink>
      <w:r>
        <w:t xml:space="preserve"> contains 5,354 images in 15 categories, with defect-free training images and labelled normal and defective test images. </w:t>
      </w:r>
      <w:hyperlink r:id="rId94">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85">
        <w:r>
          <w:rPr>
            <w:color w:val="2F5597"/>
            <w:u w:val="single"/>
          </w:rPr>
          <w:t>Apache-2.0 repository</w:t>
        </w:r>
      </w:hyperlink>
      <w:r>
        <w:t xml:space="preserve">. The frozen route follows </w:t>
      </w:r>
      <w:hyperlink r:id="rId87">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89">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95">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2"/>
        <w:spacing w:after="140"/>
      </w:pPr>
      <w:r>
        <w:t>Project 4.2  Adapting DINOv3 for robust abdominal CT segmentation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Abdominal-organ segmentation and robustness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for BSc and moderate to high for MSc; 16–40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6">
              <w:r>
                <w:rPr>
                  <w:color w:val="2F5597"/>
                  <w:u w:val="single"/>
                </w:rPr>
                <w:t>AMOS22</w:t>
              </w:r>
            </w:hyperlink>
            <w:r>
              <w:t xml:space="preserve"> — 500 abdominal CT volumes with voxel-level annotations of 15 organs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Use a pretrained DINOv3 vision model as the encoder of a medical-image segmentation system. The model will process axial slices from abdominal CT volumes, while a U-Net-style decoder will generate organ masks. You will compare frozen and adapted DINOv3 representations and determine how reliably they perform when image quality deteriorates.</w:t>
      </w:r>
    </w:p>
    <w:p>
      <w:pPr>
        <w:spacing w:before="0" w:after="100" w:line="254" w:lineRule="auto"/>
      </w:pPr>
      <w:r>
        <w:rPr>
          <w:b/>
          <w:color w:val="25313C"/>
        </w:rPr>
        <w:t xml:space="preserve">Project goal. </w:t>
      </w:r>
      <w:r>
        <w:t>Determine whether features learned by DINOv3 from natural images can support abdominal-organ segmentation and whether parameter-efficient adaptation improves robustness to medical-image corruption without requiring full retraining of the foundation model.</w:t>
      </w:r>
    </w:p>
    <w:p>
      <w:pPr>
        <w:spacing w:before="0" w:after="100" w:line="254" w:lineRule="auto"/>
      </w:pPr>
      <w:r>
        <w:rPr>
          <w:b/>
          <w:color w:val="25313C"/>
        </w:rPr>
        <w:t xml:space="preserve">Data. </w:t>
      </w:r>
      <w:r>
        <w:t>Use the CT portion of the AMOS22 dataset, which provides 3D abdominal scans with annotations for 15 organs. Convert each volume into axial slices or neighbouring-slice 2.5D inputs. All slices from one patient must remain in the same training, validation or test partition. Controlled test corruptions may include noise, blur, reduced resolution, contrast changes and intensity shifts.</w:t>
      </w:r>
    </w:p>
    <w:p>
      <w:pPr>
        <w:spacing w:before="0" w:after="100" w:line="254" w:lineRule="auto"/>
      </w:pPr>
      <w:r>
        <w:rPr>
          <w:b/>
          <w:color w:val="25313C"/>
        </w:rPr>
        <w:t xml:space="preserve">Methods and code. </w:t>
      </w:r>
      <w:r>
        <w:t xml:space="preserve">Start with the pretrained DINOv3 ViT-S/16 backbone. Load the official weights through </w:t>
      </w:r>
      <w:hyperlink r:id="rId97">
        <w:r>
          <w:rPr>
            <w:color w:val="2F5597"/>
            <w:u w:val="single"/>
          </w:rPr>
          <w:t>Hugging Face</w:t>
        </w:r>
      </w:hyperlink>
      <w:r>
        <w:t xml:space="preserve"> or the official DINOv3 repository. Use a compact U-Net-style decoder that combines patch features from several transformer layers. Compare this model with a conventional 2D U-Net or nnU-Net baseline. The </w:t>
      </w:r>
      <w:hyperlink r:id="rId98">
        <w:r>
          <w:rPr>
            <w:color w:val="2F5597"/>
            <w:u w:val="single"/>
          </w:rPr>
          <w:t>MedDINOv3 repository</w:t>
        </w:r>
      </w:hyperlink>
      <w:r>
        <w:t xml:space="preserve"> provides an example of integrating DINOv3 with nnU-Net for medical segmentation.</w:t>
      </w:r>
    </w:p>
    <w:p>
      <w:pPr>
        <w:spacing w:before="0" w:after="100" w:line="254" w:lineRule="auto"/>
      </w:pPr>
      <w:r>
        <w:rPr>
          <w:b/>
          <w:color w:val="25313C"/>
        </w:rPr>
        <w:t xml:space="preserve">Baselines and evaluation. </w:t>
      </w:r>
      <w:r>
        <w:t>Compare a conventional U-Net, frozen DINOv3 with a trainable decoder, and the selected adaptation method. Use Dice as the primary metric and report HD95 as the boundary-error metric. Report performance separately for each organ and corruption type. Also report trainable parameters, GPU memory and training time. All models must use the same patient splits and corruption protocol.</w:t>
      </w:r>
    </w:p>
    <w:p>
      <w:pPr>
        <w:spacing w:before="0" w:after="100" w:line="254" w:lineRule="auto"/>
      </w:pPr>
      <w:r>
        <w:rPr>
          <w:b/>
          <w:color w:val="25313C"/>
        </w:rPr>
        <w:t xml:space="preserve">Practical notes. </w:t>
      </w:r>
      <w:r>
        <w:t>DINOv3 is a 2D vision model, so this project uses slice-wise or 2.5D segmentation rather than direct 3D DINOv3 processing. Training DINOv3 from scratch is outside the project scope. Begin with ViT-S/16 and a frozen encoder before attempting LoRA or partial fine-tuning. Full end-to-end fine-tuning should be treated as an optional reference experiment only if sufficient GPU resources are available.</w:t>
      </w:r>
    </w:p>
    <w:p>
      <w:pPr>
        <w:pStyle w:val="Heading3"/>
      </w:pPr>
      <w:r>
        <w:t>Bachelor scope</w:t>
      </w:r>
    </w:p>
    <w:p>
      <w:pPr>
        <w:spacing w:before="0" w:after="100" w:line="254" w:lineRule="auto"/>
      </w:pPr>
      <w:r>
        <w:rPr>
          <w:b/>
        </w:rPr>
        <w:t>Bachelor research question.</w:t>
      </w:r>
      <w:r>
        <w:t xml:space="preserve"> </w:t>
      </w:r>
      <w:r>
        <w:rPr>
          <w:b/>
        </w:rPr>
        <w:t>How robust are frozen DINOv3 features for abdominal-organ segmentation when CT image quality deteriorates?</w:t>
      </w:r>
    </w:p>
    <w:p>
      <w:pPr>
        <w:spacing w:before="0" w:after="100" w:line="254" w:lineRule="auto"/>
      </w:pPr>
      <w:r>
        <w:t>Keep the DINOv3 encoder frozen and train only the segmentation decoder. Compare frozen DINOv3 with a conventional 2D U-Net on clean images and predefined corruption levels. Analyse which organs and image conditions cause the largest performance loss. No adaptation or full backbone fine-tuning is required.</w:t>
      </w:r>
    </w:p>
    <w:p>
      <w:pPr>
        <w:pStyle w:val="Heading3"/>
      </w:pPr>
      <w:r>
        <w:t>Master scope</w:t>
      </w:r>
    </w:p>
    <w:p>
      <w:pPr>
        <w:spacing w:before="0" w:after="100" w:line="254" w:lineRule="auto"/>
      </w:pPr>
      <w:r>
        <w:rPr>
          <w:b/>
        </w:rPr>
        <w:t>Master research question.</w:t>
      </w:r>
      <w:r>
        <w:t xml:space="preserve"> </w:t>
      </w:r>
      <w:r>
        <w:rPr>
          <w:b/>
        </w:rPr>
        <w:t>Can parameter-efficient adaptation improve the robustness of DINOv3 for abdominal-organ segmentation without losing performance on clean images?</w:t>
      </w:r>
    </w:p>
    <w:p>
      <w:pPr>
        <w:spacing w:before="0" w:after="100" w:line="254" w:lineRule="auto"/>
      </w:pPr>
      <w:r>
        <w:t>Compare a frozen DINOv3 encoder, LoRA or adapter-based adaptation, and partial fine-tuning of the final transformer blocks. Use the same decoder, training data and corruption protocol for every variant. Study at least one adaptation factor, such as adapter depth, LoRA rank or the number of unfrozen transformer blocks. Report several random seeds and analyse the trade-off between segmentation performance, robustness, trainable parameters and computational cost.</w:t>
      </w:r>
    </w:p>
    <w:p>
      <w:r>
        <w:br w:type="page"/>
      </w:r>
    </w:p>
    <w:p>
      <w:pPr>
        <w:pStyle w:val="Heading2"/>
        <w:spacing w:after="140"/>
      </w:pPr>
      <w:r>
        <w:t>Project 4.3  Federated knowledge distillation for medical image denoising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Federated medical-image denoising with output-level knowledge distillation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one 12–24 GB GPU is sufficient for sequential client simulation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9">
              <w:r>
                <w:rPr>
                  <w:color w:val="2F5597"/>
                  <w:u w:val="single"/>
                </w:rPr>
                <w:t>M&amp;Ms cardiac MRI</w:t>
              </w:r>
            </w:hyperlink>
            <w:r>
              <w:t xml:space="preserve"> partitioned by scanner vendor; </w:t>
            </w:r>
            <w:hyperlink r:id="rId100">
              <w:r>
                <w:rPr>
                  <w:color w:val="2F5597"/>
                  <w:u w:val="single"/>
                </w:rPr>
                <w:t>ACDC</w:t>
              </w:r>
            </w:hyperlink>
            <w:r>
              <w:t xml:space="preserve"> as the shared proxy set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Simulate several hospitals that train medical-image denoising models without sharing their local scans. Each hospital trains a U-Net on its own cardiac MRI data. Instead of sending model weights to the central server, the hospitals apply their local models to the same public proxy images and send only the resulting denoised predictions. The server uses these predictions to train a global U-Net student through knowledge distillation.</w:t>
      </w:r>
    </w:p>
    <w:p>
      <w:pPr>
        <w:spacing w:before="0" w:after="100" w:line="254" w:lineRule="auto"/>
      </w:pPr>
      <w:r>
        <w:rPr>
          <w:b/>
          <w:color w:val="25313C"/>
        </w:rPr>
        <w:t xml:space="preserve">Project goal. </w:t>
      </w:r>
      <w:r>
        <w:t>Determine whether prediction-based federated distillation can produce a denoising model that generalises across scanner vendors and noise conditions without transferring local images or local model weights to the central server.</w:t>
      </w:r>
    </w:p>
    <w:p>
      <w:pPr>
        <w:spacing w:before="0" w:after="100" w:line="254" w:lineRule="auto"/>
      </w:pPr>
      <w:r>
        <w:rPr>
          <w:b/>
          <w:color w:val="25313C"/>
        </w:rPr>
        <w:t xml:space="preserve">Data. </w:t>
      </w:r>
      <w:r>
        <w:t>Treat scanner vendors in the M&amp;Ms cardiac MRI dataset as simulated federated clients. Use the original images as reference targets and generate controlled noisy inputs using predefined MRI-relevant corruptions, such as Rician noise and intensity non-uniformity. Use ACDC cardiac MRI images only as a shared public proxy set for communication between clients and the server. Split by patient or volume, never by image slice, and keep the final test patients separate from local training and proxy distillation.</w:t>
      </w:r>
    </w:p>
    <w:p>
      <w:pPr>
        <w:spacing w:before="0" w:after="100" w:line="254" w:lineRule="auto"/>
      </w:pPr>
      <w:r>
        <w:rPr>
          <w:b/>
          <w:color w:val="25313C"/>
        </w:rPr>
        <w:t xml:space="preserve">Methods and code. </w:t>
      </w:r>
      <w:r>
        <w:t xml:space="preserve">Use the same compact 2D U-Net architecture for the local teachers and the global student in the core experiment. Each client trains its local U-Net to map a noisy slice to its reference image. The clients then denoise the same corrupted proxy images and transmit only their output images or predicted noise residuals. The server aggregates these predictions and trains the global student using a reconstruction loss to the aggregated teacher target. The clients' private images and model weights remain local. Use </w:t>
      </w:r>
      <w:hyperlink r:id="rId101">
        <w:r>
          <w:rPr>
            <w:color w:val="2F5597"/>
            <w:u w:val="single"/>
          </w:rPr>
          <w:t>Flower</w:t>
        </w:r>
      </w:hyperlink>
      <w:r>
        <w:t xml:space="preserve"> to organise the simulated clients and communication rounds; the denoising models can be implemented in PyTorch or </w:t>
      </w:r>
      <w:hyperlink r:id="rId102">
        <w:r>
          <w:rPr>
            <w:color w:val="2F5597"/>
            <w:u w:val="single"/>
          </w:rPr>
          <w:t>MONAI</w:t>
        </w:r>
      </w:hyperlink>
      <w:r>
        <w:t>.</w:t>
      </w:r>
    </w:p>
    <w:p>
      <w:pPr>
        <w:spacing w:before="0" w:after="100" w:line="254" w:lineRule="auto"/>
      </w:pPr>
      <w:r>
        <w:rPr>
          <w:b/>
          <w:color w:val="25313C"/>
        </w:rPr>
        <w:t xml:space="preserve">Baselines and evaluation. </w:t>
      </w:r>
      <w:r>
        <w:t>Compare local-only U-Nets, centralized training as an experimental upper bound, standard FedAvg with weight sharing, and output-level federated distillation without weight sharing. Use SSIM as the primary image-quality metric and report PSNR and NMSE as secondary metrics. Report results separately for each scanner vendor and noise condition, together with communication volume and training time. Include an unseen-noise or held-out-vendor test to measure generalization.</w:t>
      </w:r>
    </w:p>
    <w:p>
      <w:pPr>
        <w:spacing w:before="0" w:after="100" w:line="254" w:lineRule="auto"/>
      </w:pPr>
      <w:r>
        <w:rPr>
          <w:b/>
          <w:color w:val="25313C"/>
        </w:rPr>
        <w:t xml:space="preserve">Practical notes. </w:t>
      </w:r>
      <w:r>
        <w:t>The original MRI images are reference images, not perfect noise-free ground truth. Therefore, conclusions should concern removal of the controlled synthetic corruptions rather than clinical scanner-noise correction. Prediction sharing reduces direct exposure compared with transmitting model weights, but it does not provide a formal privacy guarantee; differential privacy or secure aggregation may be discussed as optional extensions rather than assumed properties.</w:t>
      </w:r>
    </w:p>
    <w:p>
      <w:pPr>
        <w:pStyle w:val="Heading3"/>
      </w:pPr>
      <w:r>
        <w:t>Master scope</w:t>
      </w:r>
    </w:p>
    <w:p>
      <w:pPr>
        <w:spacing w:before="0" w:after="100" w:line="254" w:lineRule="auto"/>
      </w:pPr>
      <w:r>
        <w:rPr>
          <w:b/>
        </w:rPr>
        <w:t>Master research question.</w:t>
      </w:r>
      <w:r>
        <w:t xml:space="preserve"> </w:t>
      </w:r>
      <w:r>
        <w:rPr>
          <w:b/>
        </w:rPr>
        <w:t>Can output-level federated distillation produce a generalizable medical-image denoising model without sharing local model weights, and how robust is it when clients have different scanner domains, noise distributions or model capacities?</w:t>
      </w:r>
      <w:r>
        <w:t xml:space="preserve"> Compare local training, centralized training, FedAvg and federated distillation under matched data splits and noise conditions. Compare distillation of denoised images with distillation of predicted noise residuals, and study at least one additional factor such as proxy-set size, confidence-weighted teacher aggregation, heterogeneous U-Net widths or transfer to a held-out vendor. Use several seeds and report the performance–communication trade-off.</w:t>
      </w:r>
    </w:p>
    <w:p>
      <w:r>
        <w:br w:type="page"/>
      </w:r>
    </w:p>
    <w:p>
      <w:pPr>
        <w:pStyle w:val="Heading1"/>
      </w:pPr>
      <w:r>
        <w:t>Category 5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3: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103">
        <w:r>
          <w:rPr>
            <w:color w:val="2F5597"/>
            <w:u w:val="single"/>
          </w:rPr>
          <w:t>Learning Fast Approximations of Sparse Coding (LISTA)</w:t>
        </w:r>
      </w:hyperlink>
      <w:r>
        <w:t xml:space="preserve">, ICML 2010; Monga, Li and Eldar, </w:t>
      </w:r>
      <w:hyperlink r:id="rId104">
        <w:r>
          <w:rPr>
            <w:color w:val="2F5597"/>
            <w:u w:val="single"/>
          </w:rPr>
          <w:t>Algorithm Unrolling</w:t>
        </w:r>
      </w:hyperlink>
      <w:r>
        <w:t xml:space="preserve">, IEEE SPM 2021; and Yang et al., </w:t>
      </w:r>
      <w:hyperlink r:id="rId105">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106">
        <w:r>
          <w:rPr>
            <w:color w:val="2F5597"/>
            <w:u w:val="single"/>
          </w:rPr>
          <w:t>Variational Mode Decomposition</w:t>
        </w:r>
      </w:hyperlink>
      <w:r>
        <w:t xml:space="preserve">, with </w:t>
      </w:r>
      <w:hyperlink r:id="rId107">
        <w:r>
          <w:rPr>
            <w:color w:val="2F5597"/>
            <w:u w:val="single"/>
          </w:rPr>
          <w:t>reference Python code</w:t>
        </w:r>
      </w:hyperlink>
      <w:r>
        <w:t xml:space="preserve">, and Rehman and Aftab, </w:t>
      </w:r>
      <w:hyperlink r:id="rId108">
        <w:r>
          <w:rPr>
            <w:color w:val="2F5597"/>
            <w:u w:val="single"/>
          </w:rPr>
          <w:t>Multivariate Variational Mode Decomposition</w:t>
        </w:r>
      </w:hyperlink>
      <w:r>
        <w:t>.</w:t>
      </w:r>
    </w:p>
    <w:p>
      <w:pPr>
        <w:pStyle w:val="ListBullet"/>
        <w:spacing w:before="0" w:after="40" w:line="254" w:lineRule="auto"/>
      </w:pPr>
      <w:r>
        <w:t xml:space="preserve">Ahmad et al., </w:t>
      </w:r>
      <w:hyperlink r:id="rId109">
        <w:r>
          <w:rPr>
            <w:color w:val="2F5597"/>
            <w:u w:val="single"/>
          </w:rPr>
          <w:t>Robust Spatiotemporal Forecasting Using Adaptive Deep-Unfolded VMD</w:t>
        </w:r>
      </w:hyperlink>
      <w:r>
        <w:t xml:space="preserve">, 2025 preprint, with the </w:t>
      </w:r>
      <w:hyperlink r:id="rId110">
        <w:r>
          <w:rPr>
            <w:color w:val="2F5597"/>
            <w:u w:val="single"/>
          </w:rPr>
          <w:t>authors' repository</w:t>
        </w:r>
      </w:hyperlink>
      <w:r>
        <w:t>. The repository currently has no licence file.</w:t>
      </w:r>
    </w:p>
    <w:p>
      <w:r>
        <w:br w:type="page"/>
      </w:r>
    </w:p>
    <w:p>
      <w:pPr>
        <w:pStyle w:val="Heading2"/>
        <w:spacing w:after="140"/>
      </w:pPr>
      <w:r>
        <w:t>Project 5.1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111">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109">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111">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112">
        <w:r>
          <w:rPr>
            <w:color w:val="2F5597"/>
            <w:u w:val="single"/>
          </w:rPr>
          <w:t>original MATLAB implementation</w:t>
        </w:r>
      </w:hyperlink>
      <w:r>
        <w:t xml:space="preserve"> and an </w:t>
      </w:r>
      <w:hyperlink r:id="rId113">
        <w:r>
          <w:rPr>
            <w:color w:val="2F5597"/>
            <w:u w:val="single"/>
          </w:rPr>
          <w:t>MIT-licensed Python implementation</w:t>
        </w:r>
      </w:hyperlink>
      <w:r>
        <w:t xml:space="preserve">. Reimplement the UVMD equations from the </w:t>
      </w:r>
      <w:hyperlink r:id="rId109">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2.1–2.5</w:t>
      </w:r>
      <w:r>
        <w:t xml:space="preserve">, </w:t>
      </w:r>
      <w:r>
        <w:rPr>
          <w:b/>
        </w:rPr>
        <w:t>3.1</w:t>
      </w:r>
      <w:r>
        <w:t xml:space="preserve"> (UCI-HAR), </w:t>
      </w:r>
      <w:r>
        <w:rPr>
          <w:b/>
        </w:rPr>
        <w:t>3.3</w:t>
      </w:r>
      <w:r>
        <w:t xml:space="preserve"> (ETT) and </w:t>
      </w:r>
      <w:r>
        <w:rPr>
          <w:b/>
        </w:rPr>
        <w:t>4.1</w:t>
      </w:r>
      <w:r>
        <w:t xml:space="preserve"> (MVTec AD). Of these, </w:t>
      </w:r>
      <w:r>
        <w:rPr>
          <w:b/>
        </w:rPr>
        <w:t>2.4</w:t>
      </w:r>
      <w:r>
        <w:t xml:space="preserve"> (MovieLens) and </w:t>
      </w:r>
      <w:r>
        <w:rPr>
          <w:b/>
        </w:rPr>
        <w:t>3.1</w:t>
      </w:r>
      <w:r>
        <w:t xml:space="preserve"> are Bachelor-only; the others also support a Master scope.</w:t>
      </w:r>
    </w:p>
    <w:p>
      <w:pPr>
        <w:spacing w:before="0" w:after="100" w:line="254" w:lineRule="auto"/>
      </w:pPr>
      <w:r>
        <w:t xml:space="preserve">Projects </w:t>
      </w:r>
      <w:r>
        <w:rPr>
          <w:b/>
        </w:rPr>
        <w:t>3.2</w:t>
      </w:r>
      <w:r>
        <w:t xml:space="preserve">, </w:t>
      </w:r>
      <w:r>
        <w:rPr>
          <w:b/>
        </w:rPr>
        <w:t>3.4</w:t>
      </w:r>
      <w:r>
        <w:t xml:space="preserve">, </w:t>
      </w:r>
      <w:r>
        <w:rPr>
          <w:b/>
        </w:rPr>
        <w:t>3.5</w:t>
      </w:r>
      <w:r>
        <w:t xml:space="preserve"> and </w:t>
      </w:r>
      <w:r>
        <w:rPr>
          <w:b/>
        </w:rPr>
        <w:t>5.1</w:t>
      </w:r>
      <w:r>
        <w:t xml:space="preserve"> are intended primarily for Master students. Projects </w:t>
      </w:r>
      <w:r>
        <w:rPr>
          <w:b/>
        </w:rPr>
        <w:t>3.2</w:t>
      </w:r>
      <w:r>
        <w:t xml:space="preserve"> and </w:t>
      </w:r>
      <w:r>
        <w:rPr>
          <w:b/>
        </w:rPr>
        <w:t>3.4</w:t>
      </w:r>
      <w:r>
        <w:t xml:space="preserve"> list reduced Bachelor versions.</w:t>
      </w:r>
    </w:p>
    <w:p>
      <w:pPr>
        <w:spacing w:before="0" w:after="100" w:line="254" w:lineRule="auto"/>
      </w:pPr>
      <w:r>
        <w:t xml:space="preserve">All Category 1 projects are Master-preferred because the data are partner-supplied and the research task must be finalized after data access. Projects </w:t>
      </w:r>
      <w:r>
        <w:rPr>
          <w:b/>
        </w:rPr>
        <w:t>1.1</w:t>
      </w:r>
      <w:r>
        <w:t xml:space="preserve">, </w:t>
      </w:r>
      <w:r>
        <w:rPr>
          <w:b/>
        </w:rPr>
        <w:t>1.2</w:t>
      </w:r>
      <w:r>
        <w:t xml:space="preserve"> and </w:t>
      </w:r>
      <w:r>
        <w:rPr>
          <w:b/>
        </w:rPr>
        <w:t>1.3</w:t>
      </w:r>
      <w:r>
        <w:t xml:space="preserve"> can be offered at Bachelor level when a prepared dataset and a fixed target are supplied.</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1.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arxiv.org/abs/2106.10466" TargetMode="External"/><Relationship Id="rId14" Type="http://schemas.openxmlformats.org/officeDocument/2006/relationships/hyperlink" Target="https://scikit-learn.org/stable/modules/clustering.html" TargetMode="External"/><Relationship Id="rId15" Type="http://schemas.openxmlformats.org/officeDocument/2006/relationships/hyperlink" Target="https://umap-learn.readthedocs.io/en/latest/" TargetMode="External"/><Relationship Id="rId16" Type="http://schemas.openxmlformats.org/officeDocument/2006/relationships/hyperlink" Target="https://arxiv.org/abs/2012.08791" TargetMode="External"/><Relationship Id="rId17" Type="http://schemas.openxmlformats.org/officeDocument/2006/relationships/hyperlink" Target="https://arxiv.org/abs/1909.04939" TargetMode="External"/><Relationship Id="rId18" Type="http://schemas.openxmlformats.org/officeDocument/2006/relationships/hyperlink" Target="https://www.sktime.net/en/stable/" TargetMode="External"/><Relationship Id="rId19" Type="http://schemas.openxmlformats.org/officeDocument/2006/relationships/hyperlink" Target="https://github.com/zhihanyue/ts2vec" TargetMode="External"/><Relationship Id="rId20" Type="http://schemas.openxmlformats.org/officeDocument/2006/relationships/hyperlink" Target="https://github.com/emadeldeen24/TS-TCC" TargetMode="External"/><Relationship Id="rId21" Type="http://schemas.openxmlformats.org/officeDocument/2006/relationships/hyperlink" Target="https://github.com/thuml/SimMTM" TargetMode="External"/><Relationship Id="rId22" Type="http://schemas.openxmlformats.org/officeDocument/2006/relationships/hyperlink" Target="https://arxiv.org/abs/1910.13051" TargetMode="External"/><Relationship Id="rId23" Type="http://schemas.openxmlformats.org/officeDocument/2006/relationships/hyperlink" Target="https://github.com/angus924/rocket" TargetMode="External"/><Relationship Id="rId24" Type="http://schemas.openxmlformats.org/officeDocument/2006/relationships/hyperlink" Target="https://github.com/hfawaz/InceptionTime" TargetMode="External"/><Relationship Id="rId25" Type="http://schemas.openxmlformats.org/officeDocument/2006/relationships/hyperlink" Target="https://nrehman-au.github.io/Student-projects/#shared-protocol-for-self-supervised-projects" TargetMode="External"/><Relationship Id="rId26" Type="http://schemas.openxmlformats.org/officeDocument/2006/relationships/hyperlink" Target="https://distill.pub/2021/gnn-intro/" TargetMode="External"/><Relationship Id="rId27" Type="http://schemas.openxmlformats.org/officeDocument/2006/relationships/hyperlink" Target="https://web.stanford.edu/class/cs224w/projects.html" TargetMode="External"/><Relationship Id="rId28" Type="http://schemas.openxmlformats.org/officeDocument/2006/relationships/hyperlink" Target="https://snap.stanford.edu/class/cs224w-2019/projects.html" TargetMode="External"/><Relationship Id="rId29" Type="http://schemas.openxmlformats.org/officeDocument/2006/relationships/hyperlink" Target="https://pytorch-geometric.readthedocs.io/en/latest/cheatsheet/data_cheatsheet.html" TargetMode="External"/><Relationship Id="rId30" Type="http://schemas.openxmlformats.org/officeDocument/2006/relationships/hyperlink" Target="https://ogb.stanford.edu/docs/home/" TargetMode="External"/><Relationship Id="rId31" Type="http://schemas.openxmlformats.org/officeDocument/2006/relationships/hyperlink" Target="https://snap.stanford.edu/data/" TargetMode="External"/><Relationship Id="rId32" Type="http://schemas.openxmlformats.org/officeDocument/2006/relationships/hyperlink" Target="https://tgb.complexdatalab.com/" TargetMode="External"/><Relationship Id="rId33" Type="http://schemas.openxmlformats.org/officeDocument/2006/relationships/hyperlink" Target="https://medium.com/stanford-cs224w/predicting-evolution-of-dynamic-graphs-7688eca1daf8" TargetMode="External"/><Relationship Id="rId34" Type="http://schemas.openxmlformats.org/officeDocument/2006/relationships/hyperlink" Target="https://medium.com/stanford-cs224w/predicting-water-quality-in-unmonitored-networks-with-rgcns-c72fdd177f0d" TargetMode="External"/><Relationship Id="rId35" Type="http://schemas.openxmlformats.org/officeDocument/2006/relationships/hyperlink" Target="https://medium.com/stanford-cs224w/are-you-for-real-cb0442af43a3" TargetMode="External"/><Relationship Id="rId36" Type="http://schemas.openxmlformats.org/officeDocument/2006/relationships/hyperlink" Target="https://medium.com/stanford-cs224w/applying-graph-ml-techniques-to-ethereum-nft-transactions-d4bde61b02f3" TargetMode="External"/><Relationship Id="rId37" Type="http://schemas.openxmlformats.org/officeDocument/2006/relationships/hyperlink" Target="https://catalog.data.gov/dataset/cmapss-jet-engine-simulated-data" TargetMode="External"/><Relationship Id="rId38" Type="http://schemas.openxmlformats.org/officeDocument/2006/relationships/hyperlink" Target="https://arxiv.org/abs/2401.15964" TargetMode="External"/><Relationship Id="rId39" Type="http://schemas.openxmlformats.org/officeDocument/2006/relationships/hyperlink" Target="https://github.com/Frank-Wang-oss/GNN_RUL_Benchmarking" TargetMode="External"/><Relationship Id="rId40" Type="http://schemas.openxmlformats.org/officeDocument/2006/relationships/hyperlink" Target="https://pytorch-geometric.readthedocs.io/" TargetMode="External"/><Relationship Id="rId41" Type="http://schemas.openxmlformats.org/officeDocument/2006/relationships/hyperlink" Target="https://github.com/liyaguang/DCRNN" TargetMode="External"/><Relationship Id="rId42" Type="http://schemas.openxmlformats.org/officeDocument/2006/relationships/hyperlink" Target="https://arxiv.org/abs/1906.00121" TargetMode="External"/><Relationship Id="rId43" Type="http://schemas.openxmlformats.org/officeDocument/2006/relationships/hyperlink" Target="https://github.com/nnzhan/Graph-WaveNet" TargetMode="External"/><Relationship Id="rId44" Type="http://schemas.openxmlformats.org/officeDocument/2006/relationships/hyperlink" Target="https://pytorch-geometric.readthedocs.io/en/latest/generated/torch_geometric.datasets.EllipticBitcoinDataset.html" TargetMode="External"/><Relationship Id="rId45" Type="http://schemas.openxmlformats.org/officeDocument/2006/relationships/hyperlink" Target="https://arxiv.org/abs/1908.02591" TargetMode="External"/><Relationship Id="rId46" Type="http://schemas.openxmlformats.org/officeDocument/2006/relationships/hyperlink" Target="https://grouplens.org/datasets/movielens/100k/" TargetMode="External"/><Relationship Id="rId47" Type="http://schemas.openxmlformats.org/officeDocument/2006/relationships/hyperlink" Target="https://arxiv.org/abs/2002.02126" TargetMode="External"/><Relationship Id="rId48" Type="http://schemas.openxmlformats.org/officeDocument/2006/relationships/hyperlink" Target="https://github.com/kuandeng/LightGCN" TargetMode="External"/><Relationship Id="rId49" Type="http://schemas.openxmlformats.org/officeDocument/2006/relationships/hyperlink" Target="https://ogb.stanford.edu/docs/graphprop/#ogbg-mol" TargetMode="External"/><Relationship Id="rId50" Type="http://schemas.openxmlformats.org/officeDocument/2006/relationships/hyperlink" Target="https://arxiv.org/abs/2005.00687" TargetMode="External"/><Relationship Id="rId51" Type="http://schemas.openxmlformats.org/officeDocument/2006/relationships/hyperlink" Target="https://www.rdkit.org/" TargetMode="External"/><Relationship Id="rId52" Type="http://schemas.openxmlformats.org/officeDocument/2006/relationships/hyperlink" Target="https://github.com/mims-harvard/TFC-pretraining" TargetMode="External"/><Relationship Id="rId53" Type="http://schemas.openxmlformats.org/officeDocument/2006/relationships/hyperlink" Target="https://archive.ics.uci.edu/" TargetMode="External"/><Relationship Id="rId54" Type="http://schemas.openxmlformats.org/officeDocument/2006/relationships/hyperlink" Target="https://physionet.org/" TargetMode="External"/><Relationship Id="rId55" Type="http://schemas.openxmlformats.org/officeDocument/2006/relationships/hyperlink" Target="https://www.timeseriesclassification.com/" TargetMode="External"/><Relationship Id="rId56" Type="http://schemas.openxmlformats.org/officeDocument/2006/relationships/hyperlink" Target="https://forecastingdata.org/" TargetMode="External"/><Relationship Id="rId57" Type="http://schemas.openxmlformats.org/officeDocument/2006/relationships/hyperlink" Target="https://zenodo.org/" TargetMode="External"/><Relationship Id="rId58" Type="http://schemas.openxmlformats.org/officeDocument/2006/relationships/hyperlink" Target="https://archive.ics.uci.edu/dataset/240/human+activity+recognition+using+smartphones" TargetMode="External"/><Relationship Id="rId59" Type="http://schemas.openxmlformats.org/officeDocument/2006/relationships/hyperlink" Target="https://arxiv.org/abs/2106.14112" TargetMode="External"/><Relationship Id="rId60" Type="http://schemas.openxmlformats.org/officeDocument/2006/relationships/hyperlink" Target="https://physionet.org/content/ptb-xl/1.0.3/" TargetMode="External"/><Relationship Id="rId61" Type="http://schemas.openxmlformats.org/officeDocument/2006/relationships/hyperlink" Target="https://arxiv.org/abs/2302.00861" TargetMode="External"/><Relationship Id="rId62" Type="http://schemas.openxmlformats.org/officeDocument/2006/relationships/hyperlink" Target="https://github.com/helme/ecg_ptbxl_benchmarking" TargetMode="External"/><Relationship Id="rId63" Type="http://schemas.openxmlformats.org/officeDocument/2006/relationships/hyperlink" Target="https://github.com/zhouhaoyi/ETDataset" TargetMode="External"/><Relationship Id="rId64" Type="http://schemas.openxmlformats.org/officeDocument/2006/relationships/hyperlink" Target="https://arxiv.org/abs/2202.01575" TargetMode="External"/><Relationship Id="rId65" Type="http://schemas.openxmlformats.org/officeDocument/2006/relationships/hyperlink" Target="https://github.com/salesforce/CoST" TargetMode="External"/><Relationship Id="rId66" Type="http://schemas.openxmlformats.org/officeDocument/2006/relationships/hyperlink" Target="https://github.com/cure-lab/LTSF-Linear" TargetMode="External"/><Relationship Id="rId67" Type="http://schemas.openxmlformats.org/officeDocument/2006/relationships/hyperlink" Target="https://arxiv.org/abs/2211.14730" TargetMode="External"/><Relationship Id="rId68" Type="http://schemas.openxmlformats.org/officeDocument/2006/relationships/hyperlink" Target="https://zenodo.org/records/15056919" TargetMode="External"/><Relationship Id="rId69" Type="http://schemas.openxmlformats.org/officeDocument/2006/relationships/hyperlink" Target="https://arxiv.org/abs/2503.16993" TargetMode="External"/><Relationship Id="rId70" Type="http://schemas.openxmlformats.org/officeDocument/2006/relationships/hyperlink" Target="https://github.com/tbrumue/heapo" TargetMode="External"/><Relationship Id="rId71" Type="http://schemas.openxmlformats.org/officeDocument/2006/relationships/hyperlink" Target="https://mb.uni-paderborn.de/en/kat/research/bearing-datacenter/data-sets-and-download" TargetMode="External"/><Relationship Id="rId72" Type="http://schemas.openxmlformats.org/officeDocument/2006/relationships/hyperlink" Target="https://arxiv.org/abs/2205.10803" TargetMode="External"/><Relationship Id="rId73" Type="http://schemas.openxmlformats.org/officeDocument/2006/relationships/hyperlink" Target="https://github.com/THUDM/GraphMAE" TargetMode="External"/><Relationship Id="rId74" Type="http://schemas.openxmlformats.org/officeDocument/2006/relationships/hyperlink" Target="https://groups.uni-paderborn.de/kat/BearingDataCenter/" TargetMode="External"/><Relationship Id="rId75" Type="http://schemas.openxmlformats.org/officeDocument/2006/relationships/hyperlink" Target="https://arxiv.org/abs/2206.08496" TargetMode="External"/><Relationship Id="rId76" Type="http://schemas.openxmlformats.org/officeDocument/2006/relationships/hyperlink" Target="https://github.com/state-spaces/mamba" TargetMode="External"/><Relationship Id="rId77" Type="http://schemas.openxmlformats.org/officeDocument/2006/relationships/hyperlink" Target="https://github.com/thuml/Autoformer" TargetMode="External"/><Relationship Id="rId78" Type="http://schemas.openxmlformats.org/officeDocument/2006/relationships/hyperlink" Target="https://arxiv.org/abs/2405.16440" TargetMode="External"/><Relationship Id="rId79" Type="http://schemas.openxmlformats.org/officeDocument/2006/relationships/hyperlink" Target="https://github.com/XiudingCai/MambaTS-pytorch" TargetMode="External"/><Relationship Id="rId80" Type="http://schemas.openxmlformats.org/officeDocument/2006/relationships/hyperlink" Target="https://decisionintelligence.github.io/OpenTS/OpenTS-Bench/datasets/" TargetMode="External"/><Relationship Id="rId81" Type="http://schemas.openxmlformats.org/officeDocument/2006/relationships/hyperlink" Target="https://arxiv.org/abs/2403.11144" TargetMode="External"/><Relationship Id="rId82" Type="http://schemas.openxmlformats.org/officeDocument/2006/relationships/hyperlink" Target="https://arxiv.org/abs/2406.05316" TargetMode="External"/><Relationship Id="rId83" Type="http://schemas.openxmlformats.org/officeDocument/2006/relationships/hyperlink" Target="https://arxiv.org/abs/2104.14294" TargetMode="External"/><Relationship Id="rId84" Type="http://schemas.openxmlformats.org/officeDocument/2006/relationships/hyperlink" Target="https://arxiv.org/abs/2304.07193" TargetMode="External"/><Relationship Id="rId85" Type="http://schemas.openxmlformats.org/officeDocument/2006/relationships/hyperlink" Target="https://github.com/facebookresearch/dinov2" TargetMode="External"/><Relationship Id="rId86" Type="http://schemas.openxmlformats.org/officeDocument/2006/relationships/hyperlink" Target="https://arxiv.org/abs/2405.14529" TargetMode="External"/><Relationship Id="rId87" Type="http://schemas.openxmlformats.org/officeDocument/2006/relationships/hyperlink" Target="https://github.com/dammsi/AnomalyDINO" TargetMode="External"/><Relationship Id="rId88" Type="http://schemas.openxmlformats.org/officeDocument/2006/relationships/hyperlink" Target="https://arxiv.org/abs/2106.09685" TargetMode="External"/><Relationship Id="rId89" Type="http://schemas.openxmlformats.org/officeDocument/2006/relationships/hyperlink" Target="https://github.com/huggingface/peft" TargetMode="External"/><Relationship Id="rId90" Type="http://schemas.openxmlformats.org/officeDocument/2006/relationships/hyperlink" Target="https://arxiv.org/abs/2111.06377" TargetMode="External"/><Relationship Id="rId91" Type="http://schemas.openxmlformats.org/officeDocument/2006/relationships/hyperlink" Target="https://www.mvtec.com/research-teaching/datasets/mvtec-ad" TargetMode="External"/><Relationship Id="rId92" Type="http://schemas.openxmlformats.org/officeDocument/2006/relationships/hyperlink" Target="https://huggingface.co/models" TargetMode="External"/><Relationship Id="rId93" Type="http://schemas.openxmlformats.org/officeDocument/2006/relationships/hyperlink" Target="https://github.com/huggingface/pytorch-image-models" TargetMode="External"/><Relationship Id="rId94" Type="http://schemas.openxmlformats.org/officeDocument/2006/relationships/hyperlink" Target="https://www.mvtec.com/research-teaching/datasets/mvtec-ad-2" TargetMode="External"/><Relationship Id="rId95" Type="http://schemas.openxmlformats.org/officeDocument/2006/relationships/hyperlink" Target="https://arxiv.org/abs/2106.08265" TargetMode="External"/><Relationship Id="rId96" Type="http://schemas.openxmlformats.org/officeDocument/2006/relationships/hyperlink" Target="https://amos22.grand-challenge.org/" TargetMode="External"/><Relationship Id="rId97" Type="http://schemas.openxmlformats.org/officeDocument/2006/relationships/hyperlink" Target="https://huggingface.co/facebook/dinov3-vits16-pretrain-lvd1689m" TargetMode="External"/><Relationship Id="rId98" Type="http://schemas.openxmlformats.org/officeDocument/2006/relationships/hyperlink" Target="https://github.com/ricklisz/MedDINOv3" TargetMode="External"/><Relationship Id="rId99" Type="http://schemas.openxmlformats.org/officeDocument/2006/relationships/hyperlink" Target="https://www.ub.edu/mnms/" TargetMode="External"/><Relationship Id="rId100" Type="http://schemas.openxmlformats.org/officeDocument/2006/relationships/hyperlink" Target="https://www.creatis.insa-lyon.fr/Challenge/acdc/" TargetMode="External"/><Relationship Id="rId101" Type="http://schemas.openxmlformats.org/officeDocument/2006/relationships/hyperlink" Target="https://flower.ai/" TargetMode="External"/><Relationship Id="rId102" Type="http://schemas.openxmlformats.org/officeDocument/2006/relationships/hyperlink" Target="https://monai.io/" TargetMode="External"/><Relationship Id="rId103" Type="http://schemas.openxmlformats.org/officeDocument/2006/relationships/hyperlink" Target="https://icml.cc/Conferences/2010/papers/449.pdf" TargetMode="External"/><Relationship Id="rId104" Type="http://schemas.openxmlformats.org/officeDocument/2006/relationships/hyperlink" Target="https://arxiv.org/abs/1912.10557" TargetMode="External"/><Relationship Id="rId105" Type="http://schemas.openxmlformats.org/officeDocument/2006/relationships/hyperlink" Target="http://papers.neurips.cc/paper/6406-deep-admm-net-for-compressive-sensing-mri.pdf" TargetMode="External"/><Relationship Id="rId106" Type="http://schemas.openxmlformats.org/officeDocument/2006/relationships/hyperlink" Target="https://doi.org/10.1109/TSP.2013.2288675" TargetMode="External"/><Relationship Id="rId107" Type="http://schemas.openxmlformats.org/officeDocument/2006/relationships/hyperlink" Target="https://github.com/vrcarva/vmdpy" TargetMode="External"/><Relationship Id="rId108" Type="http://schemas.openxmlformats.org/officeDocument/2006/relationships/hyperlink" Target="https://doi.org/10.1109/TSP.2019.2951223" TargetMode="External"/><Relationship Id="rId109" Type="http://schemas.openxmlformats.org/officeDocument/2006/relationships/hyperlink" Target="https://arxiv.org/abs/2509.00703" TargetMode="External"/><Relationship Id="rId110" Type="http://schemas.openxmlformats.org/officeDocument/2006/relationships/hyperlink" Target="https://github.com/OsamaAhmad369/MAGN" TargetMode="External"/><Relationship Id="rId111" Type="http://schemas.openxmlformats.org/officeDocument/2006/relationships/hyperlink" Target="https://github.com/liuxu77/LargeST" TargetMode="External"/><Relationship Id="rId112" Type="http://schemas.openxmlformats.org/officeDocument/2006/relationships/hyperlink" Target="https://www.mathworks.com/matlabcentral/fileexchange/72814-multivariate-variational-mode-decomposition" TargetMode="External"/><Relationship Id="rId113"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Industrial projects, graph applications, self-supervised time-series learning, vision models and signal processing</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