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Graph applications, self-supervised time series, vision models and signal processing</w:t>
      </w:r>
    </w:p>
    <w:p>
      <w:pPr>
        <w:pStyle w:val="Heading3"/>
      </w:pPr>
      <w:r>
        <w:t>How to use this portfolio</w:t>
      </w:r>
    </w:p>
    <w:p>
      <w:pPr>
        <w:spacing w:before="0" w:after="80" w:line="254" w:lineRule="auto"/>
      </w:pPr>
      <w:r>
        <w:t>The portfolio contains thirteen projects in four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Remaining useful life prediction for aircraft engines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Very light to light</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Illicit Bitcoin transaction detection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1.4</w:t>
            </w:r>
          </w:p>
        </w:tc>
        <w:tc>
          <w:tcPr>
            <w:tcW w:type="dxa" w:w="2438"/>
            <w:shd w:fill="F4F6F8"/>
            <w:tcMar>
              <w:top w:w="70" w:type="dxa"/>
              <w:start w:w="110" w:type="dxa"/>
              <w:bottom w:w="70" w:type="dxa"/>
              <w:end w:w="110" w:type="dxa"/>
            </w:tcMar>
          </w:tcPr>
          <w:p>
            <w:pPr>
              <w:spacing w:after="0" w:line="240" w:lineRule="auto"/>
            </w:pPr>
            <w:r>
              <w:t>Graph-based movie recommendation with accuracy and coverage</w:t>
            </w:r>
          </w:p>
        </w:tc>
        <w:tc>
          <w:tcPr>
            <w:tcW w:type="dxa" w:w="2438"/>
            <w:shd w:fill="F4F6F8"/>
            <w:tcMar>
              <w:top w:w="70" w:type="dxa"/>
              <w:start w:w="110" w:type="dxa"/>
              <w:bottom w:w="70" w:type="dxa"/>
              <w:end w:w="110" w:type="dxa"/>
            </w:tcMar>
          </w:tcPr>
          <w:p>
            <w:pPr>
              <w:spacing w:after="0" w:line="240" w:lineRule="auto"/>
            </w:pPr>
            <w:r>
              <w:t>BSc only</w:t>
            </w:r>
          </w:p>
        </w:tc>
        <w:tc>
          <w:tcPr>
            <w:tcW w:type="dxa" w:w="2438"/>
            <w:shd w:fill="F4F6F8"/>
            <w:tcMar>
              <w:top w:w="70" w:type="dxa"/>
              <w:start w:w="110" w:type="dxa"/>
              <w:bottom w:w="70" w:type="dxa"/>
              <w:end w:w="110" w:type="dxa"/>
            </w:tcMar>
          </w:tcPr>
          <w:p>
            <w:pPr>
              <w:spacing w:after="0" w:line="240" w:lineRule="auto"/>
            </w:pPr>
            <w:r>
              <w:t>Very light</w:t>
            </w:r>
          </w:p>
        </w:tc>
      </w:tr>
      <w:tr>
        <w:trPr>
          <w:cantSplit/>
        </w:trPr>
        <w:tc>
          <w:tcPr>
            <w:tcW w:type="dxa" w:w="2438"/>
            <w:shd w:fill="FFFFFF"/>
            <w:tcMar>
              <w:top w:w="70" w:type="dxa"/>
              <w:start w:w="110" w:type="dxa"/>
              <w:bottom w:w="70" w:type="dxa"/>
              <w:end w:w="110" w:type="dxa"/>
            </w:tcMar>
          </w:tcPr>
          <w:p>
            <w:pPr>
              <w:spacing w:after="0" w:line="240" w:lineRule="auto"/>
            </w:pPr>
            <w:r>
              <w:t>1.5</w:t>
            </w:r>
          </w:p>
        </w:tc>
        <w:tc>
          <w:tcPr>
            <w:tcW w:type="dxa" w:w="2438"/>
            <w:shd w:fill="FFFFFF"/>
            <w:tcMar>
              <w:top w:w="70" w:type="dxa"/>
              <w:start w:w="110" w:type="dxa"/>
              <w:bottom w:w="70" w:type="dxa"/>
              <w:end w:w="110" w:type="dxa"/>
            </w:tcMar>
          </w:tcPr>
          <w:p>
            <w:pPr>
              <w:spacing w:after="0" w:line="240" w:lineRule="auto"/>
            </w:pPr>
            <w:r>
              <w:t>Molecular HIV activity prediction with calibrated GNNs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Tetra Pak industrial collaboration: Regime-aware self-supervised learning for non-stationary filtration cycles</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2.6</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4.1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GNN applications for real-world data</w:t>
      </w:r>
    </w:p>
    <w:p>
      <w:pPr>
        <w:spacing w:before="0" w:after="100" w:line="254" w:lineRule="auto"/>
      </w:pPr>
      <w:r>
        <w:t>These projects begin with a practical decision: estimate remaining life, forecast traffic, detect illicit activity, recommend an item or screen a molecule. The student must explain what the nodes and edges mean and test whether the graph adds value beyond a non-graph model.</w:t>
      </w:r>
    </w:p>
    <w:p>
      <w:pPr>
        <w:pStyle w:val="Heading3"/>
      </w:pPr>
      <w:r>
        <w:t>Application project requirements</w:t>
      </w:r>
    </w:p>
    <w:p>
      <w:pPr>
        <w:spacing w:before="0" w:after="80" w:line="254" w:lineRule="auto"/>
      </w:pPr>
      <w:r>
        <w:t>Specify a public dataset, graph construction, task type, primary metric, non-graph baseline and graph baseline. Include an edge-removal, edge-randomisation or alternative-graph experiment, and discuss leakage and limitations.</w:t>
      </w:r>
    </w:p>
    <w:p>
      <w:pPr>
        <w:spacing w:before="0" w:after="80" w:line="254" w:lineRule="auto"/>
      </w:pPr>
      <w:r>
        <w:t>The evaluation should show whether sensor dependence, transaction flow, road connectivity, user–item structure or molecular bonding changes the prediction.</w:t>
      </w:r>
    </w:p>
    <w:p>
      <w:pPr>
        <w:pStyle w:val="Heading2"/>
      </w:pPr>
      <w:r>
        <w:t>Learn first and find ideas</w:t>
      </w:r>
    </w:p>
    <w:p>
      <w:pPr>
        <w:pStyle w:val="ListBullet"/>
        <w:spacing w:before="0" w:after="40" w:line="254" w:lineRule="auto"/>
      </w:pPr>
      <w:hyperlink r:id="rId13">
        <w:r>
          <w:rPr>
            <w:color w:val="2F5597"/>
            <w:u w:val="single"/>
          </w:rPr>
          <w:t>Stanford CS224W course and project guidance</w:t>
        </w:r>
      </w:hyperlink>
      <w:r>
        <w:t xml:space="preserve"> and the </w:t>
      </w:r>
      <w:hyperlink r:id="rId14">
        <w:r>
          <w:rPr>
            <w:color w:val="2F5597"/>
            <w:u w:val="single"/>
          </w:rPr>
          <w:t>CS224W student-project archive</w:t>
        </w:r>
      </w:hyperlink>
      <w:r>
        <w:t>.</w:t>
      </w:r>
    </w:p>
    <w:p>
      <w:pPr>
        <w:pStyle w:val="ListBullet"/>
        <w:spacing w:before="0" w:after="40" w:line="254" w:lineRule="auto"/>
      </w:pPr>
      <w:hyperlink r:id="rId15">
        <w:r>
          <w:rPr>
            <w:color w:val="2F5597"/>
            <w:u w:val="single"/>
          </w:rPr>
          <w:t>PyTorch Geometric dataset catalogue</w:t>
        </w:r>
      </w:hyperlink>
      <w:r>
        <w:t xml:space="preserve">, </w:t>
      </w:r>
      <w:hyperlink r:id="rId16">
        <w:r>
          <w:rPr>
            <w:color w:val="2F5597"/>
            <w:u w:val="single"/>
          </w:rPr>
          <w:t>Open Graph Benchmark</w:t>
        </w:r>
      </w:hyperlink>
      <w:r>
        <w:t xml:space="preserve">, </w:t>
      </w:r>
      <w:hyperlink r:id="rId17">
        <w:r>
          <w:rPr>
            <w:color w:val="2F5597"/>
            <w:u w:val="single"/>
          </w:rPr>
          <w:t>SNAP datasets</w:t>
        </w:r>
      </w:hyperlink>
      <w:r>
        <w:t xml:space="preserve"> and the </w:t>
      </w:r>
      <w:hyperlink r:id="rId18">
        <w:r>
          <w:rPr>
            <w:color w:val="2F5597"/>
            <w:u w:val="single"/>
          </w:rPr>
          <w:t>Temporal Graph Benchmark</w:t>
        </w:r>
      </w:hyperlink>
      <w:r>
        <w:t>.</w:t>
      </w:r>
    </w:p>
    <w:p>
      <w:pPr>
        <w:pStyle w:val="ListBullet"/>
        <w:spacing w:before="0" w:after="40" w:line="254" w:lineRule="auto"/>
      </w:pPr>
      <w:r>
        <w:t xml:space="preserve">Stanford examples: </w:t>
      </w:r>
      <w:hyperlink r:id="rId19">
        <w:r>
          <w:rPr>
            <w:color w:val="2F5597"/>
            <w:u w:val="single"/>
          </w:rPr>
          <w:t>traffic as a dynamic graph</w:t>
        </w:r>
      </w:hyperlink>
      <w:r>
        <w:t xml:space="preserve">, </w:t>
      </w:r>
      <w:hyperlink r:id="rId20">
        <w:r>
          <w:rPr>
            <w:color w:val="2F5597"/>
            <w:u w:val="single"/>
          </w:rPr>
          <w:t>water quality with RGCNs</w:t>
        </w:r>
      </w:hyperlink>
      <w:r>
        <w:t xml:space="preserve">, </w:t>
      </w:r>
      <w:hyperlink r:id="rId21">
        <w:r>
          <w:rPr>
            <w:color w:val="2F5597"/>
            <w:u w:val="single"/>
          </w:rPr>
          <w:t>fake-news detection</w:t>
        </w:r>
      </w:hyperlink>
      <w:r>
        <w:t xml:space="preserve"> and </w:t>
      </w:r>
      <w:hyperlink r:id="rId22">
        <w:r>
          <w:rPr>
            <w:color w:val="2F5597"/>
            <w:u w:val="single"/>
          </w:rPr>
          <w:t>NFT transaction prediction</w:t>
        </w:r>
      </w:hyperlink>
      <w:r>
        <w:t>.</w:t>
      </w:r>
    </w:p>
    <w:p>
      <w:r>
        <w:br w:type="page"/>
      </w:r>
    </w:p>
    <w:p>
      <w:pPr>
        <w:pStyle w:val="Heading2"/>
        <w:spacing w:after="140"/>
      </w:pPr>
      <w:r>
        <w:t>Project 1.1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23">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24">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25">
        <w:r>
          <w:rPr>
            <w:color w:val="2F5597"/>
            <w:u w:val="single"/>
          </w:rPr>
          <w:t>GNN RUL benchmark</w:t>
        </w:r>
      </w:hyperlink>
      <w:r>
        <w:t xml:space="preserve"> is a useful reference; a small </w:t>
      </w:r>
      <w:hyperlink r:id="rId26">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1.2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27">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28">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29">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1.3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0">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31">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26">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1.4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2">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33">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26">
        <w:r>
          <w:rPr>
            <w:color w:val="2F5597"/>
            <w:u w:val="single"/>
          </w:rPr>
          <w:t>PyTorch Geometric</w:t>
        </w:r>
      </w:hyperlink>
      <w:r>
        <w:t xml:space="preserve"> implementation is simpler than adapting the </w:t>
      </w:r>
      <w:hyperlink r:id="rId34">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1.5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5">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36">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16">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37">
        <w:r>
          <w:rPr>
            <w:color w:val="2F5597"/>
            <w:u w:val="single"/>
          </w:rPr>
          <w:t>RDKit</w:t>
        </w:r>
      </w:hyperlink>
      <w:r>
        <w:t xml:space="preserve"> against GCN and edge-aware GINE models. OGB and </w:t>
      </w:r>
      <w:hyperlink r:id="rId26">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2  Self supervised representation learning for time series</w:t>
      </w:r>
    </w:p>
    <w:p>
      <w:pPr>
        <w:spacing w:before="0" w:after="100" w:line="254" w:lineRule="auto"/>
      </w:pPr>
      <w:r>
        <w:t>Industrial and healthcare time series are abundant, but labels often require a technician, clinician or field inspection. Self-supervised learning creates a training signal from the recordings themselves, then tests whether a small downstream head can solve a labelled task with less supervision.</w:t>
      </w:r>
    </w:p>
    <w:p>
      <w:pPr>
        <w:pStyle w:val="Heading3"/>
      </w:pPr>
      <w:r>
        <w:t>Three ideas to understand</w:t>
      </w:r>
    </w:p>
    <w:p>
      <w:pPr>
        <w:spacing w:before="0" w:after="80" w:line="254" w:lineRule="auto"/>
      </w:pPr>
      <w:r>
        <w:rPr>
          <w:b/>
        </w:rPr>
        <w:t>Contrastive learning</w:t>
      </w:r>
      <w:r>
        <w:t xml:space="preserve"> makes representations of two valid views of the same recording similar. </w:t>
      </w:r>
      <w:r>
        <w:rPr>
          <w:b/>
        </w:rPr>
        <w:t>Masked modelling</w:t>
      </w:r>
      <w:r>
        <w:t xml:space="preserve"> reconstructs hidden samples or patches. </w:t>
      </w:r>
      <w:r>
        <w:rPr>
          <w:b/>
        </w:rPr>
        <w:t>Latent prediction or JEPA-style learning</w:t>
      </w:r>
      <w:r>
        <w:t xml:space="preserve"> predicts hidden representations rather than raw values and therefore needs explicit collapse monitoring.</w:t>
      </w:r>
    </w:p>
    <w:p>
      <w:pPr>
        <w:spacing w:before="0" w:after="80" w:line="254" w:lineRule="auto"/>
      </w:pPr>
      <w:r>
        <w:t>Possible MSc contributions include physically valid view or mask construction: rotating inertial axes consistently, hiding related ECG leads, aligning energy windows by seasonal phase, matching smart-meter views by outdoor temperature or constructing vibration graphs from bearing kinematics.</w:t>
      </w:r>
    </w:p>
    <w:p>
      <w:pPr>
        <w:pStyle w:val="Heading2"/>
      </w:pPr>
      <w:r>
        <w:t>Learn first and find data</w:t>
      </w:r>
    </w:p>
    <w:p>
      <w:pPr>
        <w:pStyle w:val="ListBullet"/>
        <w:spacing w:before="0" w:after="40" w:line="254" w:lineRule="auto"/>
      </w:pPr>
      <w:r>
        <w:t xml:space="preserve">Introductory methods with code: </w:t>
      </w:r>
      <w:hyperlink r:id="rId38">
        <w:r>
          <w:rPr>
            <w:color w:val="2F5597"/>
            <w:u w:val="single"/>
          </w:rPr>
          <w:t>TS-TCC</w:t>
        </w:r>
      </w:hyperlink>
      <w:r>
        <w:t xml:space="preserve">, </w:t>
      </w:r>
      <w:hyperlink r:id="rId39">
        <w:r>
          <w:rPr>
            <w:color w:val="2F5597"/>
            <w:u w:val="single"/>
          </w:rPr>
          <w:t>TS2Vec</w:t>
        </w:r>
      </w:hyperlink>
      <w:r>
        <w:t xml:space="preserve">, </w:t>
      </w:r>
      <w:hyperlink r:id="rId40">
        <w:r>
          <w:rPr>
            <w:color w:val="2F5597"/>
            <w:u w:val="single"/>
          </w:rPr>
          <w:t>TF-C</w:t>
        </w:r>
      </w:hyperlink>
      <w:r>
        <w:t xml:space="preserve"> and </w:t>
      </w:r>
      <w:hyperlink r:id="rId41">
        <w:r>
          <w:rPr>
            <w:color w:val="2F5597"/>
            <w:u w:val="single"/>
          </w:rPr>
          <w:t>SimMTM</w:t>
        </w:r>
      </w:hyperlink>
      <w:r>
        <w:t>.</w:t>
      </w:r>
    </w:p>
    <w:p>
      <w:pPr>
        <w:pStyle w:val="ListBullet"/>
        <w:spacing w:before="0" w:after="40" w:line="254" w:lineRule="auto"/>
      </w:pPr>
      <w:r>
        <w:t xml:space="preserve">Dataset sources: </w:t>
      </w:r>
      <w:hyperlink r:id="rId42">
        <w:r>
          <w:rPr>
            <w:color w:val="2F5597"/>
            <w:u w:val="single"/>
          </w:rPr>
          <w:t>UCI Machine Learning Repository</w:t>
        </w:r>
      </w:hyperlink>
      <w:r>
        <w:t xml:space="preserve">, </w:t>
      </w:r>
      <w:hyperlink r:id="rId43">
        <w:r>
          <w:rPr>
            <w:color w:val="2F5597"/>
            <w:u w:val="single"/>
          </w:rPr>
          <w:t>PhysioNet</w:t>
        </w:r>
      </w:hyperlink>
      <w:r>
        <w:t xml:space="preserve">, </w:t>
      </w:r>
      <w:hyperlink r:id="rId44">
        <w:r>
          <w:rPr>
            <w:color w:val="2F5597"/>
            <w:u w:val="single"/>
          </w:rPr>
          <w:t>UCR/UEA time-series archive</w:t>
        </w:r>
      </w:hyperlink>
      <w:r>
        <w:t xml:space="preserve">, </w:t>
      </w:r>
      <w:hyperlink r:id="rId45">
        <w:r>
          <w:rPr>
            <w:color w:val="2F5597"/>
            <w:u w:val="single"/>
          </w:rPr>
          <w:t>Monash forecasting archive</w:t>
        </w:r>
      </w:hyperlink>
      <w:r>
        <w:t xml:space="preserve"> and </w:t>
      </w:r>
      <w:hyperlink r:id="rId46">
        <w:r>
          <w:rPr>
            <w:color w:val="2F5597"/>
            <w:u w:val="single"/>
          </w:rPr>
          <w:t>Zenodo</w:t>
        </w:r>
      </w:hyperlink>
      <w:r>
        <w:t>.</w:t>
      </w:r>
    </w:p>
    <w:p>
      <w:pPr>
        <w:pStyle w:val="ListBullet"/>
        <w:spacing w:before="0" w:after="40" w:line="254" w:lineRule="auto"/>
      </w:pPr>
      <w:r>
        <w:t>Stanford CS224W is graph-focused, so its project archive is most directly useful for Categories 1 and 3. For this category, use the method repositories above and the shared evaluation protocol in this document.</w:t>
      </w:r>
    </w:p>
    <w:p>
      <w:pPr>
        <w:pStyle w:val="Heading3"/>
      </w:pPr>
      <w:r>
        <w:t>Collapse warning</w:t>
      </w:r>
    </w:p>
    <w:p>
      <w:pPr>
        <w:spacing w:before="0" w:after="80" w:line="254" w:lineRule="auto"/>
      </w:pPr>
      <w:r>
        <w:t>A latent-predictive model can minimise its objective with nearly constant embeddings. Monitor per-dimension variance, covariance or off-diagonal correlation and downstream random-control performance from the first epoch. A smooth pretraining loss does not establish that the representation is useful.</w:t>
      </w:r>
    </w:p>
    <w:p>
      <w:r>
        <w:br w:type="page"/>
      </w:r>
    </w:p>
    <w:p>
      <w:pPr>
        <w:pStyle w:val="Heading2"/>
        <w:spacing w:after="140"/>
      </w:pPr>
      <w:r>
        <w:t>Project 2.1  Tetra Pak industrial collaboration: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by Tetra Pak under an approved agreement;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47">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Cycle-to-cycle differences are large. You will learn representations that account for the plant's operating regimes, then test whether they predict an operational target better than representations that ignore regime.</w:t>
      </w:r>
    </w:p>
    <w:p>
      <w:pPr>
        <w:spacing w:before="0" w:after="100" w:line="254" w:lineRule="auto"/>
      </w:pPr>
      <w:r>
        <w:rPr>
          <w:b/>
          <w:color w:val="25313C"/>
        </w:rPr>
        <w:t xml:space="preserve">Data. </w:t>
      </w:r>
      <w:r>
        <w:t>Tetra Pak will provide anonymised process data or a secure environment; the data are not public. Required fields include cycle boundaries, flow, pressure, temperature, power or energy, setpoints and operating-regime information. Data volume, sampling rate and the downstream target must be confirmed before allocation. Split by complete cycle and preserve time order.</w:t>
      </w:r>
    </w:p>
    <w:p>
      <w:pPr>
        <w:spacing w:before="0" w:after="100" w:line="254" w:lineRule="auto"/>
      </w:pPr>
      <w:r>
        <w:rPr>
          <w:b/>
          <w:color w:val="25313C"/>
        </w:rPr>
        <w:t xml:space="preserve">Methods and code. </w:t>
      </w:r>
      <w:r>
        <w:t xml:space="preserve">Use </w:t>
      </w:r>
      <w:hyperlink r:id="rId39">
        <w:r>
          <w:rPr>
            <w:color w:val="2F5597"/>
            <w:u w:val="single"/>
          </w:rPr>
          <w:t>TS2Vec</w:t>
        </w:r>
      </w:hyperlink>
      <w:r>
        <w:t xml:space="preserve">, </w:t>
      </w:r>
      <w:hyperlink r:id="rId38">
        <w:r>
          <w:rPr>
            <w:color w:val="2F5597"/>
            <w:u w:val="single"/>
          </w:rPr>
          <w:t>TS-TCC</w:t>
        </w:r>
      </w:hyperlink>
      <w:r>
        <w:t xml:space="preserve"> or </w:t>
      </w:r>
      <w:hyperlink r:id="rId41">
        <w:r>
          <w:rPr>
            <w:color w:val="2F5597"/>
            <w:u w:val="single"/>
          </w:rPr>
          <w:t>SimMTM</w:t>
        </w:r>
      </w:hyperlink>
      <w:r>
        <w:t xml:space="preserve"> with a compact 1-D CNN, TCN or GRU. Use change-point detection and clustering to identify regimes before pretraining.</w:t>
      </w:r>
    </w:p>
    <w:p>
      <w:pPr>
        <w:spacing w:before="0" w:after="100" w:line="254" w:lineRule="auto"/>
      </w:pPr>
      <w:r>
        <w:rPr>
          <w:b/>
          <w:color w:val="25313C"/>
        </w:rPr>
        <w:t xml:space="preserve">Baselines and evaluation. </w:t>
      </w:r>
      <w:r>
        <w:t>Compare a statistical baseline, supervised TCN/GRU, generic SSL and a regime-aware encoder. Include random-frozen and frozen-probe controls. Use MAE for early prediction of final specific energy, or AUPRC for an agreed anomaly label. Report label-efficiency results and three seeds when the number of independent cycles permits.</w:t>
      </w:r>
    </w:p>
    <w:p>
      <w:pPr>
        <w:spacing w:before="0" w:after="100" w:line="254" w:lineRule="auto"/>
      </w:pPr>
      <w:r>
        <w:rPr>
          <w:b/>
          <w:color w:val="25313C"/>
        </w:rPr>
        <w:t xml:space="preserve">Practical notes. </w:t>
      </w:r>
      <w:r>
        <w:t>Confirm the independent-cycle count and one measurable target before allocation. Data and trained artefacts remain subject to the AU–Tetra Pak agreement.</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separate legitimate process variation from energy inefficiency or abnormal behaviour better than generic augmentations?</w:t>
      </w:r>
      <w:r>
        <w:t xml:space="preserve"> The contribution is the process-aware view or masking design plus a matched-budget comparison against generic augmentation, including transfer to a held-out regime, line or product. Rerunning an unchanged TS2Vec or TS-TCC is a reproduction, not the contribution.</w:t>
      </w:r>
    </w:p>
    <w:p>
      <w:r>
        <w:br w:type="page"/>
      </w:r>
    </w:p>
    <w:p>
      <w:pPr>
        <w:pStyle w:val="Heading2"/>
        <w:spacing w:after="140"/>
      </w:pPr>
      <w:r>
        <w:t>Project 2.2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8">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4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38">
        <w:r>
          <w:rPr>
            <w:color w:val="2F5597"/>
            <w:u w:val="single"/>
          </w:rPr>
          <w:t>TS-TCC</w:t>
        </w:r>
      </w:hyperlink>
      <w:r>
        <w:t xml:space="preserve"> or </w:t>
      </w:r>
      <w:hyperlink r:id="rId39">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2.3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0">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51">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41">
        <w:r>
          <w:rPr>
            <w:color w:val="2F5597"/>
            <w:u w:val="single"/>
          </w:rPr>
          <w:t>SimMTM</w:t>
        </w:r>
      </w:hyperlink>
      <w:r>
        <w:t xml:space="preserve"> or </w:t>
      </w:r>
      <w:hyperlink r:id="rId39">
        <w:r>
          <w:rPr>
            <w:color w:val="2F5597"/>
            <w:u w:val="single"/>
          </w:rPr>
          <w:t>TS2Vec</w:t>
        </w:r>
      </w:hyperlink>
      <w:r>
        <w:t xml:space="preserve"> and a 1-D ResNet or compact Transformer. The </w:t>
      </w:r>
      <w:hyperlink r:id="rId52">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2.4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3">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54">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55">
        <w:r>
          <w:rPr>
            <w:color w:val="2F5597"/>
            <w:u w:val="single"/>
          </w:rPr>
          <w:t>CoST</w:t>
        </w:r>
      </w:hyperlink>
      <w:r>
        <w:t xml:space="preserve">, </w:t>
      </w:r>
      <w:hyperlink r:id="rId39">
        <w:r>
          <w:rPr>
            <w:color w:val="2F5597"/>
            <w:u w:val="single"/>
          </w:rPr>
          <w:t>TS2Vec</w:t>
        </w:r>
      </w:hyperlink>
      <w:r>
        <w:t xml:space="preserve"> or </w:t>
      </w:r>
      <w:hyperlink r:id="rId41">
        <w:r>
          <w:rPr>
            <w:color w:val="2F5597"/>
            <w:u w:val="single"/>
          </w:rPr>
          <w:t>SimMTM</w:t>
        </w:r>
      </w:hyperlink>
      <w:r>
        <w:t xml:space="preserve"> for pretraining. </w:t>
      </w:r>
      <w:hyperlink r:id="rId56">
        <w:r>
          <w:rPr>
            <w:color w:val="2F5597"/>
            <w:u w:val="single"/>
          </w:rPr>
          <w:t>DLinear</w:t>
        </w:r>
      </w:hyperlink>
      <w:r>
        <w:t xml:space="preserve"> is the required supervised reference; </w:t>
      </w:r>
      <w:hyperlink r:id="rId57">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2.5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8">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59">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60">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39">
        <w:r>
          <w:rPr>
            <w:color w:val="2F5597"/>
            <w:u w:val="single"/>
          </w:rPr>
          <w:t>TS2Vec</w:t>
        </w:r>
      </w:hyperlink>
      <w:r>
        <w:t xml:space="preserve"> or </w:t>
      </w:r>
      <w:hyperlink r:id="rId41">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2.6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1">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62">
              <w:r>
                <w:rPr>
                  <w:color w:val="2F5597"/>
                  <w:u w:val="single"/>
                </w:rPr>
                <w:t>GraphMAE</w:t>
              </w:r>
            </w:hyperlink>
            <w:r>
              <w:t xml:space="preserve">, KDD 2022 — </w:t>
            </w:r>
            <w:hyperlink r:id="rId63">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64">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63">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1"/>
      </w:pPr>
      <w:r>
        <w:t>Category 3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65">
        <w:r>
          <w:rPr>
            <w:color w:val="2F5597"/>
            <w:u w:val="single"/>
          </w:rPr>
          <w:t>DINO</w:t>
        </w:r>
      </w:hyperlink>
      <w:r>
        <w:t xml:space="preserve">, </w:t>
      </w:r>
      <w:hyperlink r:id="rId66">
        <w:r>
          <w:rPr>
            <w:color w:val="2F5597"/>
            <w:u w:val="single"/>
          </w:rPr>
          <w:t>DINOv2</w:t>
        </w:r>
      </w:hyperlink>
      <w:r>
        <w:t xml:space="preserve">, the </w:t>
      </w:r>
      <w:hyperlink r:id="rId67">
        <w:r>
          <w:rPr>
            <w:color w:val="2F5597"/>
            <w:u w:val="single"/>
          </w:rPr>
          <w:t>DINOv2 model card and code</w:t>
        </w:r>
      </w:hyperlink>
      <w:r>
        <w:t xml:space="preserve">, and </w:t>
      </w:r>
      <w:hyperlink r:id="rId68">
        <w:r>
          <w:rPr>
            <w:color w:val="2F5597"/>
            <w:u w:val="single"/>
          </w:rPr>
          <w:t>AnomalyDINO</w:t>
        </w:r>
      </w:hyperlink>
      <w:r>
        <w:t xml:space="preserve"> with its </w:t>
      </w:r>
      <w:hyperlink r:id="rId69">
        <w:r>
          <w:rPr>
            <w:color w:val="2F5597"/>
            <w:u w:val="single"/>
          </w:rPr>
          <w:t>official code</w:t>
        </w:r>
      </w:hyperlink>
      <w:r>
        <w:t>.</w:t>
      </w:r>
    </w:p>
    <w:p>
      <w:pPr>
        <w:pStyle w:val="ListBullet"/>
        <w:spacing w:before="0" w:after="40" w:line="254" w:lineRule="auto"/>
      </w:pPr>
      <w:r>
        <w:t xml:space="preserve">Parameter-efficient adaptation: </w:t>
      </w:r>
      <w:hyperlink r:id="rId70">
        <w:r>
          <w:rPr>
            <w:color w:val="2F5597"/>
            <w:u w:val="single"/>
          </w:rPr>
          <w:t>LoRA</w:t>
        </w:r>
      </w:hyperlink>
      <w:r>
        <w:t xml:space="preserve"> and the </w:t>
      </w:r>
      <w:hyperlink r:id="rId71">
        <w:r>
          <w:rPr>
            <w:color w:val="2F5597"/>
            <w:u w:val="single"/>
          </w:rPr>
          <w:t>Hugging Face PEFT library</w:t>
        </w:r>
      </w:hyperlink>
      <w:r>
        <w:t>.</w:t>
      </w:r>
    </w:p>
    <w:p>
      <w:pPr>
        <w:pStyle w:val="ListBullet"/>
        <w:spacing w:before="0" w:after="40" w:line="254" w:lineRule="auto"/>
      </w:pPr>
      <w:r>
        <w:t xml:space="preserve">Normal-only objectives: </w:t>
      </w:r>
      <w:hyperlink r:id="rId65">
        <w:r>
          <w:rPr>
            <w:color w:val="2F5597"/>
            <w:u w:val="single"/>
          </w:rPr>
          <w:t>DINO self-distillation</w:t>
        </w:r>
      </w:hyperlink>
      <w:r>
        <w:t xml:space="preserve"> and </w:t>
      </w:r>
      <w:hyperlink r:id="rId72">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73">
        <w:r>
          <w:rPr>
            <w:color w:val="2F5597"/>
            <w:u w:val="single"/>
          </w:rPr>
          <w:t>MVTec AD</w:t>
        </w:r>
      </w:hyperlink>
      <w:r>
        <w:t xml:space="preserve">, </w:t>
      </w:r>
      <w:hyperlink r:id="rId74">
        <w:r>
          <w:rPr>
            <w:color w:val="2F5597"/>
            <w:u w:val="single"/>
          </w:rPr>
          <w:t>Hugging Face models</w:t>
        </w:r>
      </w:hyperlink>
      <w:r>
        <w:t xml:space="preserve"> and </w:t>
      </w:r>
      <w:hyperlink r:id="rId75">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3.1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3">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66">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73">
        <w:r>
          <w:rPr>
            <w:color w:val="2F5597"/>
            <w:u w:val="single"/>
          </w:rPr>
          <w:t>MVTec AD</w:t>
        </w:r>
      </w:hyperlink>
      <w:r>
        <w:t xml:space="preserve"> contains 5,354 images in 15 categories, with defect-free training images and labelled normal and defective test images. </w:t>
      </w:r>
      <w:hyperlink r:id="rId76">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67">
        <w:r>
          <w:rPr>
            <w:color w:val="2F5597"/>
            <w:u w:val="single"/>
          </w:rPr>
          <w:t>Apache-2.0 repository</w:t>
        </w:r>
      </w:hyperlink>
      <w:r>
        <w:t xml:space="preserve">. The frozen route follows </w:t>
      </w:r>
      <w:hyperlink r:id="rId69">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71">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77">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1"/>
      </w:pPr>
      <w:r>
        <w:t>Category 4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2: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78">
        <w:r>
          <w:rPr>
            <w:color w:val="2F5597"/>
            <w:u w:val="single"/>
          </w:rPr>
          <w:t>Learning Fast Approximations of Sparse Coding (LISTA)</w:t>
        </w:r>
      </w:hyperlink>
      <w:r>
        <w:t xml:space="preserve">, ICML 2010; Monga, Li and Eldar, </w:t>
      </w:r>
      <w:hyperlink r:id="rId79">
        <w:r>
          <w:rPr>
            <w:color w:val="2F5597"/>
            <w:u w:val="single"/>
          </w:rPr>
          <w:t>Algorithm Unrolling</w:t>
        </w:r>
      </w:hyperlink>
      <w:r>
        <w:t xml:space="preserve">, IEEE SPM 2021; and Yang et al., </w:t>
      </w:r>
      <w:hyperlink r:id="rId80">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81">
        <w:r>
          <w:rPr>
            <w:color w:val="2F5597"/>
            <w:u w:val="single"/>
          </w:rPr>
          <w:t>Variational Mode Decomposition</w:t>
        </w:r>
      </w:hyperlink>
      <w:r>
        <w:t xml:space="preserve">, with </w:t>
      </w:r>
      <w:hyperlink r:id="rId82">
        <w:r>
          <w:rPr>
            <w:color w:val="2F5597"/>
            <w:u w:val="single"/>
          </w:rPr>
          <w:t>reference Python code</w:t>
        </w:r>
      </w:hyperlink>
      <w:r>
        <w:t xml:space="preserve">, and Rehman and Aftab, </w:t>
      </w:r>
      <w:hyperlink r:id="rId83">
        <w:r>
          <w:rPr>
            <w:color w:val="2F5597"/>
            <w:u w:val="single"/>
          </w:rPr>
          <w:t>Multivariate Variational Mode Decomposition</w:t>
        </w:r>
      </w:hyperlink>
      <w:r>
        <w:t>.</w:t>
      </w:r>
    </w:p>
    <w:p>
      <w:pPr>
        <w:pStyle w:val="ListBullet"/>
        <w:spacing w:before="0" w:after="40" w:line="254" w:lineRule="auto"/>
      </w:pPr>
      <w:r>
        <w:t xml:space="preserve">Ahmad et al., </w:t>
      </w:r>
      <w:hyperlink r:id="rId84">
        <w:r>
          <w:rPr>
            <w:color w:val="2F5597"/>
            <w:u w:val="single"/>
          </w:rPr>
          <w:t>Robust Spatiotemporal Forecasting Using Adaptive Deep-Unfolded VMD</w:t>
        </w:r>
      </w:hyperlink>
      <w:r>
        <w:t xml:space="preserve">, 2025 preprint, with the </w:t>
      </w:r>
      <w:hyperlink r:id="rId85">
        <w:r>
          <w:rPr>
            <w:color w:val="2F5597"/>
            <w:u w:val="single"/>
          </w:rPr>
          <w:t>authors' repository</w:t>
        </w:r>
      </w:hyperlink>
      <w:r>
        <w:t>. The repository currently has no licence file.</w:t>
      </w:r>
    </w:p>
    <w:p>
      <w:r>
        <w:br w:type="page"/>
      </w:r>
    </w:p>
    <w:p>
      <w:pPr>
        <w:pStyle w:val="Heading2"/>
        <w:spacing w:after="140"/>
      </w:pPr>
      <w:r>
        <w:t>Project 4.1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86">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84">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86">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87">
        <w:r>
          <w:rPr>
            <w:color w:val="2F5597"/>
            <w:u w:val="single"/>
          </w:rPr>
          <w:t>original MATLAB implementation</w:t>
        </w:r>
      </w:hyperlink>
      <w:r>
        <w:t xml:space="preserve"> and an </w:t>
      </w:r>
      <w:hyperlink r:id="rId88">
        <w:r>
          <w:rPr>
            <w:color w:val="2F5597"/>
            <w:u w:val="single"/>
          </w:rPr>
          <w:t>MIT-licensed Python implementation</w:t>
        </w:r>
      </w:hyperlink>
      <w:r>
        <w:t xml:space="preserve">. Reimplement the UVMD equations from the </w:t>
      </w:r>
      <w:hyperlink r:id="rId84">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Eight projects are available at Bachelor level: </w:t>
      </w:r>
      <w:r>
        <w:rPr>
          <w:b/>
        </w:rPr>
        <w:t>1.1</w:t>
      </w:r>
      <w:r>
        <w:t xml:space="preserve"> (C-MAPSS), </w:t>
      </w:r>
      <w:r>
        <w:rPr>
          <w:b/>
        </w:rPr>
        <w:t>1.2</w:t>
      </w:r>
      <w:r>
        <w:t xml:space="preserve"> (METR-LA), </w:t>
      </w:r>
      <w:r>
        <w:rPr>
          <w:b/>
        </w:rPr>
        <w:t>1.3</w:t>
      </w:r>
      <w:r>
        <w:t xml:space="preserve"> (Elliptic), </w:t>
      </w:r>
      <w:r>
        <w:rPr>
          <w:b/>
        </w:rPr>
        <w:t>1.4</w:t>
      </w:r>
      <w:r>
        <w:t xml:space="preserve"> (MovieLens), </w:t>
      </w:r>
      <w:r>
        <w:rPr>
          <w:b/>
        </w:rPr>
        <w:t>1.5</w:t>
      </w:r>
      <w:r>
        <w:t xml:space="preserve"> (ogbg-molhiv), </w:t>
      </w:r>
      <w:r>
        <w:rPr>
          <w:b/>
        </w:rPr>
        <w:t>2.2</w:t>
      </w:r>
      <w:r>
        <w:t xml:space="preserve"> (UCI-HAR), </w:t>
      </w:r>
      <w:r>
        <w:rPr>
          <w:b/>
        </w:rPr>
        <w:t>2.4</w:t>
      </w:r>
      <w:r>
        <w:t xml:space="preserve"> (ETT) and </w:t>
      </w:r>
      <w:r>
        <w:rPr>
          <w:b/>
        </w:rPr>
        <w:t>3.1</w:t>
      </w:r>
      <w:r>
        <w:t xml:space="preserve"> (MVTec AD). Of these, </w:t>
      </w:r>
      <w:r>
        <w:rPr>
          <w:b/>
        </w:rPr>
        <w:t>1.4</w:t>
      </w:r>
      <w:r>
        <w:t xml:space="preserve"> and </w:t>
      </w:r>
      <w:r>
        <w:rPr>
          <w:b/>
        </w:rPr>
        <w:t>2.2</w:t>
      </w:r>
      <w:r>
        <w:t xml:space="preserve"> are Bachelor-only; the rest also support a Master scope.</w:t>
      </w:r>
    </w:p>
    <w:p>
      <w:pPr>
        <w:spacing w:before="0" w:after="100" w:line="254" w:lineRule="auto"/>
      </w:pPr>
      <w:r>
        <w:rPr>
          <w:b/>
        </w:rPr>
        <w:t>2.1</w:t>
      </w:r>
      <w:r>
        <w:t xml:space="preserve">, </w:t>
      </w:r>
      <w:r>
        <w:rPr>
          <w:b/>
        </w:rPr>
        <w:t>2.3</w:t>
      </w:r>
      <w:r>
        <w:t xml:space="preserve">, </w:t>
      </w:r>
      <w:r>
        <w:rPr>
          <w:b/>
        </w:rPr>
        <w:t>2.5</w:t>
      </w:r>
      <w:r>
        <w:t xml:space="preserve">, </w:t>
      </w:r>
      <w:r>
        <w:rPr>
          <w:b/>
        </w:rPr>
        <w:t>2.6</w:t>
      </w:r>
      <w:r>
        <w:t xml:space="preserve"> and </w:t>
      </w:r>
      <w:r>
        <w:rPr>
          <w:b/>
        </w:rPr>
        <w:t>4.1</w:t>
      </w:r>
      <w:r>
        <w:t xml:space="preserve"> are Master-only. </w:t>
      </w:r>
      <w:r>
        <w:rPr>
          <w:b/>
        </w:rPr>
        <w:t>2.3</w:t>
      </w:r>
      <w:r>
        <w:t xml:space="preserve"> and </w:t>
      </w:r>
      <w:r>
        <w:rPr>
          <w:b/>
        </w:rPr>
        <w:t>2.5</w:t>
      </w:r>
      <w:r>
        <w:t xml:space="preserve"> list a reduced Bachelor version.</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The Tetra Pak project is included as Project 2.1. A Siemens Gamesa project may be offered separately when its scope and data access are confirmed.</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Graphs, time series, vision and signal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web.stanford.edu/class/cs224w/projects.html" TargetMode="External"/><Relationship Id="rId14" Type="http://schemas.openxmlformats.org/officeDocument/2006/relationships/hyperlink" Target="https://snap.stanford.edu/class/cs224w-2019/projects.html" TargetMode="External"/><Relationship Id="rId15" Type="http://schemas.openxmlformats.org/officeDocument/2006/relationships/hyperlink" Target="https://pytorch-geometric.readthedocs.io/en/latest/cheatsheet/data_cheatsheet.html" TargetMode="External"/><Relationship Id="rId16" Type="http://schemas.openxmlformats.org/officeDocument/2006/relationships/hyperlink" Target="https://ogb.stanford.edu/docs/home/" TargetMode="External"/><Relationship Id="rId17" Type="http://schemas.openxmlformats.org/officeDocument/2006/relationships/hyperlink" Target="https://snap.stanford.edu/data/" TargetMode="External"/><Relationship Id="rId18" Type="http://schemas.openxmlformats.org/officeDocument/2006/relationships/hyperlink" Target="https://tgb.complexdatalab.com/" TargetMode="External"/><Relationship Id="rId19" Type="http://schemas.openxmlformats.org/officeDocument/2006/relationships/hyperlink" Target="https://medium.com/stanford-cs224w/predicting-evolution-of-dynamic-graphs-7688eca1daf8" TargetMode="External"/><Relationship Id="rId20" Type="http://schemas.openxmlformats.org/officeDocument/2006/relationships/hyperlink" Target="https://medium.com/stanford-cs224w/predicting-water-quality-in-unmonitored-networks-with-rgcns-c72fdd177f0d" TargetMode="External"/><Relationship Id="rId21" Type="http://schemas.openxmlformats.org/officeDocument/2006/relationships/hyperlink" Target="https://medium.com/stanford-cs224w/are-you-for-real-cb0442af43a3" TargetMode="External"/><Relationship Id="rId22" Type="http://schemas.openxmlformats.org/officeDocument/2006/relationships/hyperlink" Target="https://medium.com/stanford-cs224w/applying-graph-ml-techniques-to-ethereum-nft-transactions-d4bde61b02f3" TargetMode="External"/><Relationship Id="rId23" Type="http://schemas.openxmlformats.org/officeDocument/2006/relationships/hyperlink" Target="https://catalog.data.gov/dataset/cmapss-jet-engine-simulated-data" TargetMode="External"/><Relationship Id="rId24" Type="http://schemas.openxmlformats.org/officeDocument/2006/relationships/hyperlink" Target="https://arxiv.org/abs/2401.15964" TargetMode="External"/><Relationship Id="rId25" Type="http://schemas.openxmlformats.org/officeDocument/2006/relationships/hyperlink" Target="https://github.com/Frank-Wang-oss/GNN_RUL_Benchmarking" TargetMode="External"/><Relationship Id="rId26" Type="http://schemas.openxmlformats.org/officeDocument/2006/relationships/hyperlink" Target="https://pytorch-geometric.readthedocs.io/" TargetMode="External"/><Relationship Id="rId27" Type="http://schemas.openxmlformats.org/officeDocument/2006/relationships/hyperlink" Target="https://github.com/liyaguang/DCRNN" TargetMode="External"/><Relationship Id="rId28" Type="http://schemas.openxmlformats.org/officeDocument/2006/relationships/hyperlink" Target="https://arxiv.org/abs/1906.00121" TargetMode="External"/><Relationship Id="rId29" Type="http://schemas.openxmlformats.org/officeDocument/2006/relationships/hyperlink" Target="https://github.com/nnzhan/Graph-WaveNet" TargetMode="External"/><Relationship Id="rId30" Type="http://schemas.openxmlformats.org/officeDocument/2006/relationships/hyperlink" Target="https://pytorch-geometric.readthedocs.io/en/latest/generated/torch_geometric.datasets.EllipticBitcoinDataset.html" TargetMode="External"/><Relationship Id="rId31" Type="http://schemas.openxmlformats.org/officeDocument/2006/relationships/hyperlink" Target="https://arxiv.org/abs/1908.02591" TargetMode="External"/><Relationship Id="rId32" Type="http://schemas.openxmlformats.org/officeDocument/2006/relationships/hyperlink" Target="https://grouplens.org/datasets/movielens/100k/" TargetMode="External"/><Relationship Id="rId33" Type="http://schemas.openxmlformats.org/officeDocument/2006/relationships/hyperlink" Target="https://arxiv.org/abs/2002.02126" TargetMode="External"/><Relationship Id="rId34" Type="http://schemas.openxmlformats.org/officeDocument/2006/relationships/hyperlink" Target="https://github.com/kuandeng/LightGCN" TargetMode="External"/><Relationship Id="rId35" Type="http://schemas.openxmlformats.org/officeDocument/2006/relationships/hyperlink" Target="https://ogb.stanford.edu/docs/graphprop/#ogbg-mol" TargetMode="External"/><Relationship Id="rId36" Type="http://schemas.openxmlformats.org/officeDocument/2006/relationships/hyperlink" Target="https://arxiv.org/abs/2005.00687" TargetMode="External"/><Relationship Id="rId37" Type="http://schemas.openxmlformats.org/officeDocument/2006/relationships/hyperlink" Target="https://www.rdkit.org/" TargetMode="External"/><Relationship Id="rId38" Type="http://schemas.openxmlformats.org/officeDocument/2006/relationships/hyperlink" Target="https://github.com/emadeldeen24/TS-TCC" TargetMode="External"/><Relationship Id="rId39" Type="http://schemas.openxmlformats.org/officeDocument/2006/relationships/hyperlink" Target="https://github.com/zhihanyue/ts2vec" TargetMode="External"/><Relationship Id="rId40" Type="http://schemas.openxmlformats.org/officeDocument/2006/relationships/hyperlink" Target="https://github.com/mims-harvard/TFC-pretraining" TargetMode="External"/><Relationship Id="rId41" Type="http://schemas.openxmlformats.org/officeDocument/2006/relationships/hyperlink" Target="https://github.com/thuml/SimMTM" TargetMode="External"/><Relationship Id="rId42" Type="http://schemas.openxmlformats.org/officeDocument/2006/relationships/hyperlink" Target="https://archive.ics.uci.edu/" TargetMode="External"/><Relationship Id="rId43" Type="http://schemas.openxmlformats.org/officeDocument/2006/relationships/hyperlink" Target="https://physionet.org/" TargetMode="External"/><Relationship Id="rId44" Type="http://schemas.openxmlformats.org/officeDocument/2006/relationships/hyperlink" Target="https://www.timeseriesclassification.com/" TargetMode="External"/><Relationship Id="rId45" Type="http://schemas.openxmlformats.org/officeDocument/2006/relationships/hyperlink" Target="https://forecastingdata.org/" TargetMode="External"/><Relationship Id="rId46" Type="http://schemas.openxmlformats.org/officeDocument/2006/relationships/hyperlink" Target="https://zenodo.org/" TargetMode="External"/><Relationship Id="rId47" Type="http://schemas.openxmlformats.org/officeDocument/2006/relationships/hyperlink" Target="https://arxiv.org/abs/2106.10466" TargetMode="External"/><Relationship Id="rId48" Type="http://schemas.openxmlformats.org/officeDocument/2006/relationships/hyperlink" Target="https://archive.ics.uci.edu/dataset/240/human+activity+recognition+using+smartphones" TargetMode="External"/><Relationship Id="rId49" Type="http://schemas.openxmlformats.org/officeDocument/2006/relationships/hyperlink" Target="https://arxiv.org/abs/2106.14112" TargetMode="External"/><Relationship Id="rId50" Type="http://schemas.openxmlformats.org/officeDocument/2006/relationships/hyperlink" Target="https://physionet.org/content/ptb-xl/1.0.3/" TargetMode="External"/><Relationship Id="rId51" Type="http://schemas.openxmlformats.org/officeDocument/2006/relationships/hyperlink" Target="https://arxiv.org/abs/2302.00861" TargetMode="External"/><Relationship Id="rId52" Type="http://schemas.openxmlformats.org/officeDocument/2006/relationships/hyperlink" Target="https://github.com/helme/ecg_ptbxl_benchmarking" TargetMode="External"/><Relationship Id="rId53" Type="http://schemas.openxmlformats.org/officeDocument/2006/relationships/hyperlink" Target="https://github.com/zhouhaoyi/ETDataset" TargetMode="External"/><Relationship Id="rId54" Type="http://schemas.openxmlformats.org/officeDocument/2006/relationships/hyperlink" Target="https://arxiv.org/abs/2202.01575" TargetMode="External"/><Relationship Id="rId55" Type="http://schemas.openxmlformats.org/officeDocument/2006/relationships/hyperlink" Target="https://github.com/salesforce/CoST" TargetMode="External"/><Relationship Id="rId56" Type="http://schemas.openxmlformats.org/officeDocument/2006/relationships/hyperlink" Target="https://github.com/cure-lab/LTSF-Linear" TargetMode="External"/><Relationship Id="rId57" Type="http://schemas.openxmlformats.org/officeDocument/2006/relationships/hyperlink" Target="https://arxiv.org/abs/2211.14730" TargetMode="External"/><Relationship Id="rId58" Type="http://schemas.openxmlformats.org/officeDocument/2006/relationships/hyperlink" Target="https://zenodo.org/records/15056919" TargetMode="External"/><Relationship Id="rId59" Type="http://schemas.openxmlformats.org/officeDocument/2006/relationships/hyperlink" Target="https://arxiv.org/abs/2503.16993" TargetMode="External"/><Relationship Id="rId60" Type="http://schemas.openxmlformats.org/officeDocument/2006/relationships/hyperlink" Target="https://github.com/tbrumue/heapo" TargetMode="External"/><Relationship Id="rId61" Type="http://schemas.openxmlformats.org/officeDocument/2006/relationships/hyperlink" Target="https://mb.uni-paderborn.de/en/kat/research/bearing-datacenter/data-sets-and-download" TargetMode="External"/><Relationship Id="rId62" Type="http://schemas.openxmlformats.org/officeDocument/2006/relationships/hyperlink" Target="https://arxiv.org/abs/2205.10803" TargetMode="External"/><Relationship Id="rId63" Type="http://schemas.openxmlformats.org/officeDocument/2006/relationships/hyperlink" Target="https://github.com/THUDM/GraphMAE" TargetMode="External"/><Relationship Id="rId64" Type="http://schemas.openxmlformats.org/officeDocument/2006/relationships/hyperlink" Target="https://groups.uni-paderborn.de/kat/BearingDataCenter/" TargetMode="External"/><Relationship Id="rId65" Type="http://schemas.openxmlformats.org/officeDocument/2006/relationships/hyperlink" Target="https://arxiv.org/abs/2104.14294" TargetMode="External"/><Relationship Id="rId66" Type="http://schemas.openxmlformats.org/officeDocument/2006/relationships/hyperlink" Target="https://arxiv.org/abs/2304.07193" TargetMode="External"/><Relationship Id="rId67" Type="http://schemas.openxmlformats.org/officeDocument/2006/relationships/hyperlink" Target="https://github.com/facebookresearch/dinov2" TargetMode="External"/><Relationship Id="rId68" Type="http://schemas.openxmlformats.org/officeDocument/2006/relationships/hyperlink" Target="https://arxiv.org/abs/2405.14529" TargetMode="External"/><Relationship Id="rId69" Type="http://schemas.openxmlformats.org/officeDocument/2006/relationships/hyperlink" Target="https://github.com/dammsi/AnomalyDINO" TargetMode="External"/><Relationship Id="rId70" Type="http://schemas.openxmlformats.org/officeDocument/2006/relationships/hyperlink" Target="https://arxiv.org/abs/2106.09685" TargetMode="External"/><Relationship Id="rId71" Type="http://schemas.openxmlformats.org/officeDocument/2006/relationships/hyperlink" Target="https://github.com/huggingface/peft" TargetMode="External"/><Relationship Id="rId72" Type="http://schemas.openxmlformats.org/officeDocument/2006/relationships/hyperlink" Target="https://arxiv.org/abs/2111.06377" TargetMode="External"/><Relationship Id="rId73" Type="http://schemas.openxmlformats.org/officeDocument/2006/relationships/hyperlink" Target="https://www.mvtec.com/research-teaching/datasets/mvtec-ad" TargetMode="External"/><Relationship Id="rId74" Type="http://schemas.openxmlformats.org/officeDocument/2006/relationships/hyperlink" Target="https://huggingface.co/models" TargetMode="External"/><Relationship Id="rId75" Type="http://schemas.openxmlformats.org/officeDocument/2006/relationships/hyperlink" Target="https://github.com/huggingface/pytorch-image-models" TargetMode="External"/><Relationship Id="rId76" Type="http://schemas.openxmlformats.org/officeDocument/2006/relationships/hyperlink" Target="https://www.mvtec.com/research-teaching/datasets/mvtec-ad-2" TargetMode="External"/><Relationship Id="rId77" Type="http://schemas.openxmlformats.org/officeDocument/2006/relationships/hyperlink" Target="https://arxiv.org/abs/2106.08265" TargetMode="External"/><Relationship Id="rId78" Type="http://schemas.openxmlformats.org/officeDocument/2006/relationships/hyperlink" Target="https://icml.cc/Conferences/2010/papers/449.pdf" TargetMode="External"/><Relationship Id="rId79" Type="http://schemas.openxmlformats.org/officeDocument/2006/relationships/hyperlink" Target="https://arxiv.org/abs/1912.10557" TargetMode="External"/><Relationship Id="rId80" Type="http://schemas.openxmlformats.org/officeDocument/2006/relationships/hyperlink" Target="http://papers.neurips.cc/paper/6406-deep-admm-net-for-compressive-sensing-mri.pdf" TargetMode="External"/><Relationship Id="rId81" Type="http://schemas.openxmlformats.org/officeDocument/2006/relationships/hyperlink" Target="https://doi.org/10.1109/TSP.2013.2288675" TargetMode="External"/><Relationship Id="rId82" Type="http://schemas.openxmlformats.org/officeDocument/2006/relationships/hyperlink" Target="https://github.com/vrcarva/vmdpy" TargetMode="External"/><Relationship Id="rId83" Type="http://schemas.openxmlformats.org/officeDocument/2006/relationships/hyperlink" Target="https://doi.org/10.1109/TSP.2019.2951223" TargetMode="External"/><Relationship Id="rId84" Type="http://schemas.openxmlformats.org/officeDocument/2006/relationships/hyperlink" Target="https://arxiv.org/abs/2509.00703" TargetMode="External"/><Relationship Id="rId85" Type="http://schemas.openxmlformats.org/officeDocument/2006/relationships/hyperlink" Target="https://github.com/OsamaAhmad369/MAGN" TargetMode="External"/><Relationship Id="rId86" Type="http://schemas.openxmlformats.org/officeDocument/2006/relationships/hyperlink" Target="https://github.com/liuxu77/LargeST" TargetMode="External"/><Relationship Id="rId87" Type="http://schemas.openxmlformats.org/officeDocument/2006/relationships/hyperlink" Target="https://www.mathworks.com/matlabcentral/fileexchange/72814-multivariate-variational-mode-decomposition" TargetMode="External"/><Relationship Id="rId88"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Graph applications, self-supervised time-series learning, vision models and signal processing</dc:subject>
  <dc:creator>Department of Electrical and Computer Engineering, Aarhus University</dc:creator>
  <cp:keywords>GNN, graph machine learning, self-supervised learning, time series, DINO,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