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left"/>
      </w:pPr>
      <w:r>
        <w:rPr>
          <w:rFonts w:ascii="Aptos Display" w:hAnsi="Aptos Display"/>
          <w:b/>
          <w:color w:val="000000"/>
          <w:sz w:val="60"/>
        </w:rPr>
        <w:t>BSc and MSc</w:t>
        <w:br/>
        <w:t>Student Project Portfolio</w:t>
      </w:r>
    </w:p>
    <w:p>
      <w:pPr>
        <w:pStyle w:val="Subtitle"/>
        <w:spacing w:before="160" w:after="480"/>
      </w:pPr>
      <w:r>
        <w:rPr>
          <w:rFonts w:ascii="Aptos Display" w:hAnsi="Aptos Display"/>
          <w:i w:val="0"/>
          <w:color w:val="000000"/>
          <w:sz w:val="32"/>
        </w:rPr>
        <w:t>Industrial projects, graph applications, self-supervised time series, vision models and signal processing</w:t>
      </w:r>
    </w:p>
    <w:p>
      <w:pPr>
        <w:pStyle w:val="Heading3"/>
      </w:pPr>
      <w:r>
        <w:t>How to use this portfolio</w:t>
      </w:r>
    </w:p>
    <w:p>
      <w:pPr>
        <w:spacing w:before="0" w:after="80" w:line="254" w:lineRule="auto"/>
      </w:pPr>
      <w:r>
        <w:t>The portfolio contains fifteen projects in five categories. Each entry states the task, data source and access conditions, starting papers and code, required baselines, evaluation protocol, Bachelor scope and possible Master contribution.</w:t>
      </w:r>
    </w:p>
    <w:p>
      <w:pPr>
        <w:spacing w:before="0" w:after="80" w:line="254" w:lineRule="auto"/>
      </w:pPr>
      <w:r>
        <w:rPr>
          <w:b/>
        </w:rPr>
        <w:t>Bachelor projects</w:t>
      </w:r>
      <w:r>
        <w:t xml:space="preserve"> focus on implementation, comparison and one focused ablation. </w:t>
      </w:r>
      <w:r>
        <w:rPr>
          <w:b/>
        </w:rPr>
        <w:t>Master projects</w:t>
      </w:r>
      <w:r>
        <w:t xml:space="preserve"> add a stated research question, a method or evaluation change, multiple runs and a detailed analysis. A controlled negative result is acceptable when the evaluation answers the stated question.</w:t>
      </w:r>
    </w:p>
    <w:p>
      <w:pPr>
        <w:spacing w:before="1080"/>
      </w:pPr>
      <w:r>
        <w:rPr>
          <w:b/>
          <w:color w:val="17365D"/>
          <w:sz w:val="22"/>
        </w:rPr>
        <w:t>Department of Electrical and Computer Engineering</w:t>
        <w:br/>
        <w:t>Aarhus University</w:t>
      </w:r>
      <w:r>
        <w:br/>
        <w:t>Supervisor: Naveed</w:t>
      </w:r>
    </w:p>
    <w:p>
      <w:r>
        <w:br w:type="page"/>
      </w:r>
    </w:p>
    <w:p>
      <w:pPr>
        <w:pStyle w:val="Heading1"/>
      </w:pPr>
      <w:r>
        <w:t>Project scope and evaluation</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required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Documented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the stated research question; a controlled negative result is valid</w:t>
            </w:r>
          </w:p>
        </w:tc>
      </w:tr>
    </w:tbl>
    <w:p>
      <w:r>
        <w:br w:type="page"/>
      </w:r>
    </w:p>
    <w:p>
      <w:pPr>
        <w:pStyle w:val="Heading1"/>
      </w:pPr>
      <w:r>
        <w:t>Portfolio index</w:t>
      </w:r>
    </w:p>
    <w:p>
      <w:pPr>
        <w:spacing w:before="0" w:after="100" w:line="254" w:lineRule="auto"/>
      </w:pPr>
      <w:r>
        <w:t>Compute estimates assume compact models, moderate batch sizes and no large hyperparameter sweep. Projects marked as requiring a preliminary check need a data or licence review before work begins.</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Suggested level</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Siemens Gamesa: Data-driven operational state identification for wind turbine condition monitoring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Siemens Gamesa: Inferring drivetrain configuration and kinematics from vibration signals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Tetra Pak: Regime-aware self-supervised learning for non-stationary filtration cycles</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Remaining useful life prediction for aircraft engines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Very light to light</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Illicit Bitcoin transaction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Graph-based movie recommendation with accuracy and coverage</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Very light</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Molecular HIV activity prediction with calibrated GNNs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3.1</w:t>
            </w:r>
          </w:p>
        </w:tc>
        <w:tc>
          <w:tcPr>
            <w:tcW w:type="dxa" w:w="2438"/>
            <w:shd w:fill="FFFFFF"/>
            <w:tcMar>
              <w:top w:w="70" w:type="dxa"/>
              <w:start w:w="110" w:type="dxa"/>
              <w:bottom w:w="70" w:type="dxa"/>
              <w:end w:w="110" w:type="dxa"/>
            </w:tcMar>
          </w:tcPr>
          <w:p>
            <w:pPr>
              <w:spacing w:after="0" w:line="240" w:lineRule="auto"/>
            </w:pPr>
            <w:r>
              <w:t>Contrastive learning for wearable activity recognition</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Light</w:t>
            </w:r>
          </w:p>
        </w:tc>
      </w:tr>
      <w:tr>
        <w:trPr>
          <w:cantSplit/>
        </w:trPr>
        <w:tc>
          <w:tcPr>
            <w:tcW w:type="dxa" w:w="2438"/>
            <w:shd w:fill="F4F6F8"/>
            <w:tcMar>
              <w:top w:w="70" w:type="dxa"/>
              <w:start w:w="110" w:type="dxa"/>
              <w:bottom w:w="70" w:type="dxa"/>
              <w:end w:w="110" w:type="dxa"/>
            </w:tcMar>
          </w:tcPr>
          <w:p>
            <w:pPr>
              <w:spacing w:after="0" w:line="240" w:lineRule="auto"/>
            </w:pPr>
            <w:r>
              <w:t>3.2</w:t>
            </w:r>
          </w:p>
        </w:tc>
        <w:tc>
          <w:tcPr>
            <w:tcW w:type="dxa" w:w="2438"/>
            <w:shd w:fill="F4F6F8"/>
            <w:tcMar>
              <w:top w:w="70" w:type="dxa"/>
              <w:start w:w="110" w:type="dxa"/>
              <w:bottom w:w="70" w:type="dxa"/>
              <w:end w:w="110" w:type="dxa"/>
            </w:tcMar>
          </w:tcPr>
          <w:p>
            <w:pPr>
              <w:spacing w:after="0" w:line="240" w:lineRule="auto"/>
            </w:pPr>
            <w:r>
              <w:t>Lead-aware masked learning for 12-lead ECG</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3.3</w:t>
            </w:r>
          </w:p>
        </w:tc>
        <w:tc>
          <w:tcPr>
            <w:tcW w:type="dxa" w:w="2438"/>
            <w:shd w:fill="FFFFFF"/>
            <w:tcMar>
              <w:top w:w="70" w:type="dxa"/>
              <w:start w:w="110" w:type="dxa"/>
              <w:bottom w:w="70" w:type="dxa"/>
              <w:end w:w="110" w:type="dxa"/>
            </w:tcMar>
          </w:tcPr>
          <w:p>
            <w:pPr>
              <w:spacing w:after="0" w:line="240" w:lineRule="auto"/>
            </w:pPr>
            <w:r>
              <w:t>Self-supervised forecasting representations for energy series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3.4</w:t>
            </w:r>
          </w:p>
        </w:tc>
        <w:tc>
          <w:tcPr>
            <w:tcW w:type="dxa" w:w="2438"/>
            <w:shd w:fill="F4F6F8"/>
            <w:tcMar>
              <w:top w:w="70" w:type="dxa"/>
              <w:start w:w="110" w:type="dxa"/>
              <w:bottom w:w="70" w:type="dxa"/>
              <w:end w:w="110" w:type="dxa"/>
            </w:tcMar>
          </w:tcPr>
          <w:p>
            <w:pPr>
              <w:spacing w:after="0" w:line="240" w:lineRule="auto"/>
            </w:pPr>
            <w:r>
              <w:t>Self-supervised learning on heat-pump smart-meter data</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FFFFF"/>
            <w:tcMar>
              <w:top w:w="70" w:type="dxa"/>
              <w:start w:w="110" w:type="dxa"/>
              <w:bottom w:w="70" w:type="dxa"/>
              <w:end w:w="110" w:type="dxa"/>
            </w:tcMar>
          </w:tcPr>
          <w:p>
            <w:pPr>
              <w:spacing w:after="0" w:line="240" w:lineRule="auto"/>
            </w:pPr>
            <w:r>
              <w:t>3.5</w:t>
            </w:r>
          </w:p>
        </w:tc>
        <w:tc>
          <w:tcPr>
            <w:tcW w:type="dxa" w:w="2438"/>
            <w:shd w:fill="FFFFFF"/>
            <w:tcMar>
              <w:top w:w="70" w:type="dxa"/>
              <w:start w:w="110" w:type="dxa"/>
              <w:bottom w:w="70" w:type="dxa"/>
              <w:end w:w="110" w:type="dxa"/>
            </w:tcMar>
          </w:tcPr>
          <w:p>
            <w:pPr>
              <w:spacing w:after="0" w:line="240" w:lineRule="auto"/>
            </w:pPr>
            <w:r>
              <w:t>Graph self-supervised learning from vibration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Moderate preprocessing</w:t>
            </w:r>
          </w:p>
        </w:tc>
      </w:tr>
      <w:tr>
        <w:trPr>
          <w:cantSplit/>
        </w:trPr>
        <w:tc>
          <w:tcPr>
            <w:tcW w:type="dxa" w:w="2438"/>
            <w:shd w:fill="F4F6F8"/>
            <w:tcMar>
              <w:top w:w="70" w:type="dxa"/>
              <w:start w:w="110" w:type="dxa"/>
              <w:bottom w:w="70" w:type="dxa"/>
              <w:end w:w="110" w:type="dxa"/>
            </w:tcMar>
          </w:tcPr>
          <w:p>
            <w:pPr>
              <w:spacing w:after="0" w:line="240" w:lineRule="auto"/>
            </w:pPr>
            <w:r>
              <w:t>4.1</w:t>
            </w:r>
          </w:p>
        </w:tc>
        <w:tc>
          <w:tcPr>
            <w:tcW w:type="dxa" w:w="2438"/>
            <w:shd w:fill="F4F6F8"/>
            <w:tcMar>
              <w:top w:w="70" w:type="dxa"/>
              <w:start w:w="110" w:type="dxa"/>
              <w:bottom w:w="70" w:type="dxa"/>
              <w:end w:w="110" w:type="dxa"/>
            </w:tcMar>
          </w:tcPr>
          <w:p>
            <w:pPr>
              <w:spacing w:after="0" w:line="240" w:lineRule="auto"/>
            </w:pPr>
            <w:r>
              <w:t>Adapting DINO backbones for industrial anomaly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for frozen features</w:t>
            </w:r>
          </w:p>
        </w:tc>
      </w:tr>
      <w:tr>
        <w:trPr>
          <w:cantSplit/>
        </w:trPr>
        <w:tc>
          <w:tcPr>
            <w:tcW w:type="dxa" w:w="2438"/>
            <w:shd w:fill="FFFFFF"/>
            <w:tcMar>
              <w:top w:w="70" w:type="dxa"/>
              <w:start w:w="110" w:type="dxa"/>
              <w:bottom w:w="70" w:type="dxa"/>
              <w:end w:w="110" w:type="dxa"/>
            </w:tcMar>
          </w:tcPr>
          <w:p>
            <w:pPr>
              <w:spacing w:after="0" w:line="240" w:lineRule="auto"/>
            </w:pPr>
            <w:r>
              <w:t>5.1</w:t>
            </w:r>
          </w:p>
        </w:tc>
        <w:tc>
          <w:tcPr>
            <w:tcW w:type="dxa" w:w="2438"/>
            <w:shd w:fill="FFFFFF"/>
            <w:tcMar>
              <w:top w:w="70" w:type="dxa"/>
              <w:start w:w="110" w:type="dxa"/>
              <w:bottom w:w="70" w:type="dxa"/>
              <w:end w:w="110" w:type="dxa"/>
            </w:tcMar>
          </w:tcPr>
          <w:p>
            <w:pPr>
              <w:spacing w:after="0" w:line="240" w:lineRule="auto"/>
            </w:pPr>
            <w:r>
              <w:t>Deep-unfolded multivariate VMD for correlated multichannel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Light for synthetic tests</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prediction, temporal forecasting or representation learning.</w:t>
      </w:r>
    </w:p>
    <w:p>
      <w:pPr>
        <w:pStyle w:val="ListNumber"/>
        <w:spacing w:before="0" w:after="40" w:line="254" w:lineRule="auto"/>
      </w:pPr>
      <w:r>
        <w:t>Download the data and run one complete baseline on a small subset before the formal project begins.</w:t>
      </w:r>
    </w:p>
    <w:p>
      <w:pPr>
        <w:pStyle w:val="ListNumber"/>
        <w:spacing w:before="0" w:after="40" w:line="254" w:lineRule="auto"/>
      </w:pPr>
      <w:r>
        <w:t>Write the research question as one sentence and identify the comparison that could falsify it.</w:t>
      </w:r>
    </w:p>
    <w:p>
      <w:pPr>
        <w:pStyle w:val="ListNumber"/>
        <w:spacing w:before="0" w:after="40" w:line="254" w:lineRule="auto"/>
      </w:pPr>
      <w:r>
        <w:t>Freeze the split, primary metric and compute budget before extensive development.</w:t>
      </w:r>
    </w:p>
    <w:p>
      <w:pPr>
        <w:pStyle w:val="ListNumber"/>
        <w:spacing w:before="0" w:after="40" w:line="254" w:lineRule="auto"/>
      </w:pPr>
      <w:r>
        <w:t>Treat the authors' repository as an executable specification—not as the thesis contribution.</w:t>
      </w:r>
    </w:p>
    <w:p>
      <w:pPr>
        <w:pStyle w:val="Heading2"/>
      </w:pPr>
      <w:r>
        <w:t>Shared protocol for self-supervised and pretrained projects</w:t>
      </w:r>
    </w:p>
    <w:p>
      <w:pPr>
        <w:spacing w:before="0" w:after="100" w:line="254" w:lineRule="auto"/>
      </w:pPr>
      <w:r>
        <w:t>Every self-supervised or pretrained project should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p>
      <w:pPr>
        <w:pStyle w:val="Heading3"/>
      </w:pPr>
      <w:r>
        <w:t>Leakage rule</w:t>
      </w:r>
    </w:p>
    <w:p>
      <w:pPr>
        <w:spacing w:before="0" w:after="80" w:line="254" w:lineRule="auto"/>
      </w:pPr>
      <w:r>
        <w:t>Group splits by the real independent unit: subject, patient, household, engine, bearing or process cycle—never by window. On graphs, state whether pretraining is transductive (evaluation nodes/graphs visible without labels) or strict inductive (held out entirely). On time series, use chronological splits where the task is forecasting.</w:t>
      </w:r>
    </w:p>
    <w:p>
      <w:pPr>
        <w:spacing w:before="0" w:after="80" w:line="254" w:lineRule="auto"/>
      </w:pPr>
      <w:r>
        <w:t>Report ten seeds for small citation networks and at least three elsewhere. Report results even when they do not beat a leaderboard; the evaluation should answer the stated question.</w:t>
      </w:r>
    </w:p>
    <w:p>
      <w:r>
        <w:br w:type="page"/>
      </w:r>
    </w:p>
    <w:p>
      <w:pPr>
        <w:pStyle w:val="Heading2"/>
      </w:pPr>
      <w:r>
        <w:t>Licences and access</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ETT</w:t>
            </w:r>
          </w:p>
        </w:tc>
        <w:tc>
          <w:tcPr>
            <w:tcW w:type="dxa" w:w="3251"/>
            <w:shd w:fill="FFFFFF"/>
            <w:tcMar>
              <w:top w:w="90" w:type="dxa"/>
              <w:start w:w="110" w:type="dxa"/>
              <w:bottom w:w="90" w:type="dxa"/>
              <w:end w:w="110" w:type="dxa"/>
            </w:tcMar>
          </w:tcPr>
          <w:p>
            <w:pPr>
              <w:spacing w:after="0"/>
            </w:pPr>
            <w:r>
              <w:t>Open research dataset</w:t>
            </w:r>
          </w:p>
        </w:tc>
        <w:tc>
          <w:tcPr>
            <w:tcW w:type="dxa" w:w="3251"/>
            <w:shd w:fill="FFFFFF"/>
            <w:tcMar>
              <w:top w:w="90" w:type="dxa"/>
              <w:start w:w="110" w:type="dxa"/>
              <w:bottom w:w="90" w:type="dxa"/>
              <w:end w:w="110" w:type="dxa"/>
            </w:tcMar>
          </w:tcPr>
          <w:p>
            <w:pPr>
              <w:spacing w:after="0"/>
            </w:pPr>
            <w:r>
              <w:t>Check the repository terms before redistribution</w:t>
            </w:r>
          </w:p>
        </w:tc>
      </w:tr>
      <w:tr>
        <w:trPr>
          <w:cantSplit/>
        </w:trPr>
        <w:tc>
          <w:tcPr>
            <w:tcW w:type="dxa" w:w="3251"/>
            <w:shd w:fill="F4F6F8"/>
            <w:tcMar>
              <w:top w:w="90" w:type="dxa"/>
              <w:start w:w="110" w:type="dxa"/>
              <w:bottom w:w="90" w:type="dxa"/>
              <w:end w:w="110" w:type="dxa"/>
            </w:tcMar>
          </w:tcPr>
          <w:p>
            <w:pPr>
              <w:spacing w:after="0"/>
            </w:pPr>
            <w:r>
              <w:t>MovieLens 100K</w:t>
            </w:r>
          </w:p>
        </w:tc>
        <w:tc>
          <w:tcPr>
            <w:tcW w:type="dxa" w:w="3251"/>
            <w:shd w:fill="F4F6F8"/>
            <w:tcMar>
              <w:top w:w="90" w:type="dxa"/>
              <w:start w:w="110" w:type="dxa"/>
              <w:bottom w:w="90" w:type="dxa"/>
              <w:end w:w="110" w:type="dxa"/>
            </w:tcMar>
          </w:tcPr>
          <w:p>
            <w:pPr>
              <w:spacing w:after="0"/>
            </w:pPr>
            <w:r>
              <w:t>GroupLens research terms</w:t>
            </w:r>
          </w:p>
        </w:tc>
        <w:tc>
          <w:tcPr>
            <w:tcW w:type="dxa" w:w="3251"/>
            <w:shd w:fill="F4F6F8"/>
            <w:tcMar>
              <w:top w:w="90" w:type="dxa"/>
              <w:start w:w="110" w:type="dxa"/>
              <w:bottom w:w="90" w:type="dxa"/>
              <w:end w:w="110" w:type="dxa"/>
            </w:tcMar>
          </w:tcPr>
          <w:p>
            <w:pPr>
              <w:spacing w:after="0"/>
            </w:pPr>
            <w:r>
              <w:t>Academic use; cite the dataset</w:t>
            </w:r>
          </w:p>
        </w:tc>
      </w:tr>
      <w:tr>
        <w:trPr>
          <w:cantSplit/>
        </w:trPr>
        <w:tc>
          <w:tcPr>
            <w:tcW w:type="dxa" w:w="3251"/>
            <w:shd w:fill="FFFFFF"/>
            <w:tcMar>
              <w:top w:w="90" w:type="dxa"/>
              <w:start w:w="110" w:type="dxa"/>
              <w:bottom w:w="90" w:type="dxa"/>
              <w:end w:w="110" w:type="dxa"/>
            </w:tcMar>
          </w:tcPr>
          <w:p>
            <w:pPr>
              <w:spacing w:after="0"/>
            </w:pPr>
            <w:r>
              <w:t>OGB ogbg-molhiv</w:t>
            </w:r>
          </w:p>
        </w:tc>
        <w:tc>
          <w:tcPr>
            <w:tcW w:type="dxa" w:w="3251"/>
            <w:shd w:fill="FFFFFF"/>
            <w:tcMar>
              <w:top w:w="90" w:type="dxa"/>
              <w:start w:w="110" w:type="dxa"/>
              <w:bottom w:w="90" w:type="dxa"/>
              <w:end w:w="110" w:type="dxa"/>
            </w:tcMar>
          </w:tcPr>
          <w:p>
            <w:pPr>
              <w:spacing w:after="0"/>
            </w:pPr>
            <w:r>
              <w:t>Open, MIT-licensed tooling</w:t>
            </w:r>
          </w:p>
        </w:tc>
        <w:tc>
          <w:tcPr>
            <w:tcW w:type="dxa" w:w="3251"/>
            <w:shd w:fill="FFFFFF"/>
            <w:tcMar>
              <w:top w:w="90" w:type="dxa"/>
              <w:start w:w="110" w:type="dxa"/>
              <w:bottom w:w="90" w:type="dxa"/>
              <w:end w:w="110" w:type="dxa"/>
            </w:tcMar>
          </w:tcPr>
          <w:p>
            <w:pPr>
              <w:spacing w:after="0"/>
            </w:pPr>
            <w:r>
              <w:t>Use the official split and evaluator</w:t>
            </w:r>
          </w:p>
        </w:tc>
      </w:tr>
      <w:tr>
        <w:trPr>
          <w:cantSplit/>
        </w:trPr>
        <w:tc>
          <w:tcPr>
            <w:tcW w:type="dxa" w:w="3251"/>
            <w:shd w:fill="F4F6F8"/>
            <w:tcMar>
              <w:top w:w="90" w:type="dxa"/>
              <w:start w:w="110" w:type="dxa"/>
              <w:bottom w:w="90" w:type="dxa"/>
              <w:end w:w="110" w:type="dxa"/>
            </w:tcMar>
          </w:tcPr>
          <w:p>
            <w:pPr>
              <w:spacing w:after="0"/>
            </w:pPr>
            <w:r>
              <w:t>Elliptic Bitcoin</w:t>
            </w:r>
          </w:p>
        </w:tc>
        <w:tc>
          <w:tcPr>
            <w:tcW w:type="dxa" w:w="3251"/>
            <w:shd w:fill="F4F6F8"/>
            <w:tcMar>
              <w:top w:w="90" w:type="dxa"/>
              <w:start w:w="110" w:type="dxa"/>
              <w:bottom w:w="90" w:type="dxa"/>
              <w:end w:w="110" w:type="dxa"/>
            </w:tcMar>
          </w:tcPr>
          <w:p>
            <w:pPr>
              <w:spacing w:after="0"/>
            </w:pPr>
            <w:r>
              <w:t>Distributor's research terms</w:t>
            </w:r>
          </w:p>
        </w:tc>
        <w:tc>
          <w:tcPr>
            <w:tcW w:type="dxa" w:w="3251"/>
            <w:shd w:fill="F4F6F8"/>
            <w:tcMar>
              <w:top w:w="90" w:type="dxa"/>
              <w:start w:w="110" w:type="dxa"/>
              <w:bottom w:w="90" w:type="dxa"/>
              <w:end w:w="110" w:type="dxa"/>
            </w:tcMar>
          </w:tcPr>
          <w:p>
            <w:pPr>
              <w:spacing w:after="0"/>
            </w:pPr>
            <w:r>
              <w:t>Confirm terms before publishing results</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 and MVTec AD 2</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and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HEAPO data</w:t>
            </w:r>
          </w:p>
        </w:tc>
        <w:tc>
          <w:tcPr>
            <w:tcW w:type="dxa" w:w="3251"/>
            <w:shd w:fill="F4F6F8"/>
            <w:tcMar>
              <w:top w:w="90" w:type="dxa"/>
              <w:start w:w="110" w:type="dxa"/>
              <w:bottom w:w="90" w:type="dxa"/>
              <w:end w:w="110" w:type="dxa"/>
            </w:tcMar>
          </w:tcPr>
          <w:p>
            <w:pPr>
              <w:spacing w:after="0"/>
            </w:pPr>
            <w:r>
              <w:t>Public download; no dataset licence stated on Zenodo</w:t>
            </w:r>
          </w:p>
        </w:tc>
        <w:tc>
          <w:tcPr>
            <w:tcW w:type="dxa" w:w="3251"/>
            <w:shd w:fill="F4F6F8"/>
            <w:tcMar>
              <w:top w:w="90" w:type="dxa"/>
              <w:start w:w="110" w:type="dxa"/>
              <w:bottom w:w="90" w:type="dxa"/>
              <w:end w:w="110" w:type="dxa"/>
            </w:tcMar>
          </w:tcPr>
          <w:p>
            <w:pPr>
              <w:spacing w:after="0"/>
            </w:pPr>
            <w:r>
              <w:t>Obtain written permission for thesis use; the dataloader is MIT-licensed</w:t>
            </w:r>
          </w:p>
        </w:tc>
      </w:tr>
      <w:tr>
        <w:trPr>
          <w:cantSplit/>
        </w:trPr>
        <w:tc>
          <w:tcPr>
            <w:tcW w:type="dxa" w:w="3251"/>
            <w:shd w:fill="FFFFFF"/>
            <w:tcMar>
              <w:top w:w="90" w:type="dxa"/>
              <w:start w:w="110" w:type="dxa"/>
              <w:bottom w:w="90" w:type="dxa"/>
              <w:end w:w="110" w:type="dxa"/>
            </w:tcMar>
          </w:tcPr>
          <w:p>
            <w:pPr>
              <w:spacing w:after="0"/>
            </w:pPr>
            <w:r>
              <w:t>LargeST</w:t>
            </w:r>
          </w:p>
        </w:tc>
        <w:tc>
          <w:tcPr>
            <w:tcW w:type="dxa" w:w="3251"/>
            <w:shd w:fill="FFFFFF"/>
            <w:tcMar>
              <w:top w:w="90" w:type="dxa"/>
              <w:start w:w="110" w:type="dxa"/>
              <w:bottom w:w="90" w:type="dxa"/>
              <w:end w:w="110" w:type="dxa"/>
            </w:tcMar>
          </w:tcPr>
          <w:p>
            <w:pPr>
              <w:spacing w:after="0"/>
            </w:pPr>
            <w:r>
              <w:t>CC BY-NC 4.0; benchmark code MIT</w:t>
            </w:r>
          </w:p>
        </w:tc>
        <w:tc>
          <w:tcPr>
            <w:tcW w:type="dxa" w:w="3251"/>
            <w:shd w:fill="FFFFFF"/>
            <w:tcMar>
              <w:top w:w="90" w:type="dxa"/>
              <w:start w:w="110" w:type="dxa"/>
              <w:bottom w:w="90" w:type="dxa"/>
              <w:end w:w="110" w:type="dxa"/>
            </w:tcMar>
          </w:tcPr>
          <w:p>
            <w:pPr>
              <w:spacing w:after="0"/>
            </w:pPr>
            <w:r>
              <w:t>Non-commercial academic use with attribution</w:t>
            </w:r>
          </w:p>
        </w:tc>
      </w:tr>
      <w:tr>
        <w:trPr>
          <w:cantSplit/>
        </w:trPr>
        <w:tc>
          <w:tcPr>
            <w:tcW w:type="dxa" w:w="3251"/>
            <w:shd w:fill="F4F6F8"/>
            <w:tcMar>
              <w:top w:w="90" w:type="dxa"/>
              <w:start w:w="110" w:type="dxa"/>
              <w:bottom w:w="90" w:type="dxa"/>
              <w:end w:w="110" w:type="dxa"/>
            </w:tcMar>
          </w:tcPr>
          <w:p>
            <w:pPr>
              <w:spacing w:after="0"/>
            </w:pPr>
            <w:r>
              <w:t>Tetra Pak process data</w:t>
            </w:r>
          </w:p>
        </w:tc>
        <w:tc>
          <w:tcPr>
            <w:tcW w:type="dxa" w:w="3251"/>
            <w:shd w:fill="F4F6F8"/>
            <w:tcMar>
              <w:top w:w="90" w:type="dxa"/>
              <w:start w:w="110" w:type="dxa"/>
              <w:bottom w:w="90" w:type="dxa"/>
              <w:end w:w="110" w:type="dxa"/>
            </w:tcMar>
          </w:tcPr>
          <w:p>
            <w:pPr>
              <w:spacing w:after="0"/>
            </w:pPr>
            <w:r>
              <w:t>Partner-supplied under an approved agreement</w:t>
            </w:r>
          </w:p>
        </w:tc>
        <w:tc>
          <w:tcPr>
            <w:tcW w:type="dxa" w:w="3251"/>
            <w:shd w:fill="F4F6F8"/>
            <w:tcMar>
              <w:top w:w="90" w:type="dxa"/>
              <w:start w:w="110" w:type="dxa"/>
              <w:bottom w:w="90" w:type="dxa"/>
              <w:end w:w="110" w:type="dxa"/>
            </w:tcMar>
          </w:tcPr>
          <w:p>
            <w:pPr>
              <w:spacing w:after="0"/>
            </w:pPr>
            <w:r>
              <w:t>Restricted access; confirm scope and secure environment before allocation</w:t>
            </w:r>
          </w:p>
        </w:tc>
      </w:tr>
      <w:tr>
        <w:trPr>
          <w:cantSplit/>
        </w:trPr>
        <w:tc>
          <w:tcPr>
            <w:tcW w:type="dxa" w:w="3251"/>
            <w:shd w:fill="FFFFFF"/>
            <w:tcMar>
              <w:top w:w="90" w:type="dxa"/>
              <w:start w:w="110" w:type="dxa"/>
              <w:bottom w:w="90" w:type="dxa"/>
              <w:end w:w="110" w:type="dxa"/>
            </w:tcMar>
          </w:tcPr>
          <w:p>
            <w:pPr>
              <w:spacing w:after="0"/>
            </w:pPr>
            <w:r>
              <w:t>Siemens Gamesa fleet data</w:t>
            </w:r>
          </w:p>
        </w:tc>
        <w:tc>
          <w:tcPr>
            <w:tcW w:type="dxa" w:w="3251"/>
            <w:shd w:fill="FFFFFF"/>
            <w:tcMar>
              <w:top w:w="90" w:type="dxa"/>
              <w:start w:w="110" w:type="dxa"/>
              <w:bottom w:w="90" w:type="dxa"/>
              <w:end w:w="110" w:type="dxa"/>
            </w:tcMar>
          </w:tcPr>
          <w:p>
            <w:pPr>
              <w:spacing w:after="0"/>
            </w:pPr>
            <w:r>
              <w:t>Partner-supplied; subject to the project data agreement</w:t>
            </w:r>
          </w:p>
        </w:tc>
        <w:tc>
          <w:tcPr>
            <w:tcW w:type="dxa" w:w="3251"/>
            <w:shd w:fill="FFFFFF"/>
            <w:tcMar>
              <w:top w:w="90" w:type="dxa"/>
              <w:start w:w="110" w:type="dxa"/>
              <w:bottom w:w="90" w:type="dxa"/>
              <w:end w:w="110" w:type="dxa"/>
            </w:tcMar>
          </w:tcPr>
          <w:p>
            <w:pPr>
              <w:spacing w:after="0"/>
            </w:pPr>
            <w:r>
              <w:t>Restricted access; confirm scope and secure environment before allocation</w:t>
            </w:r>
          </w:p>
        </w:tc>
      </w:tr>
    </w:tbl>
    <w:p>
      <w:r>
        <w:br w:type="page"/>
      </w:r>
    </w:p>
    <w:p>
      <w:pPr>
        <w:pStyle w:val="Heading1"/>
      </w:pPr>
      <w:r>
        <w:t>Category 1  Industrial projects: machine learning + signal processing</w:t>
      </w:r>
    </w:p>
    <w:p>
      <w:pPr>
        <w:spacing w:before="0" w:after="100" w:line="254" w:lineRule="auto"/>
      </w:pPr>
      <w:r>
        <w:t>These projects are developed with Siemens Gamesa and Tetra Pak using non-public operational data. At the start of each project, the student, supervisor and partner will confirm the available data, downstream task and permitted outputs.</w:t>
      </w:r>
    </w:p>
    <w:p>
      <w:pPr>
        <w:spacing w:before="0" w:after="100" w:line="254" w:lineRule="auto"/>
      </w:pPr>
      <w:r>
        <w:t>All three are primarily Master projects. A reduced Bachelor version can be offered when a prepared dataset and fixed task are available. The Bachelor project implements and compares established methods; the Master project adds a new representation, feature design or evaluation question.</w:t>
      </w:r>
    </w:p>
    <w:p>
      <w:pPr>
        <w:spacing w:before="0" w:after="100" w:line="254" w:lineRule="auto"/>
      </w:pPr>
      <w:r>
        <w:rPr>
          <w:b/>
        </w:rPr>
        <w:t>Evaluation split.</w:t>
      </w:r>
      <w:r>
        <w:t xml:space="preserve"> Keep all measurements from one turbine or filtration cycle in the same split. A held-out site or production line can be used as an additional Master-level transfer test when enough data are available.</w:t>
      </w:r>
    </w:p>
    <w:p>
      <w:pPr>
        <w:pStyle w:val="Heading2"/>
      </w:pPr>
      <w:r>
        <w:t>Learn first and find ideas</w:t>
      </w:r>
    </w:p>
    <w:p>
      <w:pPr>
        <w:pStyle w:val="ListBullet"/>
        <w:spacing w:before="0" w:after="40" w:line="254" w:lineRule="auto"/>
      </w:pPr>
      <w:r>
        <w:t xml:space="preserve">Operational-state discovery: </w:t>
      </w:r>
      <w:hyperlink r:id="rId13">
        <w:r>
          <w:rPr>
            <w:color w:val="2F5597"/>
            <w:u w:val="single"/>
          </w:rPr>
          <w:t>TS2Vec</w:t>
        </w:r>
      </w:hyperlink>
      <w:r>
        <w:t xml:space="preserve">, clustering with </w:t>
      </w:r>
      <w:hyperlink r:id="rId14">
        <w:r>
          <w:rPr>
            <w:color w:val="2F5597"/>
            <w:u w:val="single"/>
          </w:rPr>
          <w:t>scikit-learn</w:t>
        </w:r>
      </w:hyperlink>
      <w:r>
        <w:t xml:space="preserve">, and the </w:t>
      </w:r>
      <w:hyperlink r:id="rId15">
        <w:r>
          <w:rPr>
            <w:color w:val="2F5597"/>
            <w:u w:val="single"/>
          </w:rPr>
          <w:t>UMAP documentation</w:t>
        </w:r>
      </w:hyperlink>
      <w:r>
        <w:t xml:space="preserve"> for visualisation.</w:t>
      </w:r>
    </w:p>
    <w:p>
      <w:pPr>
        <w:pStyle w:val="ListBullet"/>
        <w:spacing w:before="0" w:after="40" w:line="254" w:lineRule="auto"/>
      </w:pPr>
      <w:r>
        <w:t xml:space="preserve">Time-series classification: </w:t>
      </w:r>
      <w:hyperlink r:id="rId16">
        <w:r>
          <w:rPr>
            <w:color w:val="2F5597"/>
            <w:u w:val="single"/>
          </w:rPr>
          <w:t>MiniRocket</w:t>
        </w:r>
      </w:hyperlink>
      <w:r>
        <w:t xml:space="preserve">, </w:t>
      </w:r>
      <w:hyperlink r:id="rId17">
        <w:r>
          <w:rPr>
            <w:color w:val="2F5597"/>
            <w:u w:val="single"/>
          </w:rPr>
          <w:t>InceptionTime</w:t>
        </w:r>
      </w:hyperlink>
      <w:r>
        <w:t xml:space="preserve"> and the </w:t>
      </w:r>
      <w:hyperlink r:id="rId18">
        <w:r>
          <w:rPr>
            <w:color w:val="2F5597"/>
            <w:u w:val="single"/>
          </w:rPr>
          <w:t>sktime toolkit</w:t>
        </w:r>
      </w:hyperlink>
      <w:r>
        <w:t>.</w:t>
      </w:r>
    </w:p>
    <w:p>
      <w:pPr>
        <w:pStyle w:val="ListBullet"/>
        <w:spacing w:before="0" w:after="40" w:line="254" w:lineRule="auto"/>
      </w:pPr>
      <w:r>
        <w:t xml:space="preserve">Representation learning and non-stationarity: </w:t>
      </w:r>
      <w:hyperlink r:id="rId19">
        <w:r>
          <w:rPr>
            <w:color w:val="2F5597"/>
            <w:u w:val="single"/>
          </w:rPr>
          <w:t>TS2Vec</w:t>
        </w:r>
      </w:hyperlink>
      <w:r>
        <w:t xml:space="preserve">, </w:t>
      </w:r>
      <w:hyperlink r:id="rId20">
        <w:r>
          <w:rPr>
            <w:color w:val="2F5597"/>
            <w:u w:val="single"/>
          </w:rPr>
          <w:t>TS-TCC</w:t>
        </w:r>
      </w:hyperlink>
      <w:r>
        <w:t xml:space="preserve"> and </w:t>
      </w:r>
      <w:hyperlink r:id="rId21">
        <w:r>
          <w:rPr>
            <w:color w:val="2F5597"/>
            <w:u w:val="single"/>
          </w:rPr>
          <w:t>SimMTM</w:t>
        </w:r>
      </w:hyperlink>
      <w:r>
        <w:t>.</w:t>
      </w:r>
    </w:p>
    <w:p>
      <w:r>
        <w:br w:type="page"/>
      </w:r>
    </w:p>
    <w:p>
      <w:pPr>
        <w:pStyle w:val="Heading2"/>
        <w:spacing w:after="140"/>
      </w:pPr>
      <w:r>
        <w:t>Project 1.1  Siemens Gamesa: Data-driven operational state identification for wind turbine condition monitoring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Unsupervised operating-state discovery followed by condition-monitoring evaluation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vibration and operational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Wind-turbine monitoring systems often group vibration measurements by power output. However, turbines producing the same power can show different vibration behaviour. You will test whether operating states learned from vibration and operational measurements describe the turbine more consistently than power bins.</w:t>
      </w:r>
    </w:p>
    <w:p>
      <w:pPr>
        <w:spacing w:before="0" w:after="100" w:line="254" w:lineRule="auto"/>
      </w:pPr>
      <w:r>
        <w:rPr>
          <w:b/>
          <w:color w:val="25313C"/>
        </w:rPr>
        <w:t xml:space="preserve">Project goal. </w:t>
      </w:r>
      <w:r>
        <w:t>Discover recurring operating states and determine whether using those states improves a downstream condition-monitoring model. The project should answer whether the learned states contain useful information beyond turbine power.</w:t>
      </w:r>
    </w:p>
    <w:p>
      <w:pPr>
        <w:spacing w:before="0" w:after="100" w:line="254" w:lineRule="auto"/>
      </w:pPr>
      <w:r>
        <w:rPr>
          <w:b/>
          <w:color w:val="25313C"/>
        </w:rPr>
        <w:t xml:space="preserve">Data. </w:t>
      </w:r>
      <w:r>
        <w:t>Siemens Gamesa will provide anonymised turbine data under an agreed access arrangement. The data may include vibration features or spectra together with variables such as power, rotor or generator speed, pitch angle, torque, wind conditions and controller information. The exact channels, number of turbines, time period and sampling format must be confirmed before allocation.</w:t>
      </w:r>
    </w:p>
    <w:p>
      <w:pPr>
        <w:spacing w:before="0" w:after="100" w:line="254" w:lineRule="auto"/>
      </w:pPr>
      <w:r>
        <w:rPr>
          <w:b/>
          <w:color w:val="25313C"/>
        </w:rPr>
        <w:t xml:space="preserve">Methods and code. </w:t>
      </w:r>
      <w:r>
        <w:t xml:space="preserve">Start with power binning, PCA and one clustering method such as k-means or a Gaussian mixture. Then test one representation-learning approach, such as </w:t>
      </w:r>
      <w:hyperlink r:id="rId19">
        <w:r>
          <w:rPr>
            <w:color w:val="2F5597"/>
            <w:u w:val="single"/>
          </w:rPr>
          <w:t>TS2Vec</w:t>
        </w:r>
      </w:hyperlink>
      <w:r>
        <w:t>, followed by clustering. Use UMAP only for visualisation, not as evidence that the states are valid.</w:t>
      </w:r>
    </w:p>
    <w:p>
      <w:pPr>
        <w:spacing w:before="0" w:after="100" w:line="254" w:lineRule="auto"/>
      </w:pPr>
      <w:r>
        <w:rPr>
          <w:b/>
          <w:color w:val="25313C"/>
        </w:rPr>
        <w:t xml:space="preserve">Baselines and evaluation. </w:t>
      </w:r>
      <w:r>
        <w:t>Compare power bins, clustering on standardised operational variables, and clustering on the learned representation. Evaluate whether states are stable across held-out turbines or time periods and whether they have a clear operational interpretation. The main downstream comparison uses the same condition-monitoring or anomaly model with power-bin conditioning and learned-state conditioning. Report residual variation and, if suitable event or alarm labels are available, detection performance and false-alarm rate.</w:t>
      </w:r>
    </w:p>
    <w:p>
      <w:pPr>
        <w:spacing w:before="0" w:after="100" w:line="254" w:lineRule="auto"/>
      </w:pPr>
      <w:r>
        <w:rPr>
          <w:b/>
          <w:color w:val="25313C"/>
        </w:rPr>
        <w:t xml:space="preserve">Practical notes. </w:t>
      </w:r>
      <w:r>
        <w:t>Unsupervised clusters are not automatically physical operating states. Do not judge the result only by silhouette score or a two-dimensional plot. A useful state should be repeatable and should improve an agreed downstream measure.</w:t>
      </w:r>
    </w:p>
    <w:p>
      <w:pPr>
        <w:pStyle w:val="Heading3"/>
      </w:pPr>
      <w:r>
        <w:t>Bachelor scope</w:t>
      </w:r>
    </w:p>
    <w:p>
      <w:pPr>
        <w:spacing w:before="0" w:after="100" w:line="254" w:lineRule="auto"/>
      </w:pPr>
      <w:r>
        <w:rPr>
          <w:b/>
        </w:rPr>
        <w:t>Bachelor version.</w:t>
      </w:r>
      <w:r>
        <w:t xml:space="preserve"> Using a prepared feature table, compare power binning with one clustering method. Describe the resulting states using the available operational variables and measure how much within-state vibration variation each grouping removes. Representation learning is not required.</w:t>
      </w:r>
    </w:p>
    <w:p>
      <w:pPr>
        <w:pStyle w:val="Heading3"/>
      </w:pPr>
      <w:r>
        <w:t>Master scope</w:t>
      </w:r>
    </w:p>
    <w:p>
      <w:pPr>
        <w:spacing w:before="0" w:after="100" w:line="254" w:lineRule="auto"/>
      </w:pPr>
      <w:r>
        <w:rPr>
          <w:b/>
        </w:rPr>
        <w:t>Master research question.</w:t>
      </w:r>
      <w:r>
        <w:t xml:space="preserve"> </w:t>
      </w:r>
      <w:r>
        <w:rPr>
          <w:b/>
        </w:rPr>
        <w:t>Do data-driven operating states describe wind-turbine vibration more consistently than power bins, and do they improve downstream condition monitoring?</w:t>
      </w:r>
      <w:r>
        <w:t xml:space="preserve"> The contribution is the state representation and a controlled comparison showing when it improves—or does not improve—the downstream model. Include stability analysis and one ablation of the input variables or representation method.</w:t>
      </w:r>
    </w:p>
    <w:p>
      <w:r>
        <w:br w:type="page"/>
      </w:r>
    </w:p>
    <w:p>
      <w:pPr>
        <w:pStyle w:val="Heading2"/>
        <w:spacing w:after="140"/>
      </w:pPr>
      <w:r>
        <w:t>Project 1.2  Siemens Gamesa: Inferring drivetrain configuration and kinematics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Turbine-level classification of drivetrain configurations from vibration and operational measurements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data with configuration information for a subset of turbines;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Dempster, Petitjean and Webb, </w:t>
            </w:r>
            <w:hyperlink r:id="rId22">
              <w:r>
                <w:rPr>
                  <w:color w:val="2F5597"/>
                  <w:u w:val="single"/>
                </w:rPr>
                <w:t>ROCKET</w:t>
              </w:r>
            </w:hyperlink>
            <w:r>
              <w:t>, DMKD 2020</w:t>
            </w:r>
          </w:p>
        </w:tc>
      </w:tr>
    </w:tbl>
    <w:p>
      <w:pPr>
        <w:spacing w:after="0"/>
      </w:pPr>
    </w:p>
    <w:p>
      <w:pPr>
        <w:spacing w:before="80" w:after="100" w:line="254" w:lineRule="auto"/>
      </w:pPr>
      <w:r>
        <w:rPr>
          <w:b/>
          <w:color w:val="25313C"/>
        </w:rPr>
        <w:t xml:space="preserve">What you will do. </w:t>
      </w:r>
      <w:r>
        <w:t>A wind-turbine fleet can contain several bearing, gearbox or drivetrain variants, and the monitoring system may not always know which configuration is installed. Because component geometry affects the vibration spectrum, you will test whether the configuration can be inferred from measured vibration and operational data.</w:t>
      </w:r>
    </w:p>
    <w:p>
      <w:pPr>
        <w:spacing w:before="0" w:after="100" w:line="254" w:lineRule="auto"/>
      </w:pPr>
      <w:r>
        <w:rPr>
          <w:b/>
          <w:color w:val="25313C"/>
        </w:rPr>
        <w:t xml:space="preserve">Project goal. </w:t>
      </w:r>
      <w:r>
        <w:t>Predict the drivetrain configuration for a turbine and estimate confidence over the possible configurations. The study should also identify which signal characteristics carry useful configuration information.</w:t>
      </w:r>
    </w:p>
    <w:p>
      <w:pPr>
        <w:spacing w:before="0" w:after="100" w:line="254" w:lineRule="auto"/>
      </w:pPr>
      <w:r>
        <w:rPr>
          <w:b/>
          <w:color w:val="25313C"/>
        </w:rPr>
        <w:t xml:space="preserve">Data. </w:t>
      </w:r>
      <w:r>
        <w:t>Siemens Gamesa will provide anonymised vibration and operational measurements, potentially with verified configuration information for a subset of turbines. Before allocation, confirm the number of turbines and configuration classes, how the configuration labels were obtained, the measurement positions, sampling format, and whether raw waveforms, spectra or extracted features are available. The classification study requires enough independent turbines in each class.</w:t>
      </w:r>
    </w:p>
    <w:p>
      <w:pPr>
        <w:spacing w:before="0" w:after="100" w:line="254" w:lineRule="auto"/>
      </w:pPr>
      <w:r>
        <w:rPr>
          <w:b/>
          <w:color w:val="25313C"/>
        </w:rPr>
        <w:t xml:space="preserve">Methods and code. </w:t>
      </w:r>
      <w:r>
        <w:t xml:space="preserve">Begin with a simple classifier such as logistic regression, random forest or gradient boosting on the supplied spectral and operational features. If sequences or spectra are available, compare </w:t>
      </w:r>
      <w:hyperlink r:id="rId23">
        <w:r>
          <w:rPr>
            <w:color w:val="2F5597"/>
            <w:u w:val="single"/>
          </w:rPr>
          <w:t>MiniRocket</w:t>
        </w:r>
      </w:hyperlink>
      <w:r>
        <w:t xml:space="preserve">, </w:t>
      </w:r>
      <w:hyperlink r:id="rId24">
        <w:r>
          <w:rPr>
            <w:color w:val="2F5597"/>
            <w:u w:val="single"/>
          </w:rPr>
          <w:t>InceptionTime</w:t>
        </w:r>
      </w:hyperlink>
      <w:r>
        <w:t xml:space="preserve"> or a compact 1-D CNN. If speed and component geometry are available, add order-domain or characteristic-frequency features as a physics-informed extension.</w:t>
      </w:r>
    </w:p>
    <w:p>
      <w:pPr>
        <w:spacing w:before="0" w:after="100" w:line="254" w:lineRule="auto"/>
      </w:pPr>
      <w:r>
        <w:rPr>
          <w:b/>
          <w:color w:val="25313C"/>
        </w:rPr>
        <w:t xml:space="preserve">Baselines and evaluation. </w:t>
      </w:r>
      <w:r>
        <w:t>Compare majority-class and operational-metadata baselines with feature-based and learned vibration models. Split by turbine; use a site-grouped test only if the data contain enough sites and classes. Report balanced accuracy and macro-F1. For probabilistic predictions, also report calibration and coverage: how often can the system make an automatic decision above a chosen confidence threshold, and how often is that decision correct?</w:t>
      </w:r>
    </w:p>
    <w:p>
      <w:pPr>
        <w:spacing w:before="0" w:after="100" w:line="254" w:lineRule="auto"/>
      </w:pPr>
      <w:r>
        <w:rPr>
          <w:b/>
          <w:color w:val="25313C"/>
        </w:rPr>
        <w:t xml:space="preserve">Practical notes. </w:t>
      </w:r>
      <w:r>
        <w:t>This project is feasible only if enough turbines have reliable configuration labels. Configuration may also correlate with site, turbine age or rating, so these variables must be examined before attributing performance to vibration signatures.</w:t>
      </w:r>
    </w:p>
    <w:p>
      <w:pPr>
        <w:pStyle w:val="Heading3"/>
      </w:pPr>
      <w:r>
        <w:t>Bachelor scope</w:t>
      </w:r>
    </w:p>
    <w:p>
      <w:pPr>
        <w:spacing w:before="0" w:after="100" w:line="254" w:lineRule="auto"/>
      </w:pPr>
      <w:r>
        <w:rPr>
          <w:b/>
        </w:rPr>
        <w:t>Bachelor version.</w:t>
      </w:r>
      <w:r>
        <w:t xml:space="preserve"> Using a prepared feature table and fixed configuration labels, compare one conventional classifier with the metadata-only baseline on turbine-grouped splits. Identify the most informative spectral or operational features.</w:t>
      </w:r>
    </w:p>
    <w:p>
      <w:pPr>
        <w:pStyle w:val="Heading3"/>
      </w:pPr>
      <w:r>
        <w:t>Master scope</w:t>
      </w:r>
    </w:p>
    <w:p>
      <w:pPr>
        <w:spacing w:before="0" w:after="100" w:line="254" w:lineRule="auto"/>
      </w:pPr>
      <w:r>
        <w:rPr>
          <w:b/>
        </w:rPr>
        <w:t>Master research question.</w:t>
      </w:r>
      <w:r>
        <w:t xml:space="preserve"> </w:t>
      </w:r>
      <w:r>
        <w:rPr>
          <w:b/>
        </w:rPr>
        <w:t>Can drivetrain configuration be inferred from vibration signals beyond what operational metadata already reveals, and can the model provide reliable confidence estimates?</w:t>
      </w:r>
      <w:r>
        <w:t xml:space="preserve"> The contribution may be a physics-informed feature set, a hybrid model or a calibrated decision rule. Include a metadata-only control and analyse performance across operating conditions.</w:t>
      </w:r>
    </w:p>
    <w:p>
      <w:r>
        <w:br w:type="page"/>
      </w:r>
    </w:p>
    <w:p>
      <w:pPr>
        <w:pStyle w:val="Heading2"/>
        <w:spacing w:after="140"/>
      </w:pPr>
      <w:r>
        <w:t>Project 1.3  Tetra Pak: Regime-aware self-supervised learning for non-stationary filtration cycles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followed by cycle-level regression or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Tetra Pak filtration-process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Membrane-filtration plants generate repeated production and cleaning cycles containing flow, pressure, temperature and energy measurements. Because operating conditions differ between cycles, you will learn representations that account for this variation and test them on one agreed prediction or anomaly-detection task.</w:t>
      </w:r>
    </w:p>
    <w:p>
      <w:pPr>
        <w:spacing w:before="0" w:after="100" w:line="254" w:lineRule="auto"/>
      </w:pPr>
      <w:r>
        <w:rPr>
          <w:b/>
          <w:color w:val="25313C"/>
        </w:rPr>
        <w:t xml:space="preserve">Project goal. </w:t>
      </w:r>
      <w:r>
        <w:t>Determine whether cycle-phase- and operating-regime-aware self-supervised learning separates normal process variation from inefficient or abnormal behaviour better than a generic time-series representation.</w:t>
      </w:r>
    </w:p>
    <w:p>
      <w:pPr>
        <w:spacing w:before="0" w:after="100" w:line="254" w:lineRule="auto"/>
      </w:pPr>
      <w:r>
        <w:rPr>
          <w:b/>
          <w:color w:val="25313C"/>
        </w:rPr>
        <w:t xml:space="preserve">Data. </w:t>
      </w:r>
      <w:r>
        <w:t>Tetra Pak will provide anonymised process data or access through a secure environment. Possible variables include cycle boundaries, flow, pressure, temperature, power or energy, setpoints and operating conditions. The number of independent cycles, sampling rate, available plants or lines, and downstream target must be confirmed before allocation. Split by complete cycle and preserve time order.</w:t>
      </w:r>
    </w:p>
    <w:p>
      <w:pPr>
        <w:spacing w:before="0" w:after="100" w:line="254" w:lineRule="auto"/>
      </w:pPr>
      <w:r>
        <w:rPr>
          <w:b/>
          <w:color w:val="25313C"/>
        </w:rPr>
        <w:t xml:space="preserve">Methods and code. </w:t>
      </w:r>
      <w:r>
        <w:t>Use one established method—</w:t>
      </w:r>
      <w:hyperlink r:id="rId19">
        <w:r>
          <w:rPr>
            <w:color w:val="2F5597"/>
            <w:u w:val="single"/>
          </w:rPr>
          <w:t>TS2Vec</w:t>
        </w:r>
      </w:hyperlink>
      <w:r>
        <w:t xml:space="preserve">, </w:t>
      </w:r>
      <w:hyperlink r:id="rId20">
        <w:r>
          <w:rPr>
            <w:color w:val="2F5597"/>
            <w:u w:val="single"/>
          </w:rPr>
          <w:t>TS-TCC</w:t>
        </w:r>
      </w:hyperlink>
      <w:r>
        <w:t xml:space="preserve"> or </w:t>
      </w:r>
      <w:hyperlink r:id="rId21">
        <w:r>
          <w:rPr>
            <w:color w:val="2F5597"/>
            <w:u w:val="single"/>
          </w:rPr>
          <w:t>SimMTM</w:t>
        </w:r>
      </w:hyperlink>
      <w:r>
        <w:t>—with a compact 1-D CNN, TCN or GRU encoder. Compare generic augmentations with a cycle-phase- or regime-aware view or masking design. Change-point detection or clustering may be used to describe operating regimes.</w:t>
      </w:r>
    </w:p>
    <w:p>
      <w:pPr>
        <w:spacing w:before="0" w:after="100" w:line="254" w:lineRule="auto"/>
      </w:pPr>
      <w:r>
        <w:rPr>
          <w:b/>
          <w:color w:val="25313C"/>
        </w:rPr>
        <w:t xml:space="preserve">Baselines and evaluation. </w:t>
      </w:r>
      <w:r>
        <w:t>Compare a statistical baseline, a supervised TCN or GRU, generic self-supervised learning and the proposed regime-aware version. Include random-frozen and frozen-probe controls. Use MAE for early prediction of final specific energy, or AUPRC for an agreed anomaly label. Report a label-efficiency curve and use several seeds when the number of independent cycles permits.</w:t>
      </w:r>
    </w:p>
    <w:p>
      <w:pPr>
        <w:spacing w:before="0" w:after="100" w:line="254" w:lineRule="auto"/>
      </w:pPr>
      <w:r>
        <w:rPr>
          <w:b/>
          <w:color w:val="25313C"/>
        </w:rPr>
        <w:t xml:space="preserve">Practical notes. </w:t>
      </w:r>
      <w:r>
        <w:t xml:space="preserve">Confirm the independent-cycle count and one measurable downstream target before allocation. Rerunning an unchanged self-supervised method is a baseline, not the Master contribution. Follow the </w:t>
      </w:r>
      <w:hyperlink r:id="rId25">
        <w:r>
          <w:rPr>
            <w:color w:val="2F5597"/>
            <w:u w:val="single"/>
          </w:rPr>
          <w:t>shared protocol for self-supervised projects</w:t>
        </w:r>
      </w:hyperlink>
      <w:r>
        <w:t>.</w:t>
      </w:r>
    </w:p>
    <w:p>
      <w:pPr>
        <w:pStyle w:val="Heading3"/>
      </w:pPr>
      <w:r>
        <w:t>Bachelor scope</w:t>
      </w:r>
    </w:p>
    <w:p>
      <w:pPr>
        <w:spacing w:before="0" w:after="100" w:line="254" w:lineRule="auto"/>
      </w:pPr>
      <w:r>
        <w:rPr>
          <w:b/>
        </w:rPr>
        <w:t>Bachelor version.</w:t>
      </w:r>
      <w:r>
        <w:t xml:space="preserve"> Using pre-segmented filtration cycles and a fixed downstream target, compare one statistical or supervised baseline with one established self-supervised method. Use cycle-grouped splits and evaluate a frozen representation with a small prediction head. Designing a new augmentation or representation is not required.</w:t>
      </w:r>
    </w:p>
    <w:p>
      <w:pPr>
        <w:pStyle w:val="Heading3"/>
      </w:pPr>
      <w:r>
        <w:t>Master scope</w:t>
      </w:r>
    </w:p>
    <w:p>
      <w:pPr>
        <w:spacing w:before="0" w:after="100" w:line="254" w:lineRule="auto"/>
      </w:pPr>
      <w:r>
        <w:rPr>
          <w:b/>
        </w:rPr>
        <w:t>Master research question.</w:t>
      </w:r>
      <w:r>
        <w:t xml:space="preserve"> </w:t>
      </w:r>
      <w:r>
        <w:rPr>
          <w:b/>
        </w:rPr>
        <w:t>Can cycle-phase- and operating-regime-aware self-supervised views improve prediction or anomaly detection across non-stationary filtration cycles?</w:t>
      </w:r>
      <w:r>
        <w:t xml:space="preserve"> The contribution is the process-aware view or masking design and its matched comparison with generic augmentations, including transfer to a held-out regime, line or product when the data support it.</w:t>
      </w:r>
    </w:p>
    <w:p>
      <w:r>
        <w:br w:type="page"/>
      </w:r>
    </w:p>
    <w:p>
      <w:pPr>
        <w:pStyle w:val="Heading1"/>
      </w:pPr>
      <w:r>
        <w:t>Category 2  GNN applications for real-world data</w:t>
      </w:r>
    </w:p>
    <w:p>
      <w:pPr>
        <w:spacing w:before="0" w:after="100" w:line="254" w:lineRule="auto"/>
      </w:pPr>
      <w:r>
        <w:t xml:space="preserve">A </w:t>
      </w:r>
      <w:r>
        <w:rPr>
          <w:b/>
        </w:rPr>
        <w:t>graph</w:t>
      </w:r>
      <w:r>
        <w:t xml:space="preserve"> represents entities and the relationships between them. The entities are </w:t>
      </w:r>
      <w:r>
        <w:rPr>
          <w:b/>
        </w:rPr>
        <w:t>nodes</w:t>
      </w:r>
      <w:r>
        <w:t xml:space="preserve"> and their relationships are </w:t>
      </w:r>
      <w:r>
        <w:rPr>
          <w:b/>
        </w:rPr>
        <w:t>edges</w:t>
      </w:r>
      <w:r>
        <w:t>. Both may carry information: a customer node might contain age or location, a product node might contain category and price, and an edge might record that a customer bought or rated a product. Road sensors connected by roads, transactions linked by payments and atoms connected by chemical bonds are other examples.</w:t>
      </w:r>
    </w:p>
    <w:p>
      <w:pPr>
        <w:spacing w:before="0" w:after="100" w:line="254" w:lineRule="auto"/>
      </w:pPr>
      <w:r>
        <w:t xml:space="preserve">A </w:t>
      </w:r>
      <w:r>
        <w:rPr>
          <w:b/>
        </w:rPr>
        <w:t>graph neural network (GNN)</w:t>
      </w:r>
      <w:r>
        <w:t xml:space="preserve"> learns numerical representations, or embeddings, by combining a node's own features with information from its neighbours. In a customer-product graph, the model can use previous purchases, product properties and patterns from nearby customers to score a new customer-product link. The same principle supports </w:t>
      </w:r>
      <w:r>
        <w:rPr>
          <w:b/>
        </w:rPr>
        <w:t>node classification</w:t>
      </w:r>
      <w:r>
        <w:t xml:space="preserve">, </w:t>
      </w:r>
      <w:r>
        <w:rPr>
          <w:b/>
        </w:rPr>
        <w:t>link prediction</w:t>
      </w:r>
      <w:r>
        <w:t xml:space="preserve"> and </w:t>
      </w:r>
      <w:r>
        <w:rPr>
          <w:b/>
        </w:rPr>
        <w:t>graph-level prediction</w:t>
      </w:r>
      <w:r>
        <w:t>.</w:t>
      </w:r>
    </w:p>
    <w:p>
      <w:pPr>
        <w:spacing w:before="0" w:after="100" w:line="254" w:lineRule="auto"/>
      </w:pPr>
      <w:r>
        <w:t>Each project below asks a specific question about when and why the graph helps, not simply whether a GNN can be trained. Students define what the nodes and edges mean, fix a split and a primary metric, and include a control that tests whether the graph contributes.</w:t>
      </w:r>
    </w:p>
    <w:p>
      <w:pPr>
        <w:pStyle w:val="Heading3"/>
      </w:pPr>
      <w:r>
        <w:t>Application project requirements</w:t>
      </w:r>
    </w:p>
    <w:p>
      <w:pPr>
        <w:spacing w:before="0" w:after="80" w:line="254" w:lineRule="auto"/>
      </w:pPr>
      <w:r>
        <w:t>Specify a defensible graph construction, a fixed split and primary metric, a non-graph baseline and at least one GNN. Include an edge-removal, edge-randomisation or alternative-graph experiment to test whether the graph contributes.</w:t>
      </w:r>
    </w:p>
    <w:p>
      <w:pPr>
        <w:pStyle w:val="Heading2"/>
      </w:pPr>
      <w:r>
        <w:t>Learn first and find ideas</w:t>
      </w:r>
    </w:p>
    <w:p>
      <w:pPr>
        <w:pStyle w:val="ListBullet"/>
        <w:spacing w:before="0" w:after="40" w:line="254" w:lineRule="auto"/>
      </w:pPr>
      <w:r>
        <w:t xml:space="preserve">Begin with </w:t>
      </w:r>
      <w:hyperlink r:id="rId26">
        <w:r>
          <w:rPr>
            <w:color w:val="2F5597"/>
            <w:u w:val="single"/>
          </w:rPr>
          <w:t>A Gentle Introduction to Graph Neural Networks</w:t>
        </w:r>
      </w:hyperlink>
      <w:r>
        <w:t xml:space="preserve">, then use the </w:t>
      </w:r>
      <w:hyperlink r:id="rId27">
        <w:r>
          <w:rPr>
            <w:color w:val="2F5597"/>
            <w:u w:val="single"/>
          </w:rPr>
          <w:t>Stanford CS224W course and project guidance</w:t>
        </w:r>
      </w:hyperlink>
      <w:r>
        <w:t xml:space="preserve"> and the </w:t>
      </w:r>
      <w:hyperlink r:id="rId28">
        <w:r>
          <w:rPr>
            <w:color w:val="2F5597"/>
            <w:u w:val="single"/>
          </w:rPr>
          <w:t>CS224W project archive</w:t>
        </w:r>
      </w:hyperlink>
      <w:r>
        <w:t>.</w:t>
      </w:r>
    </w:p>
    <w:p>
      <w:pPr>
        <w:pStyle w:val="ListBullet"/>
        <w:spacing w:before="0" w:after="40" w:line="254" w:lineRule="auto"/>
      </w:pPr>
      <w:hyperlink r:id="rId29">
        <w:r>
          <w:rPr>
            <w:color w:val="2F5597"/>
            <w:u w:val="single"/>
          </w:rPr>
          <w:t>PyTorch Geometric dataset catalogue</w:t>
        </w:r>
      </w:hyperlink>
      <w:r>
        <w:t xml:space="preserve">, </w:t>
      </w:r>
      <w:hyperlink r:id="rId30">
        <w:r>
          <w:rPr>
            <w:color w:val="2F5597"/>
            <w:u w:val="single"/>
          </w:rPr>
          <w:t>Open Graph Benchmark</w:t>
        </w:r>
      </w:hyperlink>
      <w:r>
        <w:t xml:space="preserve">, </w:t>
      </w:r>
      <w:hyperlink r:id="rId31">
        <w:r>
          <w:rPr>
            <w:color w:val="2F5597"/>
            <w:u w:val="single"/>
          </w:rPr>
          <w:t>SNAP datasets</w:t>
        </w:r>
      </w:hyperlink>
      <w:r>
        <w:t xml:space="preserve"> and the </w:t>
      </w:r>
      <w:hyperlink r:id="rId32">
        <w:r>
          <w:rPr>
            <w:color w:val="2F5597"/>
            <w:u w:val="single"/>
          </w:rPr>
          <w:t>Temporal Graph Benchmark</w:t>
        </w:r>
      </w:hyperlink>
      <w:r>
        <w:t>.</w:t>
      </w:r>
    </w:p>
    <w:p>
      <w:pPr>
        <w:pStyle w:val="ListBullet"/>
        <w:spacing w:before="0" w:after="40" w:line="254" w:lineRule="auto"/>
      </w:pPr>
      <w:r>
        <w:t xml:space="preserve">Stanford examples: </w:t>
      </w:r>
      <w:hyperlink r:id="rId33">
        <w:r>
          <w:rPr>
            <w:color w:val="2F5597"/>
            <w:u w:val="single"/>
          </w:rPr>
          <w:t>traffic as a dynamic graph</w:t>
        </w:r>
      </w:hyperlink>
      <w:r>
        <w:t xml:space="preserve">, </w:t>
      </w:r>
      <w:hyperlink r:id="rId34">
        <w:r>
          <w:rPr>
            <w:color w:val="2F5597"/>
            <w:u w:val="single"/>
          </w:rPr>
          <w:t>water quality with RGCNs</w:t>
        </w:r>
      </w:hyperlink>
      <w:r>
        <w:t xml:space="preserve">, </w:t>
      </w:r>
      <w:hyperlink r:id="rId35">
        <w:r>
          <w:rPr>
            <w:color w:val="2F5597"/>
            <w:u w:val="single"/>
          </w:rPr>
          <w:t>fake-news detection</w:t>
        </w:r>
      </w:hyperlink>
      <w:r>
        <w:t xml:space="preserve"> and </w:t>
      </w:r>
      <w:hyperlink r:id="rId36">
        <w:r>
          <w:rPr>
            <w:color w:val="2F5597"/>
            <w:u w:val="single"/>
          </w:rPr>
          <w:t>NFT transaction prediction</w:t>
        </w:r>
      </w:hyperlink>
      <w:r>
        <w:t>.</w:t>
      </w:r>
    </w:p>
    <w:p>
      <w:r>
        <w:br w:type="page"/>
      </w:r>
    </w:p>
    <w:p>
      <w:pPr>
        <w:pStyle w:val="Heading2"/>
        <w:spacing w:after="140"/>
      </w:pPr>
      <w:r>
        <w:t>Project 2.1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7">
              <w:r>
                <w:rPr>
                  <w:color w:val="2F5597"/>
                  <w:u w:val="single"/>
                </w:rPr>
                <w:t>NASA C-MAPSS</w:t>
              </w:r>
            </w:hyperlink>
            <w:r>
              <w:t xml:space="preserve"> — FD001: 100 training engines, 100 test engines, 21 sensor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Huang, He and Sick, </w:t>
            </w:r>
            <w:hyperlink r:id="rId38">
              <w:r>
                <w:rPr>
                  <w:color w:val="2F5597"/>
                  <w:u w:val="single"/>
                </w:rPr>
                <w:t>Spatio-Temporal Attention GNN for RUL</w:t>
              </w:r>
            </w:hyperlink>
            <w:r>
              <w:t>, 2024</w:t>
            </w:r>
          </w:p>
        </w:tc>
      </w:tr>
    </w:tbl>
    <w:p>
      <w:pPr>
        <w:spacing w:after="0"/>
      </w:pPr>
    </w:p>
    <w:p>
      <w:pPr>
        <w:spacing w:before="80" w:after="100" w:line="254" w:lineRule="auto"/>
      </w:pPr>
      <w:r>
        <w:rPr>
          <w:b/>
          <w:color w:val="25313C"/>
        </w:rPr>
        <w:t xml:space="preserve">What you will do. </w:t>
      </w:r>
      <w:r>
        <w:t>Predict how many operating cycles remain before a turbofan engine fails. Each sensor channel becomes a node and edges express relationships among sensors. The project's real subject is the graph itself: does it matter how you connect the sensors?</w:t>
      </w:r>
    </w:p>
    <w:p>
      <w:pPr>
        <w:spacing w:before="0" w:after="100" w:line="254" w:lineRule="auto"/>
      </w:pPr>
      <w:r>
        <w:rPr>
          <w:b/>
          <w:color w:val="25313C"/>
        </w:rPr>
        <w:t xml:space="preserve">Data. </w:t>
      </w:r>
      <w:r>
        <w:t xml:space="preserve">Start with FD001; FD002–FD004 are optional transfer sets. Reserve complete training engines for validation and use the official test set for final scores. Split by </w:t>
      </w:r>
      <w:r>
        <w:rPr>
          <w:b/>
        </w:rPr>
        <w:t>engine</w:t>
      </w:r>
      <w:r>
        <w:t>, never by window. NASA provides final RUL labels for test engines, so early/middle/late-life analysis belongs on the held-out validation engines. The download is public; NASA does not specify a licence on the catalogue page.</w:t>
      </w:r>
    </w:p>
    <w:p>
      <w:pPr>
        <w:spacing w:before="0" w:after="100" w:line="254" w:lineRule="auto"/>
      </w:pPr>
      <w:r>
        <w:rPr>
          <w:b/>
          <w:color w:val="25313C"/>
        </w:rPr>
        <w:t xml:space="preserve">Methods and code. </w:t>
      </w:r>
      <w:r>
        <w:t xml:space="preserve">Use a GRU or TCN as the graph-free baseline and a compact GCN–GRU or GAT–GRU as the graph model. The </w:t>
      </w:r>
      <w:hyperlink r:id="rId39">
        <w:r>
          <w:rPr>
            <w:color w:val="2F5597"/>
            <w:u w:val="single"/>
          </w:rPr>
          <w:t>GNN RUL benchmark</w:t>
        </w:r>
      </w:hyperlink>
      <w:r>
        <w:t xml:space="preserve"> is a useful reference; a small </w:t>
      </w:r>
      <w:hyperlink r:id="rId40">
        <w:r>
          <w:rPr>
            <w:color w:val="2F5597"/>
            <w:u w:val="single"/>
          </w:rPr>
          <w:t>PyTorch Geometric</w:t>
        </w:r>
      </w:hyperlink>
      <w:r>
        <w:t xml:space="preserve"> implementation is sufficient.</w:t>
      </w:r>
    </w:p>
    <w:p>
      <w:pPr>
        <w:spacing w:before="0" w:after="100" w:line="254" w:lineRule="auto"/>
      </w:pPr>
      <w:r>
        <w:rPr>
          <w:b/>
          <w:color w:val="25313C"/>
        </w:rPr>
        <w:t xml:space="preserve">Baselines and evaluation. </w:t>
      </w:r>
      <w:r>
        <w:t>Compare a constant/degradation-stage baseline, one sequence model and one compact GNN. Use MAE or RMSE as primary, and report three seeds for MSc work.</w:t>
      </w:r>
    </w:p>
    <w:p>
      <w:pPr>
        <w:spacing w:before="0" w:after="100" w:line="254" w:lineRule="auto"/>
      </w:pPr>
      <w:r>
        <w:rPr>
          <w:b/>
          <w:color w:val="25313C"/>
        </w:rPr>
        <w:t xml:space="preserve">Practical notes. </w:t>
      </w:r>
      <w:r>
        <w:t>Fix the RUL cap, normalisation and metric before modelling; changing them makes published results incomparable.</w:t>
      </w:r>
    </w:p>
    <w:p>
      <w:pPr>
        <w:pStyle w:val="Heading3"/>
      </w:pPr>
      <w:r>
        <w:t>Bachelor scope</w:t>
      </w:r>
    </w:p>
    <w:p>
      <w:pPr>
        <w:spacing w:before="0" w:after="100" w:line="254" w:lineRule="auto"/>
      </w:pPr>
      <w:r>
        <w:rPr>
          <w:b/>
        </w:rPr>
        <w:t>Bachelor research question.</w:t>
      </w:r>
      <w:r>
        <w:t xml:space="preserve"> </w:t>
      </w:r>
      <w:r>
        <w:rPr>
          <w:b/>
        </w:rPr>
        <w:t>How sensitive is GNN-based remaining-useful-life prediction to the way the sensor graph is constructed?</w:t>
      </w:r>
    </w:p>
    <w:p>
      <w:pPr>
        <w:spacing w:before="0" w:after="100" w:line="254" w:lineRule="auto"/>
      </w:pPr>
      <w:r>
        <w:t>*Core experiment.* Keep the model fixed and compare correlation, sensor-similarity, random and no-edge graphs, plus the graph-free sequence baseline.</w:t>
      </w:r>
    </w:p>
    <w:p>
      <w:pPr>
        <w:spacing w:before="0" w:after="100" w:line="254" w:lineRule="auto"/>
      </w:pPr>
      <w:r>
        <w:rPr>
          <w:b/>
        </w:rPr>
        <w:t>Interpretation.</w:t>
      </w:r>
      <w:r>
        <w:t xml:space="preserve"> FD001 has only 21 sensor channels, so the graph may add little beyond temporal modelling. A correlation graph performing no better than a random graph is a valid result.</w:t>
      </w:r>
    </w:p>
    <w:p>
      <w:pPr>
        <w:pStyle w:val="Heading3"/>
      </w:pPr>
      <w:r>
        <w:t>Master scope</w:t>
      </w:r>
    </w:p>
    <w:p>
      <w:pPr>
        <w:spacing w:before="0" w:after="100" w:line="254" w:lineRule="auto"/>
      </w:pPr>
      <w:r>
        <w:rPr>
          <w:b/>
        </w:rPr>
        <w:t>Master research question.</w:t>
      </w:r>
      <w:r>
        <w:t xml:space="preserve"> </w:t>
      </w:r>
      <w:r>
        <w:rPr>
          <w:b/>
        </w:rPr>
        <w:t>Can a sparse, time-varying sensor graph improve accuracy when sensors are noisy or missing?</w:t>
      </w:r>
      <w:r>
        <w:t xml:space="preserve"> Develop one graph-learning mechanism, compare it with fixed and random graphs at matched capacity, and add one robustness or cross-subset transfer study.</w:t>
      </w:r>
    </w:p>
    <w:p>
      <w:r>
        <w:br w:type="page"/>
      </w:r>
    </w:p>
    <w:p>
      <w:pPr>
        <w:pStyle w:val="Heading2"/>
        <w:spacing w:after="140"/>
      </w:pPr>
      <w:r>
        <w:t>Project 2.2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1">
              <w:r>
                <w:rPr>
                  <w:color w:val="2F5597"/>
                  <w:u w:val="single"/>
                </w:rPr>
                <w:t>METR-LA</w:t>
              </w:r>
            </w:hyperlink>
            <w:r>
              <w:t xml:space="preserve"> — 207 sensors, 34,272 five-minute observations; PEMS-BAY optional</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Wu et al., </w:t>
            </w:r>
            <w:hyperlink r:id="rId42">
              <w:r>
                <w:rPr>
                  <w:color w:val="2F5597"/>
                  <w:u w:val="single"/>
                </w:rPr>
                <w:t>Graph WaveNet</w:t>
              </w:r>
            </w:hyperlink>
            <w:r>
              <w:t>, IJCAI 2019</w:t>
            </w:r>
          </w:p>
        </w:tc>
      </w:tr>
    </w:tbl>
    <w:p>
      <w:pPr>
        <w:spacing w:after="0"/>
      </w:pPr>
    </w:p>
    <w:p>
      <w:pPr>
        <w:spacing w:before="80" w:after="100" w:line="254" w:lineRule="auto"/>
      </w:pPr>
      <w:r>
        <w:rPr>
          <w:b/>
          <w:color w:val="25313C"/>
        </w:rPr>
        <w:t xml:space="preserve">What you will do. </w:t>
      </w:r>
      <w:r>
        <w:t>Forecast traffic speed at every road sensor 15, 30 and 60 minutes ahead, and determine when the road network's structure actually helps. Short-horizon forecasts may depend mostly on a sensor's own recent history, while longer horizons may require information propagating through the network.</w:t>
      </w:r>
    </w:p>
    <w:p>
      <w:pPr>
        <w:spacing w:before="0" w:after="100" w:line="254" w:lineRule="auto"/>
      </w:pPr>
      <w:r>
        <w:rPr>
          <w:b/>
          <w:color w:val="25313C"/>
        </w:rPr>
        <w:t xml:space="preserve">Data. </w:t>
      </w:r>
      <w:r>
        <w:t>Use METR-LA with the standard chronological 70/10/20 split. Fit scalers and learned/correlation graphs on training data only. The files are publicly downloadable through DCRNN, but no separate dataset licence is stated there; do not redistribute them.</w:t>
      </w:r>
    </w:p>
    <w:p>
      <w:pPr>
        <w:spacing w:before="0" w:after="100" w:line="254" w:lineRule="auto"/>
      </w:pPr>
      <w:r>
        <w:rPr>
          <w:b/>
          <w:color w:val="25313C"/>
        </w:rPr>
        <w:t xml:space="preserve">Methods and code. </w:t>
      </w:r>
      <w:r>
        <w:t xml:space="preserve">Compare historical average and a graph-free GRU with </w:t>
      </w:r>
      <w:hyperlink r:id="rId43">
        <w:r>
          <w:rPr>
            <w:color w:val="2F5597"/>
            <w:u w:val="single"/>
          </w:rPr>
          <w:t>Graph WaveNet</w:t>
        </w:r>
      </w:hyperlink>
      <w:r>
        <w:t xml:space="preserve"> or a compact STGCN. DCRNN is optional because its reference implementation is slower and uses an old TensorFlow stack.</w:t>
      </w:r>
    </w:p>
    <w:p>
      <w:pPr>
        <w:spacing w:before="0" w:after="100" w:line="254" w:lineRule="auto"/>
      </w:pPr>
      <w:r>
        <w:rPr>
          <w:b/>
          <w:color w:val="25313C"/>
        </w:rPr>
        <w:t xml:space="preserve">Baselines and evaluation. </w:t>
      </w:r>
      <w:r>
        <w:t>Use historical average, graph-free GRU, and the same GNN with distance, randomised and identity/no-message-passing graphs. Report masked MAE (primary), RMSE and MAPE at 15, 30 and 60 minutes.</w:t>
      </w:r>
    </w:p>
    <w:p>
      <w:pPr>
        <w:spacing w:before="0" w:after="100" w:line="254" w:lineRule="auto"/>
      </w:pPr>
      <w:r>
        <w:rPr>
          <w:b/>
          <w:color w:val="25313C"/>
        </w:rPr>
        <w:t xml:space="preserve">Practical notes. </w:t>
      </w:r>
      <w:r>
        <w:t>Profile early and use top-k or low-rank adjacency; a dense graph at every time step is unnecessarily expensive.</w:t>
      </w:r>
    </w:p>
    <w:p>
      <w:pPr>
        <w:pStyle w:val="Heading3"/>
      </w:pPr>
      <w:r>
        <w:t>Bachelor scope</w:t>
      </w:r>
    </w:p>
    <w:p>
      <w:pPr>
        <w:spacing w:before="0" w:after="100" w:line="254" w:lineRule="auto"/>
      </w:pPr>
      <w:r>
        <w:rPr>
          <w:b/>
        </w:rPr>
        <w:t>Bachelor research question.</w:t>
      </w:r>
      <w:r>
        <w:t xml:space="preserve"> </w:t>
      </w:r>
      <w:r>
        <w:rPr>
          <w:b/>
        </w:rPr>
        <w:t>Does graph information become more valuable as the forecasting horizon increases?</w:t>
      </w:r>
    </w:p>
    <w:p>
      <w:pPr>
        <w:spacing w:before="0" w:after="100" w:line="254" w:lineRule="auto"/>
      </w:pPr>
      <w:r>
        <w:t>*Core experiment.* With one trained 12-step model, compare the distance, randomised and identity/no-message-passing graphs at steps 3, 6 and 12 (15, 30 and 60 minutes). Include the graph-free GRU as a separate baseline.</w:t>
      </w:r>
    </w:p>
    <w:p>
      <w:pPr>
        <w:spacing w:before="0" w:after="100" w:line="254" w:lineRule="auto"/>
      </w:pPr>
      <w:r>
        <w:rPr>
          <w:b/>
        </w:rPr>
        <w:t>Note.</w:t>
      </w:r>
      <w:r>
        <w:t xml:space="preserve"> Evaluate one 12-step model at different horizons; do not train three separate models.</w:t>
      </w:r>
    </w:p>
    <w:p>
      <w:pPr>
        <w:pStyle w:val="Heading3"/>
      </w:pPr>
      <w:r>
        <w:t>Master scope</w:t>
      </w:r>
    </w:p>
    <w:p>
      <w:pPr>
        <w:spacing w:before="0" w:after="100" w:line="254" w:lineRule="auto"/>
      </w:pPr>
      <w:r>
        <w:rPr>
          <w:b/>
        </w:rPr>
        <w:t>Master research question.</w:t>
      </w:r>
      <w:r>
        <w:t xml:space="preserve"> </w:t>
      </w:r>
      <w:r>
        <w:rPr>
          <w:b/>
        </w:rPr>
        <w:t>Does a sparse, traffic-regime-conditioned adjacency improve 60-minute forecasts over road and learned static graphs?</w:t>
      </w:r>
      <w:r>
        <w:t xml:space="preserve"> Match model capacity, use three seeds, and analyse whether edges change plausibly between rush hour and free flow.</w:t>
      </w:r>
    </w:p>
    <w:p>
      <w:r>
        <w:br w:type="page"/>
      </w:r>
    </w:p>
    <w:p>
      <w:pPr>
        <w:pStyle w:val="Heading2"/>
        <w:spacing w:after="140"/>
      </w:pPr>
      <w:r>
        <w:t>Project 2.3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the full graph fits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4">
              <w:r>
                <w:rPr>
                  <w:color w:val="2F5597"/>
                  <w:u w:val="single"/>
                </w:rPr>
                <w:t>Elliptic Bitcoin dataset via PyG</w:t>
              </w:r>
            </w:hyperlink>
            <w:r>
              <w:t xml:space="preserve"> — 203,769 nodes, 234,355 edges, 165 model features, 49 time steps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Weber et al., </w:t>
            </w:r>
            <w:hyperlink r:id="rId45">
              <w:r>
                <w:rPr>
                  <w:color w:val="2F5597"/>
                  <w:u w:val="single"/>
                </w:rPr>
                <w:t>Anti-Money Laundering in Bitcoin</w:t>
              </w:r>
            </w:hyperlink>
            <w:r>
              <w:t>, 2019</w:t>
            </w:r>
          </w:p>
        </w:tc>
      </w:tr>
    </w:tbl>
    <w:p>
      <w:pPr>
        <w:spacing w:after="0"/>
      </w:pPr>
    </w:p>
    <w:p>
      <w:pPr>
        <w:spacing w:before="80" w:after="100" w:line="254" w:lineRule="auto"/>
      </w:pPr>
      <w:r>
        <w:rPr>
          <w:b/>
          <w:color w:val="25313C"/>
        </w:rPr>
        <w:t xml:space="preserve">What you will do. </w:t>
      </w:r>
      <w:r>
        <w:t>Classify labelled Bitcoin transactions as licit or illicit, then test how missing payment edges affect the result.</w:t>
      </w:r>
    </w:p>
    <w:p>
      <w:pPr>
        <w:spacing w:before="0" w:after="100" w:line="254" w:lineRule="auto"/>
      </w:pPr>
      <w:r>
        <w:rPr>
          <w:b/>
          <w:color w:val="25313C"/>
        </w:rPr>
        <w:t xml:space="preserve">Data. </w:t>
      </w:r>
      <w:r>
        <w:t xml:space="preserve">The PyG loader downloads the data and defines time steps 1–34 as training and 35–49 as test; take validation steps only from 1–34. Unknown labels are </w:t>
      </w:r>
      <w:r>
        <w:rPr>
          <w:b/>
        </w:rPr>
        <w:t>unlabelled</w:t>
      </w:r>
      <w:r>
        <w:t>, not negatives. The dataset is CC BY-NC-ND 4.0: academic analysis is allowed, but commercial use and redistribution of modified data are restricted.</w:t>
      </w:r>
    </w:p>
    <w:p>
      <w:pPr>
        <w:spacing w:before="0" w:after="100" w:line="254" w:lineRule="auto"/>
      </w:pPr>
      <w:r>
        <w:rPr>
          <w:b/>
          <w:color w:val="25313C"/>
        </w:rPr>
        <w:t xml:space="preserve">Methods and code. </w:t>
      </w:r>
      <w:r>
        <w:t xml:space="preserve">Compare logistic regression or random forest with GCN and GraphSAGE in </w:t>
      </w:r>
      <w:hyperlink r:id="rId40">
        <w:r>
          <w:rPr>
            <w:color w:val="2F5597"/>
            <w:u w:val="single"/>
          </w:rPr>
          <w:t>PyTorch Geometric</w:t>
        </w:r>
      </w:hyperlink>
      <w:r>
        <w:t>. Use class weighting only after the unweighted baseline is established.</w:t>
      </w:r>
    </w:p>
    <w:p>
      <w:pPr>
        <w:spacing w:before="0" w:after="100" w:line="254" w:lineRule="auto"/>
      </w:pPr>
      <w:r>
        <w:rPr>
          <w:b/>
          <w:color w:val="25313C"/>
        </w:rPr>
        <w:t xml:space="preserve">Baselines and evaluation. </w:t>
      </w:r>
      <w:r>
        <w:t>Use the first 93 PyG features for the truly local, graph-free baseline. Report a second 165-feature baseline separately because the last 72 features already aggregate neighbours. Compare both with GCN/GraphSAGE and a no-edge control. Use AUPRC or illicit-class F1 as primary and report performance by time step.</w:t>
      </w:r>
    </w:p>
    <w:p>
      <w:pPr>
        <w:spacing w:before="0" w:after="100" w:line="254" w:lineRule="auto"/>
      </w:pPr>
      <w:r>
        <w:rPr>
          <w:b/>
          <w:color w:val="25313C"/>
        </w:rPr>
        <w:t xml:space="preserve">Practical notes. </w:t>
      </w:r>
      <w:r>
        <w:t>The 49 time steps are disconnected snapshots. Preserve time order and keep label handling and threshold selection identical across methods.</w:t>
      </w:r>
    </w:p>
    <w:p>
      <w:pPr>
        <w:pStyle w:val="Heading3"/>
      </w:pPr>
      <w:r>
        <w:t>Bachelor scope</w:t>
      </w:r>
    </w:p>
    <w:p>
      <w:pPr>
        <w:spacing w:before="0" w:after="100" w:line="254" w:lineRule="auto"/>
      </w:pPr>
      <w:r>
        <w:rPr>
          <w:b/>
        </w:rPr>
        <w:t>Bachelor research question.</w:t>
      </w:r>
      <w:r>
        <w:t xml:space="preserve"> </w:t>
      </w:r>
      <w:r>
        <w:rPr>
          <w:b/>
        </w:rPr>
        <w:t>How robust are GNN-based illicit-transaction detectors when graph information is incomplete?</w:t>
      </w:r>
    </w:p>
    <w:p>
      <w:pPr>
        <w:spacing w:before="0" w:after="100" w:line="254" w:lineRule="auto"/>
      </w:pPr>
      <w:r>
        <w:t>*Core experiment.* Delete 0%, 10%, 25% and 50% of test edges and compare both GNNs with the 93-feature local baseline. Repeat deletion with several random seeds.</w:t>
      </w:r>
    </w:p>
    <w:p>
      <w:pPr>
        <w:spacing w:before="0" w:after="100" w:line="254" w:lineRule="auto"/>
      </w:pPr>
      <w:r>
        <w:rPr>
          <w:b/>
        </w:rPr>
        <w:t>Interpretation.</w:t>
      </w:r>
      <w:r>
        <w:t xml:space="preserve"> A 165-feature random forest is a strong baseline partly because 72 features already summarise neighbours. Keep it, but do not call it graph-free.</w:t>
      </w:r>
    </w:p>
    <w:p>
      <w:pPr>
        <w:pStyle w:val="Heading3"/>
      </w:pPr>
      <w:r>
        <w:t>Master scope</w:t>
      </w:r>
    </w:p>
    <w:p>
      <w:pPr>
        <w:spacing w:before="0" w:after="100" w:line="254" w:lineRule="auto"/>
      </w:pPr>
      <w:r>
        <w:rPr>
          <w:b/>
        </w:rPr>
        <w:t>Master research question.</w:t>
      </w:r>
      <w:r>
        <w:t xml:space="preserve"> </w:t>
      </w:r>
      <w:r>
        <w:rPr>
          <w:b/>
        </w:rPr>
        <w:t>Can a temporally calibrated GNN remain useful under concept drift and missing edges?</w:t>
      </w:r>
      <w:r>
        <w:t xml:space="preserve"> Add one temporal or uncertainty mechanism and evaluate it by time step and at a fixed alert budget.</w:t>
      </w:r>
    </w:p>
    <w:p>
      <w:r>
        <w:br w:type="page"/>
      </w:r>
    </w:p>
    <w:p>
      <w:pPr>
        <w:pStyle w:val="Heading2"/>
        <w:spacing w:after="140"/>
      </w:pPr>
      <w:r>
        <w:t>Project 2.4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6">
              <w:r>
                <w:rPr>
                  <w:color w:val="2F5597"/>
                  <w:u w:val="single"/>
                </w:rPr>
                <w:t>MovieLens 100K</w:t>
              </w:r>
            </w:hyperlink>
            <w:r>
              <w:t xml:space="preserve"> — 100,000 ratings, 943 users, 1,682 movies, 5 MB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He et al., </w:t>
            </w:r>
            <w:hyperlink r:id="rId47">
              <w:r>
                <w:rPr>
                  <w:color w:val="2F5597"/>
                  <w:u w:val="single"/>
                </w:rPr>
                <w:t>LightGCN</w:t>
              </w:r>
            </w:hyperlink>
            <w:r>
              <w:t>, SIGIR 2020</w:t>
            </w:r>
          </w:p>
        </w:tc>
      </w:tr>
    </w:tbl>
    <w:p>
      <w:pPr>
        <w:spacing w:after="0"/>
      </w:pPr>
    </w:p>
    <w:p>
      <w:pPr>
        <w:spacing w:before="80" w:after="100" w:line="254" w:lineRule="auto"/>
      </w:pPr>
      <w:r>
        <w:rPr>
          <w:b/>
          <w:color w:val="25313C"/>
        </w:rPr>
        <w:t xml:space="preserve">What you will do. </w:t>
      </w:r>
      <w:r>
        <w:t>Rank unseen films for each user and test whether better ranking accuracy reduces catalogue coverage or long-tail exposure.</w:t>
      </w:r>
    </w:p>
    <w:p>
      <w:pPr>
        <w:spacing w:before="0" w:after="100" w:line="254" w:lineRule="auto"/>
      </w:pPr>
      <w:r>
        <w:rPr>
          <w:b/>
          <w:color w:val="25313C"/>
        </w:rPr>
        <w:t xml:space="preserve">Data. </w:t>
      </w:r>
      <w:r>
        <w:t>Treat ratings of 4–5 as positive interactions. Split each user's positives chronologically and remove validation/test edges from the training graph. Evaluate over the full unseen catalogue. The download is public for research, but its licence forbids redistribution and commercial use without permission.</w:t>
      </w:r>
    </w:p>
    <w:p>
      <w:pPr>
        <w:spacing w:before="0" w:after="100" w:line="254" w:lineRule="auto"/>
      </w:pPr>
      <w:r>
        <w:rPr>
          <w:b/>
          <w:color w:val="25313C"/>
        </w:rPr>
        <w:t xml:space="preserve">Methods and code. </w:t>
      </w:r>
      <w:r>
        <w:t xml:space="preserve">Compare popularity, BPR matrix factorisation and LightGCN. A direct </w:t>
      </w:r>
      <w:hyperlink r:id="rId40">
        <w:r>
          <w:rPr>
            <w:color w:val="2F5597"/>
            <w:u w:val="single"/>
          </w:rPr>
          <w:t>PyTorch Geometric</w:t>
        </w:r>
      </w:hyperlink>
      <w:r>
        <w:t xml:space="preserve"> implementation is simpler than adapting the </w:t>
      </w:r>
      <w:hyperlink r:id="rId48">
        <w:r>
          <w:rPr>
            <w:color w:val="2F5597"/>
            <w:u w:val="single"/>
          </w:rPr>
          <w:t>official LightGCN repository</w:t>
        </w:r>
      </w:hyperlink>
      <w:r>
        <w:t>.</w:t>
      </w:r>
    </w:p>
    <w:p>
      <w:pPr>
        <w:spacing w:before="0" w:after="100" w:line="254" w:lineRule="auto"/>
      </w:pPr>
      <w:r>
        <w:rPr>
          <w:b/>
          <w:color w:val="25313C"/>
        </w:rPr>
        <w:t xml:space="preserve">Baselines and evaluation. </w:t>
      </w:r>
      <w:r>
        <w:t>Use identical training negatives for BPR-MF and LightGCN. Report NDCG@20 or Recall@20, catalogue coverage and average recommended-item popularity.</w:t>
      </w:r>
    </w:p>
    <w:p>
      <w:pPr>
        <w:spacing w:before="0" w:after="100" w:line="254" w:lineRule="auto"/>
      </w:pPr>
      <w:r>
        <w:rPr>
          <w:b/>
          <w:color w:val="25313C"/>
        </w:rPr>
        <w:t xml:space="preserve">Practical notes. </w:t>
      </w:r>
      <w:r>
        <w:t>Avoid future-interaction leakage and sampled-negative evaluation. Submit a reproducible pipeline, controlled comparison and error analysis.</w:t>
      </w:r>
    </w:p>
    <w:p>
      <w:pPr>
        <w:pStyle w:val="Heading3"/>
      </w:pPr>
      <w:r>
        <w:t>Bachelor scope</w:t>
      </w:r>
    </w:p>
    <w:p>
      <w:pPr>
        <w:spacing w:before="0" w:after="100" w:line="254" w:lineRule="auto"/>
      </w:pPr>
      <w:r>
        <w:rPr>
          <w:b/>
        </w:rPr>
        <w:t>Bachelor research question.</w:t>
      </w:r>
      <w:r>
        <w:t xml:space="preserve"> </w:t>
      </w:r>
      <w:r>
        <w:rPr>
          <w:b/>
        </w:rPr>
        <w:t>Does graph-based recommendation improve ranking accuracy at the expense of catalogue coverage and long-tail exposure?</w:t>
      </w:r>
    </w:p>
    <w:p>
      <w:pPr>
        <w:spacing w:before="0" w:after="100" w:line="254" w:lineRule="auto"/>
      </w:pPr>
      <w:r>
        <w:t>*Core experiment.* Compare the three methods, then vary LightGCN depth or its training negative sampler and plot the accuracy/coverage trade-off. Use at least three seeds and analyse results by user activity and item popularity.</w:t>
      </w:r>
    </w:p>
    <w:p>
      <w:r>
        <w:br w:type="page"/>
      </w:r>
    </w:p>
    <w:p>
      <w:pPr>
        <w:pStyle w:val="Heading2"/>
        <w:spacing w:after="140"/>
      </w:pPr>
      <w:r>
        <w:t>Project 2.5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 under distribution shift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9">
              <w:r>
                <w:rPr>
                  <w:color w:val="2F5597"/>
                  <w:u w:val="single"/>
                </w:rPr>
                <w:t>OGB ogbg-molhiv</w:t>
              </w:r>
            </w:hyperlink>
            <w:r>
              <w:t xml:space="preserve"> — 41,127 molecular graphs, official scaffold split and evaluator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 et al., </w:t>
            </w:r>
            <w:hyperlink r:id="rId50">
              <w:r>
                <w:rPr>
                  <w:color w:val="2F5597"/>
                  <w:u w:val="single"/>
                </w:rPr>
                <w:t>Open Graph Benchmark</w:t>
              </w:r>
            </w:hyperlink>
            <w:r>
              <w:t>, NeurIPS 2020</w:t>
            </w:r>
          </w:p>
        </w:tc>
      </w:tr>
    </w:tbl>
    <w:p>
      <w:pPr>
        <w:spacing w:after="0"/>
      </w:pPr>
    </w:p>
    <w:p>
      <w:pPr>
        <w:spacing w:before="80" w:after="100" w:line="254" w:lineRule="auto"/>
      </w:pPr>
      <w:r>
        <w:rPr>
          <w:b/>
          <w:color w:val="25313C"/>
        </w:rPr>
        <w:t xml:space="preserve">What you will do. </w:t>
      </w:r>
      <w:r>
        <w:t>Predict HIV-assay activity and test whether a GNN generalises to unseen molecular scaffolds better than chemical fingerprints.</w:t>
      </w:r>
    </w:p>
    <w:p>
      <w:pPr>
        <w:spacing w:before="0" w:after="100" w:line="254" w:lineRule="auto"/>
      </w:pPr>
      <w:r>
        <w:rPr>
          <w:b/>
          <w:color w:val="25313C"/>
        </w:rPr>
        <w:t xml:space="preserve">Data. </w:t>
      </w:r>
      <w:r>
        <w:t xml:space="preserve">The </w:t>
      </w:r>
      <w:hyperlink r:id="rId30">
        <w:r>
          <w:rPr>
            <w:color w:val="2F5597"/>
            <w:u w:val="single"/>
          </w:rPr>
          <w:t>OGB loader</w:t>
        </w:r>
      </w:hyperlink>
      <w:r>
        <w:t xml:space="preserve"> automatically downloads the MIT-licensed data and supplies the scaffold split and evaluator. Do not compare scaffold-split results with random-split figures.</w:t>
      </w:r>
    </w:p>
    <w:p>
      <w:pPr>
        <w:spacing w:before="0" w:after="100" w:line="254" w:lineRule="auto"/>
      </w:pPr>
      <w:r>
        <w:rPr>
          <w:b/>
          <w:color w:val="25313C"/>
        </w:rPr>
        <w:t xml:space="preserve">Methods and code. </w:t>
      </w:r>
      <w:r>
        <w:t xml:space="preserve">Compare Morgan fingerprints with logistic regression or random forest via </w:t>
      </w:r>
      <w:hyperlink r:id="rId51">
        <w:r>
          <w:rPr>
            <w:color w:val="2F5597"/>
            <w:u w:val="single"/>
          </w:rPr>
          <w:t>RDKit</w:t>
        </w:r>
      </w:hyperlink>
      <w:r>
        <w:t xml:space="preserve"> against GCN and edge-aware GINE models. OGB and </w:t>
      </w:r>
      <w:hyperlink r:id="rId40">
        <w:r>
          <w:rPr>
            <w:color w:val="2F5597"/>
            <w:u w:val="single"/>
          </w:rPr>
          <w:t>PyTorch Geometric</w:t>
        </w:r>
      </w:hyperlink>
      <w:r>
        <w:t xml:space="preserve"> provide loaders and baseline components.</w:t>
      </w:r>
    </w:p>
    <w:p>
      <w:pPr>
        <w:spacing w:before="0" w:after="100" w:line="254" w:lineRule="auto"/>
      </w:pPr>
      <w:r>
        <w:rPr>
          <w:b/>
          <w:color w:val="25313C"/>
        </w:rPr>
        <w:t xml:space="preserve">Baselines and evaluation. </w:t>
      </w:r>
      <w:r>
        <w:t>Use a fingerprint classifier, GCN and GINE, with one bond-feature ablation. Report ROC-AUC (official primary metric), AUPRC and three seeds.</w:t>
      </w:r>
    </w:p>
    <w:p>
      <w:pPr>
        <w:spacing w:before="0" w:after="100" w:line="254" w:lineRule="auto"/>
      </w:pPr>
      <w:r>
        <w:rPr>
          <w:b/>
          <w:color w:val="25313C"/>
        </w:rPr>
        <w:t xml:space="preserve">Practical notes. </w:t>
      </w:r>
      <w:r>
        <w:t>Keep the official split and evaluator fixed; choose thresholds and calibration parameters on validation data only.</w:t>
      </w:r>
    </w:p>
    <w:p>
      <w:pPr>
        <w:pStyle w:val="Heading3"/>
      </w:pPr>
      <w:r>
        <w:t>Bachelor scope</w:t>
      </w:r>
    </w:p>
    <w:p>
      <w:pPr>
        <w:spacing w:before="0" w:after="100" w:line="254" w:lineRule="auto"/>
      </w:pPr>
      <w:r>
        <w:rPr>
          <w:b/>
        </w:rPr>
        <w:t>Bachelor research question.</w:t>
      </w:r>
      <w:r>
        <w:t xml:space="preserve"> </w:t>
      </w:r>
      <w:r>
        <w:rPr>
          <w:b/>
        </w:rPr>
        <w:t>Do GNNs generalise better than traditional molecular fingerprints to scaffolds not seen during training?</w:t>
      </w:r>
    </w:p>
    <w:p>
      <w:pPr>
        <w:spacing w:before="0" w:after="100" w:line="254" w:lineRule="auto"/>
      </w:pPr>
      <w:r>
        <w:t>*Core experiment.* Compare fingerprints, GCN and GINE on the official split, then inspect errors on scaffolds most dissimilar to training data.</w:t>
      </w:r>
    </w:p>
    <w:p>
      <w:pPr>
        <w:spacing w:before="0" w:after="100" w:line="254" w:lineRule="auto"/>
      </w:pPr>
      <w:r>
        <w:rPr>
          <w:b/>
        </w:rPr>
        <w:t>Interpretation.</w:t>
      </w:r>
      <w:r>
        <w:t xml:space="preserve"> A fingerprint/tree model may match or beat a plain GNN. Select all hyperparameters on validation data; never tune against the test split.</w:t>
      </w:r>
    </w:p>
    <w:p>
      <w:pPr>
        <w:pStyle w:val="Heading3"/>
      </w:pPr>
      <w:r>
        <w:t>Master scope</w:t>
      </w:r>
    </w:p>
    <w:p>
      <w:pPr>
        <w:spacing w:before="0" w:after="100" w:line="254" w:lineRule="auto"/>
      </w:pPr>
      <w:r>
        <w:rPr>
          <w:b/>
        </w:rPr>
        <w:t>Master research question.</w:t>
      </w:r>
      <w:r>
        <w:t xml:space="preserve"> </w:t>
      </w:r>
      <w:r>
        <w:rPr>
          <w:b/>
        </w:rPr>
        <w:t>Can calibration improve on held-out scaffolds without reducing ROC-AUC?</w:t>
      </w:r>
      <w:r>
        <w:t xml:space="preserve"> Compare temperature scaling with one ensemble or uncertainty method and report calibration by scaffold novelty.</w:t>
      </w:r>
    </w:p>
    <w:p>
      <w:r>
        <w:br w:type="page"/>
      </w:r>
    </w:p>
    <w:p>
      <w:pPr>
        <w:pStyle w:val="Heading1"/>
      </w:pPr>
      <w:r>
        <w:t>Category 3  Self supervised representation learning for time series</w:t>
      </w:r>
    </w:p>
    <w:p>
      <w:pPr>
        <w:spacing w:before="0" w:after="100" w:line="254" w:lineRule="auto"/>
      </w:pPr>
      <w:r>
        <w:t xml:space="preserve">A </w:t>
      </w:r>
      <w:r>
        <w:rPr>
          <w:b/>
        </w:rPr>
        <w:t>time series</w:t>
      </w:r>
      <w:r>
        <w:t xml:space="preserve"> is an ordered sequence of measurements. A wearable device may record acceleration every fraction of a second, an ECG contains voltage measurements from several leads, and an industrial plant records pressure, flow, temperature and energy over time. These signals contain repeated patterns, trends and operating phases, but useful labels may require expert work and are often scarce.</w:t>
      </w:r>
    </w:p>
    <w:p>
      <w:pPr>
        <w:spacing w:before="0" w:after="100" w:line="254" w:lineRule="auto"/>
      </w:pPr>
      <w:r>
        <w:rPr>
          <w:b/>
        </w:rPr>
        <w:t>Self-supervised learning (SSL)</w:t>
      </w:r>
      <w:r>
        <w:t xml:space="preserve"> learns from the unlabelled recordings by creating its own training task. A model might make two valid views of the same signal agree, hide part of a sequence and predict it, or predict the representation of a future segment. The resulting encoder converts a recording or window into a compact numerical representation. A small classification or regression head is then trained for a downstream task.</w:t>
      </w:r>
    </w:p>
    <w:p>
      <w:pPr>
        <w:spacing w:before="0" w:after="100" w:line="254" w:lineRule="auto"/>
      </w:pPr>
      <w:r>
        <w:t>Evaluation focuses on whether the representation reduces the amount of labelled data needed and transfers to new people, machines or operating conditions. Each project compares SSL with a fully supervised model and a randomly initialised encoder on leakage-safe splits.</w:t>
      </w:r>
    </w:p>
    <w:p>
      <w:pPr>
        <w:pStyle w:val="Heading3"/>
      </w:pPr>
      <w:r>
        <w:t>Three ideas to understand</w:t>
      </w:r>
    </w:p>
    <w:p>
      <w:pPr>
        <w:spacing w:before="0" w:after="80" w:line="254" w:lineRule="auto"/>
      </w:pPr>
      <w:r>
        <w:t>Contrastive learning aligns valid views of the same recording. Masked modelling reconstructs hidden samples or patches. Latent prediction estimates hidden representations instead of raw values and requires explicit collapse monitoring. Possible MSc contributions include view or mask designs based on the physics or physiology of the signal.</w:t>
      </w:r>
    </w:p>
    <w:p>
      <w:pPr>
        <w:pStyle w:val="Heading2"/>
      </w:pPr>
      <w:r>
        <w:t>Learn first and find ideas</w:t>
      </w:r>
    </w:p>
    <w:p>
      <w:pPr>
        <w:pStyle w:val="ListBullet"/>
        <w:spacing w:before="0" w:after="40" w:line="254" w:lineRule="auto"/>
      </w:pPr>
      <w:r>
        <w:t xml:space="preserve">Methods with code: </w:t>
      </w:r>
      <w:hyperlink r:id="rId20">
        <w:r>
          <w:rPr>
            <w:color w:val="2F5597"/>
            <w:u w:val="single"/>
          </w:rPr>
          <w:t>TS-TCC</w:t>
        </w:r>
      </w:hyperlink>
      <w:r>
        <w:t xml:space="preserve">, </w:t>
      </w:r>
      <w:hyperlink r:id="rId19">
        <w:r>
          <w:rPr>
            <w:color w:val="2F5597"/>
            <w:u w:val="single"/>
          </w:rPr>
          <w:t>TS2Vec</w:t>
        </w:r>
      </w:hyperlink>
      <w:r>
        <w:t xml:space="preserve">, </w:t>
      </w:r>
      <w:hyperlink r:id="rId52">
        <w:r>
          <w:rPr>
            <w:color w:val="2F5597"/>
            <w:u w:val="single"/>
          </w:rPr>
          <w:t>TF-C</w:t>
        </w:r>
      </w:hyperlink>
      <w:r>
        <w:t xml:space="preserve"> and </w:t>
      </w:r>
      <w:hyperlink r:id="rId21">
        <w:r>
          <w:rPr>
            <w:color w:val="2F5597"/>
            <w:u w:val="single"/>
          </w:rPr>
          <w:t>SimMTM</w:t>
        </w:r>
      </w:hyperlink>
      <w:r>
        <w:t>.</w:t>
      </w:r>
    </w:p>
    <w:p>
      <w:pPr>
        <w:pStyle w:val="ListBullet"/>
        <w:spacing w:before="0" w:after="40" w:line="254" w:lineRule="auto"/>
      </w:pPr>
      <w:r>
        <w:t xml:space="preserve">Data sources: </w:t>
      </w:r>
      <w:hyperlink r:id="rId53">
        <w:r>
          <w:rPr>
            <w:color w:val="2F5597"/>
            <w:u w:val="single"/>
          </w:rPr>
          <w:t>UCI Machine Learning Repository</w:t>
        </w:r>
      </w:hyperlink>
      <w:r>
        <w:t xml:space="preserve">, </w:t>
      </w:r>
      <w:hyperlink r:id="rId54">
        <w:r>
          <w:rPr>
            <w:color w:val="2F5597"/>
            <w:u w:val="single"/>
          </w:rPr>
          <w:t>PhysioNet</w:t>
        </w:r>
      </w:hyperlink>
      <w:r>
        <w:t xml:space="preserve">, </w:t>
      </w:r>
      <w:hyperlink r:id="rId55">
        <w:r>
          <w:rPr>
            <w:color w:val="2F5597"/>
            <w:u w:val="single"/>
          </w:rPr>
          <w:t>UCR/UEA archive</w:t>
        </w:r>
      </w:hyperlink>
      <w:r>
        <w:t xml:space="preserve">, </w:t>
      </w:r>
      <w:hyperlink r:id="rId56">
        <w:r>
          <w:rPr>
            <w:color w:val="2F5597"/>
            <w:u w:val="single"/>
          </w:rPr>
          <w:t>Monash forecasting archive</w:t>
        </w:r>
      </w:hyperlink>
      <w:r>
        <w:t xml:space="preserve"> and </w:t>
      </w:r>
      <w:hyperlink r:id="rId57">
        <w:r>
          <w:rPr>
            <w:color w:val="2F5597"/>
            <w:u w:val="single"/>
          </w:rPr>
          <w:t>Zenodo</w:t>
        </w:r>
      </w:hyperlink>
      <w:r>
        <w:t>.</w:t>
      </w:r>
    </w:p>
    <w:p>
      <w:pPr>
        <w:pStyle w:val="ListBullet"/>
        <w:spacing w:before="0" w:after="40" w:line="254" w:lineRule="auto"/>
      </w:pPr>
      <w:r>
        <w:t>Monitor embedding variance and covariance from the first epoch in latent-predictive work. A smooth pretraining loss does not establish that the representation is useful.</w:t>
      </w:r>
    </w:p>
    <w:p>
      <w:r>
        <w:br w:type="page"/>
      </w:r>
    </w:p>
    <w:p>
      <w:pPr>
        <w:pStyle w:val="Heading2"/>
        <w:spacing w:after="140"/>
      </w:pPr>
      <w:r>
        <w:t>Project 3.1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8">
              <w:r>
                <w:rPr>
                  <w:color w:val="2F5597"/>
                  <w:u w:val="single"/>
                </w:rPr>
                <w:t>UCI Human Activity Recognition</w:t>
              </w:r>
            </w:hyperlink>
            <w:r>
              <w:t xml:space="preserve"> — 30 subjects, 6 activities, 10,299 windows, 50 Hz, CC BY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Eldele et al., </w:t>
            </w:r>
            <w:hyperlink r:id="rId59">
              <w:r>
                <w:rPr>
                  <w:color w:val="2F5597"/>
                  <w:u w:val="single"/>
                </w:rPr>
                <w:t>TS-TCC</w:t>
              </w:r>
            </w:hyperlink>
            <w:r>
              <w:t>, IJCAI 2021</w:t>
            </w:r>
          </w:p>
        </w:tc>
      </w:tr>
    </w:tbl>
    <w:p>
      <w:pPr>
        <w:spacing w:after="0"/>
      </w:pPr>
    </w:p>
    <w:p>
      <w:pPr>
        <w:spacing w:before="80" w:after="100" w:line="254" w:lineRule="auto"/>
      </w:pPr>
      <w:r>
        <w:rPr>
          <w:b/>
          <w:color w:val="25313C"/>
        </w:rPr>
        <w:t xml:space="preserve">What you will do. </w:t>
      </w:r>
      <w:r>
        <w:t>A phone records acceleration and angular velocity while a person walks, sits or climbs stairs. Learn an encoder from the unlabelled sensor windows, freeze it, and measure how few labels a small classifier needs to recognise activities.</w:t>
      </w:r>
    </w:p>
    <w:p>
      <w:pPr>
        <w:spacing w:before="0" w:after="100" w:line="254" w:lineRule="auto"/>
      </w:pPr>
      <w:r>
        <w:rPr>
          <w:b/>
          <w:color w:val="25313C"/>
        </w:rPr>
        <w:t xml:space="preserve">Data. </w:t>
      </w:r>
      <w:r>
        <w:t>UCI HAR is a 58 MB public download under CC BY 4.0. It contains pre-windowed 2.56-second recordings with 50% overlap and a standard subject-independent split. Keep that split.</w:t>
      </w:r>
    </w:p>
    <w:p>
      <w:pPr>
        <w:spacing w:before="0" w:after="100" w:line="254" w:lineRule="auto"/>
      </w:pPr>
      <w:r>
        <w:rPr>
          <w:b/>
          <w:color w:val="25313C"/>
        </w:rPr>
        <w:t xml:space="preserve">Methods and code. </w:t>
      </w:r>
      <w:hyperlink r:id="rId20">
        <w:r>
          <w:rPr>
            <w:color w:val="2F5597"/>
            <w:u w:val="single"/>
          </w:rPr>
          <w:t>TS-TCC</w:t>
        </w:r>
      </w:hyperlink>
      <w:r>
        <w:t xml:space="preserve"> or </w:t>
      </w:r>
      <w:hyperlink r:id="rId19">
        <w:r>
          <w:rPr>
            <w:color w:val="2F5597"/>
            <w:u w:val="single"/>
          </w:rPr>
          <w:t>TS2Vec</w:t>
        </w:r>
      </w:hyperlink>
      <w:r>
        <w:t xml:space="preserve"> — choose </w:t>
      </w:r>
      <w:r>
        <w:rPr>
          <w:b/>
        </w:rPr>
        <w:t>one</w:t>
      </w:r>
      <w:r>
        <w:t>. Use the same 1-D CNN or small Transformer encoder for the self-supervised and supervised comparisons.</w:t>
      </w:r>
    </w:p>
    <w:p>
      <w:pPr>
        <w:spacing w:before="0" w:after="100" w:line="254" w:lineRule="auto"/>
      </w:pPr>
      <w:r>
        <w:rPr>
          <w:b/>
          <w:color w:val="25313C"/>
        </w:rPr>
        <w:t xml:space="preserve">Baselines and evaluation. </w:t>
      </w:r>
      <w:r>
        <w:t>Random frozen encoder, SSL frozen linear probe, SSL fine-tuning and a fully supervised model trained from scratch. Report accuracy and macro-F1 on the subject-independent split.</w:t>
      </w:r>
    </w:p>
    <w:p>
      <w:pPr>
        <w:pStyle w:val="Heading3"/>
      </w:pPr>
      <w:r>
        <w:t>Bachelor scope</w:t>
      </w:r>
    </w:p>
    <w:p>
      <w:pPr>
        <w:spacing w:before="0" w:after="100" w:line="254" w:lineRule="auto"/>
      </w:pPr>
      <w:r>
        <w:rPr>
          <w:b/>
        </w:rPr>
        <w:t>Bachelor research question.</w:t>
      </w:r>
      <w:r>
        <w:t xml:space="preserve"> </w:t>
      </w:r>
      <w:r>
        <w:rPr>
          <w:b/>
        </w:rPr>
        <w:t>How much labelled activity data can self-supervised pretraining replace?</w:t>
      </w:r>
    </w:p>
    <w:p>
      <w:pPr>
        <w:spacing w:before="0" w:after="100" w:line="254" w:lineRule="auto"/>
      </w:pPr>
      <w:r>
        <w:t>*Core experiment.* Compare all four conditions at 1%, 5%, 10%, 25% and 100% label budgets. Resample the labelled windows within the training subjects and report confidence intervals. Optionally test robustness by jointly rotating the accelerometer and gyroscope axes.</w:t>
      </w:r>
    </w:p>
    <w:p>
      <w:r>
        <w:br w:type="page"/>
      </w:r>
    </w:p>
    <w:p>
      <w:pPr>
        <w:pStyle w:val="Heading2"/>
        <w:spacing w:after="140"/>
      </w:pPr>
      <w:r>
        <w:t>Project 3.2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a supplied data pipeline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0">
              <w:r>
                <w:rPr>
                  <w:color w:val="2F5597"/>
                  <w:u w:val="single"/>
                </w:rPr>
                <w:t>PTB-XL</w:t>
              </w:r>
            </w:hyperlink>
            <w:r>
              <w:t xml:space="preserve"> — 21,799 ECGs, 18,869 patients, 100/500 Hz, CC BY 4.0, no credentialing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Dong et al., </w:t>
            </w:r>
            <w:hyperlink r:id="rId61">
              <w:r>
                <w:rPr>
                  <w:color w:val="2F5597"/>
                  <w:u w:val="single"/>
                </w:rPr>
                <w:t>SimMTM</w:t>
              </w:r>
            </w:hyperlink>
            <w:r>
              <w:t>, NeurIPS 2023</w:t>
            </w:r>
          </w:p>
        </w:tc>
      </w:tr>
    </w:tbl>
    <w:p>
      <w:pPr>
        <w:spacing w:after="0"/>
      </w:pPr>
    </w:p>
    <w:p>
      <w:pPr>
        <w:spacing w:before="80" w:after="100" w:line="254" w:lineRule="auto"/>
      </w:pPr>
      <w:r>
        <w:rPr>
          <w:b/>
          <w:color w:val="25313C"/>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p>
      <w:pPr>
        <w:spacing w:before="0" w:after="100" w:line="254" w:lineRule="auto"/>
      </w:pPr>
      <w:r>
        <w:rPr>
          <w:b/>
          <w:color w:val="25313C"/>
        </w:rPr>
        <w:t xml:space="preserve">Data. </w:t>
      </w:r>
      <w:r>
        <w:t>PTB-XL at 100 Hz, using the official patient-aware folds: 1–8 for training, 9 for validation, 10 for testing. The dataset is fully labelled, so label budgets simulate scarcity rather than reflecting missing annotations.</w:t>
      </w:r>
    </w:p>
    <w:p>
      <w:pPr>
        <w:spacing w:before="0" w:after="100" w:line="254" w:lineRule="auto"/>
      </w:pPr>
      <w:r>
        <w:rPr>
          <w:b/>
          <w:color w:val="25313C"/>
        </w:rPr>
        <w:t xml:space="preserve">Methods and code. </w:t>
      </w:r>
      <w:r>
        <w:t xml:space="preserve">Start with </w:t>
      </w:r>
      <w:hyperlink r:id="rId21">
        <w:r>
          <w:rPr>
            <w:color w:val="2F5597"/>
            <w:u w:val="single"/>
          </w:rPr>
          <w:t>SimMTM</w:t>
        </w:r>
      </w:hyperlink>
      <w:r>
        <w:t xml:space="preserve"> or </w:t>
      </w:r>
      <w:hyperlink r:id="rId19">
        <w:r>
          <w:rPr>
            <w:color w:val="2F5597"/>
            <w:u w:val="single"/>
          </w:rPr>
          <w:t>TS2Vec</w:t>
        </w:r>
      </w:hyperlink>
      <w:r>
        <w:t xml:space="preserve"> and a 1-D ResNet or compact Transformer. The </w:t>
      </w:r>
      <w:hyperlink r:id="rId62">
        <w:r>
          <w:rPr>
            <w:color w:val="2F5597"/>
            <w:u w:val="single"/>
          </w:rPr>
          <w:t>PTB-XL benchmark code</w:t>
        </w:r>
      </w:hyperlink>
      <w:r>
        <w:t xml:space="preserve"> provides preprocessing and supervised references.</w:t>
      </w:r>
    </w:p>
    <w:p>
      <w:pPr>
        <w:spacing w:before="0" w:after="100" w:line="254" w:lineRule="auto"/>
      </w:pPr>
      <w:r>
        <w:rPr>
          <w:b/>
          <w:color w:val="25313C"/>
        </w:rPr>
        <w:t xml:space="preserve">Baselines and evaluation. </w:t>
      </w:r>
      <w:r>
        <w:t>Random frozen encoder, frozen probe, fine-tuning and the same encoder fully supervised. Macro-AUROC on fold 10 across the five diagnostic superclasses is the primary endpoint; add macro-AUPRC for class imbalance. Report patient-level splits and several label budgets.</w:t>
      </w:r>
    </w:p>
    <w:p>
      <w:pPr>
        <w:pStyle w:val="Heading3"/>
      </w:pPr>
      <w:r>
        <w:t>Bachelor scope</w:t>
      </w:r>
    </w:p>
    <w:p>
      <w:pPr>
        <w:spacing w:before="0" w:after="100" w:line="254" w:lineRule="auto"/>
      </w:pPr>
      <w:r>
        <w:rPr>
          <w:b/>
        </w:rPr>
        <w:t>Bachelor question.</w:t>
      </w:r>
      <w:r>
        <w:t xml:space="preserve"> </w:t>
      </w:r>
      <w:r>
        <w:rPr>
          <w:b/>
        </w:rPr>
        <w:t>How does diagnostic performance change when fewer ECG leads are available?</w:t>
      </w:r>
      <w:r>
        <w:t xml:space="preserve"> With the supplied pipeline and one encoder, compare 12, 6 and 3 leads and lead II alone under supervised training and one established SSL method.</w:t>
      </w:r>
    </w:p>
    <w:p>
      <w:pPr>
        <w:pStyle w:val="Heading3"/>
      </w:pPr>
      <w:r>
        <w:t>Master scope</w:t>
      </w:r>
    </w:p>
    <w:p>
      <w:pPr>
        <w:spacing w:before="0" w:after="100" w:line="254" w:lineRule="auto"/>
      </w:pPr>
      <w:r>
        <w:rPr>
          <w:b/>
        </w:rPr>
        <w:t>Master research question.</w:t>
      </w:r>
      <w:r>
        <w:t xml:space="preserve"> </w:t>
      </w:r>
      <w:r>
        <w:rPr>
          <w:b/>
        </w:rPr>
        <w:t>Does lead-aware masking improve low-label diagnosis over random temporal masking?</w:t>
      </w:r>
      <w:r>
        <w:t xml:space="preserve"> Develop complete-lead or anatomical-group masking, condition the predictor on lead identity, and monitor embedding variance for collapse. Ablate masking granularity and predictor depth.</w:t>
      </w:r>
    </w:p>
    <w:p>
      <w:r>
        <w:br w:type="page"/>
      </w:r>
    </w:p>
    <w:p>
      <w:pPr>
        <w:pStyle w:val="Heading2"/>
        <w:spacing w:after="140"/>
      </w:pPr>
      <w:r>
        <w:t>Project 3.3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3">
              <w:r>
                <w:rPr>
                  <w:color w:val="2F5597"/>
                  <w:u w:val="single"/>
                </w:rPr>
                <w:t>ETT</w:t>
              </w:r>
            </w:hyperlink>
            <w:r>
              <w:t xml:space="preserve"> — electricity transformer temperature, hourly (ETTh1/ETTh2) and 15-minute (ETTm1/ETTm2) subsets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Woo et al., </w:t>
            </w:r>
            <w:hyperlink r:id="rId64">
              <w:r>
                <w:rPr>
                  <w:color w:val="2F5597"/>
                  <w:u w:val="single"/>
                </w:rPr>
                <w:t>CoST</w:t>
              </w:r>
            </w:hyperlink>
            <w:r>
              <w:t>, ICLR 2022</w:t>
            </w:r>
          </w:p>
        </w:tc>
      </w:tr>
    </w:tbl>
    <w:p>
      <w:pPr>
        <w:spacing w:after="0"/>
      </w:pPr>
    </w:p>
    <w:p>
      <w:pPr>
        <w:spacing w:before="80" w:after="100" w:line="254" w:lineRule="auto"/>
      </w:pPr>
      <w:r>
        <w:rPr>
          <w:b/>
          <w:color w:val="25313C"/>
        </w:rPr>
        <w:t xml:space="preserve">What you will do. </w:t>
      </w:r>
      <w:r>
        <w:t>Pretrain an encoder on one unlabelled energy series, freeze it, and fit a small forecasting head. Test whether the representation transfers to a different series better than training a supervised forecaster on that series.</w:t>
      </w:r>
    </w:p>
    <w:p>
      <w:pPr>
        <w:spacing w:before="0" w:after="100" w:line="254" w:lineRule="auto"/>
      </w:pPr>
      <w:r>
        <w:rPr>
          <w:b/>
          <w:color w:val="25313C"/>
        </w:rPr>
        <w:t xml:space="preserve">Data. </w:t>
      </w:r>
      <w:r>
        <w:t>Use ETT with chronological splits and training-only scaling. ETTh1 and ETTh2 come from different transformers. The public repository uses CC BY-ND 4.0; cite it and do not redistribute modified copies.</w:t>
      </w:r>
    </w:p>
    <w:p>
      <w:pPr>
        <w:spacing w:before="0" w:after="100" w:line="254" w:lineRule="auto"/>
      </w:pPr>
      <w:r>
        <w:rPr>
          <w:b/>
          <w:color w:val="25313C"/>
        </w:rPr>
        <w:t xml:space="preserve">Methods and code. </w:t>
      </w:r>
      <w:hyperlink r:id="rId65">
        <w:r>
          <w:rPr>
            <w:color w:val="2F5597"/>
            <w:u w:val="single"/>
          </w:rPr>
          <w:t>CoST</w:t>
        </w:r>
      </w:hyperlink>
      <w:r>
        <w:t xml:space="preserve">, </w:t>
      </w:r>
      <w:hyperlink r:id="rId19">
        <w:r>
          <w:rPr>
            <w:color w:val="2F5597"/>
            <w:u w:val="single"/>
          </w:rPr>
          <w:t>TS2Vec</w:t>
        </w:r>
      </w:hyperlink>
      <w:r>
        <w:t xml:space="preserve"> or </w:t>
      </w:r>
      <w:hyperlink r:id="rId21">
        <w:r>
          <w:rPr>
            <w:color w:val="2F5597"/>
            <w:u w:val="single"/>
          </w:rPr>
          <w:t>SimMTM</w:t>
        </w:r>
      </w:hyperlink>
      <w:r>
        <w:t xml:space="preserve"> for pretraining. </w:t>
      </w:r>
      <w:hyperlink r:id="rId66">
        <w:r>
          <w:rPr>
            <w:color w:val="2F5597"/>
            <w:u w:val="single"/>
          </w:rPr>
          <w:t>DLinear</w:t>
        </w:r>
      </w:hyperlink>
      <w:r>
        <w:t xml:space="preserve"> is the required supervised reference; </w:t>
      </w:r>
      <w:hyperlink r:id="rId67">
        <w:r>
          <w:rPr>
            <w:color w:val="2F5597"/>
            <w:u w:val="single"/>
          </w:rPr>
          <w:t>PatchTST</w:t>
        </w:r>
      </w:hyperlink>
      <w:r>
        <w:t xml:space="preserve"> is optional. A ridge or linear head on frozen representations is the key diagnostic.</w:t>
      </w:r>
    </w:p>
    <w:p>
      <w:pPr>
        <w:spacing w:before="0" w:after="100" w:line="254" w:lineRule="auto"/>
      </w:pPr>
      <w:r>
        <w:rPr>
          <w:b/>
          <w:color w:val="25313C"/>
        </w:rPr>
        <w:t xml:space="preserve">Baselines and evaluation. </w:t>
      </w:r>
      <w:r>
        <w:t>Seasonal-naive, DLinear, frozen SSL representation with a ridge head, and SSL fine-tuning. Report MSE and MAE at agreed horizons with identical input lengths and chronological splits, plus three seeds.</w:t>
      </w:r>
    </w:p>
    <w:p>
      <w:pPr>
        <w:pStyle w:val="Heading3"/>
      </w:pPr>
      <w:r>
        <w:t>Bachelor scope</w:t>
      </w:r>
    </w:p>
    <w:p>
      <w:pPr>
        <w:spacing w:before="0" w:after="100" w:line="254" w:lineRule="auto"/>
      </w:pPr>
      <w:r>
        <w:rPr>
          <w:b/>
        </w:rPr>
        <w:t>Bachelor research question.</w:t>
      </w:r>
      <w:r>
        <w:t xml:space="preserve"> </w:t>
      </w:r>
      <w:r>
        <w:rPr>
          <w:b/>
        </w:rPr>
        <w:t>Do self-supervised representations pretrained on one energy series transfer to a different one?</w:t>
      </w:r>
    </w:p>
    <w:p>
      <w:pPr>
        <w:spacing w:before="0" w:after="100" w:line="254" w:lineRule="auto"/>
      </w:pPr>
      <w:r>
        <w:t>*Core experiment.* Pretrain on ETTh1, then probe and fine-tune on ETTh2. Compare with direct ETTh2 pretraining and DLinear trained on ETTh2.</w:t>
      </w:r>
    </w:p>
    <w:p>
      <w:pPr>
        <w:spacing w:before="0" w:after="100" w:line="254" w:lineRule="auto"/>
      </w:pPr>
      <w:r>
        <w:rPr>
          <w:b/>
        </w:rPr>
        <w:t>Interpretation.</w:t>
      </w:r>
      <w:r>
        <w:t xml:space="preserve"> DLinear may outperform the SSL pipeline. Analyse whether the gap changes with forecast horizon and target-data volume.</w:t>
      </w:r>
    </w:p>
    <w:p>
      <w:pPr>
        <w:pStyle w:val="Heading3"/>
      </w:pPr>
      <w:r>
        <w:t>Master scope</w:t>
      </w:r>
    </w:p>
    <w:p>
      <w:pPr>
        <w:spacing w:before="0" w:after="100" w:line="254" w:lineRule="auto"/>
      </w:pPr>
      <w:r>
        <w:rPr>
          <w:b/>
        </w:rPr>
        <w:t>Master research question.</w:t>
      </w:r>
      <w:r>
        <w:t xml:space="preserve"> </w:t>
      </w:r>
      <w:r>
        <w:rPr>
          <w:b/>
        </w:rPr>
        <w:t>Do decomposition-aligned positive pairs improve transfer and low-data forecasting when seasonal phase drifts?</w:t>
      </w:r>
      <w:r>
        <w:t xml:space="preserve"> Use a stable seasonal decomposition to select positives, compare with random cropping and frequency-domain contrast, and analyse non-stationary intervals. Validate the period estimate on ETT before adding irregular data.</w:t>
      </w:r>
    </w:p>
    <w:p>
      <w:r>
        <w:br w:type="page"/>
      </w:r>
    </w:p>
    <w:p>
      <w:pPr>
        <w:pStyle w:val="Heading2"/>
        <w:spacing w:after="140"/>
      </w:pPr>
      <w:r>
        <w:t>Project 3.4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metadata-label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8">
              <w:r>
                <w:rPr>
                  <w:color w:val="2F5597"/>
                  <w:u w:val="single"/>
                </w:rPr>
                <w:t>HEAPO on Zenodo</w:t>
              </w:r>
            </w:hyperlink>
            <w:r>
              <w:t xml:space="preserve"> — 1,408 Swiss households, 15-minute and daily resolution, 2018–2024; dataset licence must be confirmed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Brudermueller et al., </w:t>
            </w:r>
            <w:hyperlink r:id="rId69">
              <w:r>
                <w:rPr>
                  <w:color w:val="2F5597"/>
                  <w:u w:val="single"/>
                </w:rPr>
                <w:t>HEAPO</w:t>
              </w:r>
            </w:hyperlink>
            <w:r>
              <w:t>, 2025</w:t>
            </w:r>
          </w:p>
        </w:tc>
      </w:tr>
    </w:tbl>
    <w:p>
      <w:pPr>
        <w:spacing w:after="0"/>
      </w:pPr>
    </w:p>
    <w:p>
      <w:pPr>
        <w:spacing w:before="80" w:after="100" w:line="254" w:lineRule="auto"/>
      </w:pPr>
      <w:r>
        <w:rPr>
          <w:b/>
          <w:color w:val="25313C"/>
        </w:rPr>
        <w:t xml:space="preserve">What you will do. </w:t>
      </w:r>
      <w:r>
        <w:t>Pretrain on household electricity series, then test whether the representations improve prediction of a household attribute or an inspection-derived issue.</w:t>
      </w:r>
    </w:p>
    <w:p>
      <w:pPr>
        <w:spacing w:before="0" w:after="100" w:line="254" w:lineRule="auto"/>
      </w:pPr>
      <w:r>
        <w:rPr>
          <w:b/>
          <w:color w:val="25313C"/>
        </w:rPr>
        <w:t xml:space="preserve">Data. </w:t>
      </w:r>
      <w:r>
        <w:t xml:space="preserve">The 458 MB public download contains 1,408 households; 214 have both smart-meter data and inspection information. Use the </w:t>
      </w:r>
      <w:hyperlink r:id="rId70">
        <w:r>
          <w:rPr>
            <w:color w:val="2F5597"/>
            <w:u w:val="single"/>
          </w:rPr>
          <w:t>official MIT-licensed dataloader</w:t>
        </w:r>
      </w:hyperlink>
      <w:r>
        <w:t>. The Zenodo Rights field does not state a dataset licence, so confirm reuse terms before allocation. Group all splits by household.</w:t>
      </w:r>
    </w:p>
    <w:p>
      <w:pPr>
        <w:spacing w:before="0" w:after="100" w:line="254" w:lineRule="auto"/>
      </w:pPr>
      <w:r>
        <w:rPr>
          <w:b/>
          <w:color w:val="25313C"/>
        </w:rPr>
        <w:t xml:space="preserve">Methods and code. </w:t>
      </w:r>
      <w:r>
        <w:t xml:space="preserve">Use </w:t>
      </w:r>
      <w:hyperlink r:id="rId19">
        <w:r>
          <w:rPr>
            <w:color w:val="2F5597"/>
            <w:u w:val="single"/>
          </w:rPr>
          <w:t>TS2Vec</w:t>
        </w:r>
      </w:hyperlink>
      <w:r>
        <w:t xml:space="preserve"> or </w:t>
      </w:r>
      <w:hyperlink r:id="rId21">
        <w:r>
          <w:rPr>
            <w:color w:val="2F5597"/>
            <w:u w:val="single"/>
          </w:rPr>
          <w:t>SimMTM</w:t>
        </w:r>
      </w:hyperlink>
      <w:r>
        <w:t>, with a 1-D CNN or InceptionTime supervised baseline. Use heat-pump type for the lower-risk task, or one inspection-derived issue only after counting usable positives among the 214 matched households.</w:t>
      </w:r>
    </w:p>
    <w:p>
      <w:pPr>
        <w:spacing w:before="0" w:after="100" w:line="254" w:lineRule="auto"/>
      </w:pPr>
      <w:r>
        <w:rPr>
          <w:b/>
          <w:color w:val="25313C"/>
        </w:rPr>
        <w:t xml:space="preserve">Baselines and evaluation. </w:t>
      </w:r>
      <w:r>
        <w:t>Compare random-frozen, frozen SSL, fine-tuned SSL and supervised encoders on identical household splits. Include weather-only and metadata-only baselines. Report balanced accuracy, macro-F1 and confidence intervals using repeated grouped cross-validation.</w:t>
      </w:r>
    </w:p>
    <w:p>
      <w:pPr>
        <w:pStyle w:val="Heading3"/>
      </w:pPr>
      <w:r>
        <w:t>Bachelor scope</w:t>
      </w:r>
    </w:p>
    <w:p>
      <w:pPr>
        <w:spacing w:before="0" w:after="100" w:line="254" w:lineRule="auto"/>
      </w:pPr>
      <w:r>
        <w:rPr>
          <w:b/>
        </w:rPr>
        <w:t>Bachelor version.</w:t>
      </w:r>
      <w:r>
        <w:t xml:space="preserve"> Use heat-pump type or another well-covered metadata label. Compare supervised training with one SSL encoder on household-grouped splits and report a label-efficiency curve.</w:t>
      </w:r>
    </w:p>
    <w:p>
      <w:pPr>
        <w:pStyle w:val="Heading3"/>
      </w:pPr>
      <w:r>
        <w:t>Master scope</w:t>
      </w:r>
    </w:p>
    <w:p>
      <w:pPr>
        <w:spacing w:before="0" w:after="100" w:line="254" w:lineRule="auto"/>
      </w:pPr>
      <w:r>
        <w:rPr>
          <w:b/>
        </w:rPr>
        <w:t>Master research question.</w:t>
      </w:r>
      <w:r>
        <w:t xml:space="preserve"> </w:t>
      </w:r>
      <w:r>
        <w:rPr>
          <w:b/>
        </w:rPr>
        <w:t>Can unlabelled data from a large related household population improve prediction on a much smaller labelled population, and do weather- and cycle-aware views improve it further?</w:t>
      </w:r>
      <w:r>
        <w:t xml:space="preserve"> Compare pretraining sources — none, labelled households only, unlabelled control households, and all households — then add outdoor-temperature-matched positives or whole-cycle masking and ablate the weather conditioning.</w:t>
      </w:r>
    </w:p>
    <w:p>
      <w:pPr>
        <w:spacing w:before="0" w:after="100" w:line="254" w:lineRule="auto"/>
      </w:pPr>
      <w:r>
        <w:rPr>
          <w:b/>
        </w:rPr>
        <w:t>Feasibility condition.</w:t>
      </w:r>
      <w:r>
        <w:t xml:space="preserve"> An inspection-label study has only 214 matched households. Select one primary label and verify its prevalence before committing to it; otherwise use the better-covered heat-pump-type task.</w:t>
      </w:r>
    </w:p>
    <w:p>
      <w:r>
        <w:br w:type="page"/>
      </w:r>
    </w:p>
    <w:p>
      <w:pPr>
        <w:pStyle w:val="Heading2"/>
        <w:spacing w:after="140"/>
      </w:pPr>
      <w:r>
        <w:t>Project 3.5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(one graph per signal window) with cross-operating-condition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1">
              <w:r>
                <w:rPr>
                  <w:color w:val="2F5597"/>
                  <w:u w:val="single"/>
                </w:rPr>
                <w:t>Paderborn KAt</w:t>
              </w:r>
            </w:hyperlink>
            <w:r>
              <w:t xml:space="preserve"> — ~5 GB, 32 bearings, four operating conditions,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Hou et al., </w:t>
            </w:r>
            <w:hyperlink r:id="rId72">
              <w:r>
                <w:rPr>
                  <w:color w:val="2F5597"/>
                  <w:u w:val="single"/>
                </w:rPr>
                <w:t>GraphMAE</w:t>
              </w:r>
            </w:hyperlink>
            <w:r>
              <w:t xml:space="preserve">, KDD 2022 — </w:t>
            </w:r>
            <w:hyperlink r:id="rId73">
              <w:r>
                <w:rPr>
                  <w:color w:val="2F5597"/>
                  <w:u w:val="single"/>
                </w:rPr>
                <w:t>official code</w:t>
              </w:r>
            </w:hyperlink>
          </w:p>
        </w:tc>
      </w:tr>
    </w:tbl>
    <w:p>
      <w:pPr>
        <w:spacing w:after="0"/>
      </w:pPr>
    </w:p>
    <w:p>
      <w:pPr>
        <w:spacing w:before="80" w:after="100" w:line="254" w:lineRule="auto"/>
      </w:pPr>
      <w:r>
        <w:rPr>
          <w:b/>
          <w:color w:val="25313C"/>
        </w:rPr>
        <w:t xml:space="preserve">What you will do. </w:t>
      </w:r>
      <w:r>
        <w:t>Convert each vibration window into a graph of fault-related frequency bands, pretrain a graph encoder without labels, and test transfer to a different load or speed condition.</w:t>
      </w:r>
    </w:p>
    <w:p>
      <w:pPr>
        <w:spacing w:before="0" w:after="100" w:line="254" w:lineRule="auto"/>
      </w:pPr>
      <w:r>
        <w:rPr>
          <w:b/>
          <w:color w:val="25313C"/>
        </w:rPr>
        <w:t xml:space="preserve">Graph construction. </w:t>
      </w:r>
      <w:r>
        <w:t>Resample each window into the shaft-order domain. Use fixed nodes for BPFO, BPFI, BSF and FTF bands and their harmonics. Node features can include band energy, envelope amplitude, spectral kurtosis and RMS; edges can represent envelope correlation or spectral coherence. Fit thresholds on training data only.</w:t>
      </w:r>
    </w:p>
    <w:p>
      <w:pPr>
        <w:spacing w:before="0" w:after="100" w:line="254" w:lineRule="auto"/>
      </w:pPr>
      <w:r>
        <w:rPr>
          <w:b/>
          <w:color w:val="25313C"/>
        </w:rPr>
        <w:t xml:space="preserve">Data. </w:t>
      </w:r>
      <w:r>
        <w:t xml:space="preserve">Paderborn provides 64 kHz vibration, speed, torque and radial load for 32 physical bearings under four operating conditions. Download it from the </w:t>
      </w:r>
      <w:hyperlink r:id="rId74">
        <w:r>
          <w:rPr>
            <w:color w:val="2F5597"/>
            <w:u w:val="single"/>
          </w:rPr>
          <w:t>official archive</w:t>
        </w:r>
      </w:hyperlink>
      <w:r>
        <w:t>. Split by bearing, not by window. CWRU may be used only to develop the preprocessing pipeline; its official site does not state a clear data licence.</w:t>
      </w:r>
    </w:p>
    <w:p>
      <w:pPr>
        <w:spacing w:before="0" w:after="100" w:line="254" w:lineRule="auto"/>
      </w:pPr>
      <w:r>
        <w:rPr>
          <w:b/>
          <w:color w:val="25313C"/>
        </w:rPr>
        <w:t xml:space="preserve">Methods and code. </w:t>
      </w:r>
      <w:r>
        <w:t xml:space="preserve">Use a GIN encoder with </w:t>
      </w:r>
      <w:hyperlink r:id="rId73">
        <w:r>
          <w:rPr>
            <w:color w:val="2F5597"/>
            <w:u w:val="single"/>
          </w:rPr>
          <w:t>GraphMAE</w:t>
        </w:r>
      </w:hyperlink>
      <w:r>
        <w:t>. Compare with supervised GIN and a 1-D CNN. Do not remove fault-frequency nodes as a generic graph augmentation.</w:t>
      </w:r>
    </w:p>
    <w:p>
      <w:pPr>
        <w:spacing w:before="0" w:after="100" w:line="254" w:lineRule="auto"/>
      </w:pPr>
      <w:r>
        <w:rPr>
          <w:b/>
          <w:color w:val="25313C"/>
        </w:rPr>
        <w:t xml:space="preserve">Baselines and evaluation. </w:t>
      </w:r>
      <w:r>
        <w:t>Compare a 1-D CNN, envelope-spectrum features with gradient boosting, supervised GIN, random-frozen GIN, and GraphMAE with frozen and fine-tuned heads. Test physics-based, similarity, random and no-edge graphs. Report accuracy and macro-F1; cross-condition transfer is primary.</w:t>
      </w:r>
    </w:p>
    <w:p>
      <w:pPr>
        <w:spacing w:before="0" w:after="100" w:line="254" w:lineRule="auto"/>
      </w:pPr>
      <w:r>
        <w:rPr>
          <w:b/>
          <w:color w:val="25313C"/>
        </w:rPr>
        <w:t xml:space="preserve">Practical notes. </w:t>
      </w:r>
      <w:r>
        <w:t>The dataset has only 32 independent bearings. Use bearing-grouped splits, report confidence intervals and keep the graph, SSL method and transfer experiment fixed in advance. This project is not suitable for a short BSc project.</w:t>
      </w:r>
    </w:p>
    <w:p>
      <w:pPr>
        <w:pStyle w:val="Heading3"/>
      </w:pPr>
      <w:r>
        <w:t>Master scope</w:t>
      </w:r>
    </w:p>
    <w:p>
      <w:pPr>
        <w:spacing w:before="0" w:after="100" w:line="254" w:lineRule="auto"/>
      </w:pPr>
      <w:r>
        <w:rPr>
          <w:b/>
        </w:rPr>
        <w:t>Master research question.</w:t>
      </w:r>
      <w:r>
        <w:t xml:space="preserve"> </w:t>
      </w:r>
      <w:r>
        <w:rPr>
          <w:b/>
        </w:rPr>
        <w:t>Does a speed-invariant graph built from bearing kinematics transfer across operating conditions better than a similarity graph, and does self-supervised pretraining add value once the graph is fixed?</w:t>
      </w:r>
      <w:r>
        <w:t xml:space="preserve"> The contribution is the graph construction and controlled ablation; GraphMAE is a baseline.</w:t>
      </w:r>
    </w:p>
    <w:p>
      <w:r>
        <w:br w:type="page"/>
      </w:r>
    </w:p>
    <w:p>
      <w:pPr>
        <w:pStyle w:val="Heading1"/>
      </w:pPr>
      <w:r>
        <w:t>Category 4  Deep-learning vision models and applications</w:t>
      </w:r>
    </w:p>
    <w:p>
      <w:pPr>
        <w:spacing w:before="0" w:after="100" w:line="254" w:lineRule="auto"/>
      </w:pPr>
      <w:r>
        <w:t>A vision foundation model is an image encoder pretrained on a large image collection and reused for later tasks. Vision Transformers divide an image into patches and learn a feature vector for each patch. Self-supervised models such as DINO learn these features without class labels.</w:t>
      </w:r>
    </w:p>
    <w:p>
      <w:pPr>
        <w:spacing w:before="0" w:after="100" w:line="254" w:lineRule="auto"/>
      </w:pPr>
      <w:r>
        <w:t>Students do not train a foundation model from scratch. In industrial anomaly detection, a frozen encoder can compare a test image with known normal images and identify unusual patches. An adapter can instead tune the encoder to the appearance of the normal training images without using defect examples.</w:t>
      </w:r>
    </w:p>
    <w:p>
      <w:pPr>
        <w:spacing w:before="0" w:after="100" w:line="254" w:lineRule="auto"/>
      </w:pPr>
      <w:r>
        <w:t>MVTec training sets contain normal images only; real test defects cannot be used to train or tune the model. Frozen features, parameter-efficient adaptation and full fine-tuning are comparable only when they use the same training information and objective.</w:t>
      </w:r>
    </w:p>
    <w:p>
      <w:pPr>
        <w:pStyle w:val="Heading3"/>
      </w:pPr>
      <w:r>
        <w:t>Three ways to adapt a pretrained backbone</w:t>
      </w:r>
    </w:p>
    <w:p>
      <w:pPr>
        <w:spacing w:before="0" w:after="80" w:line="254" w:lineRule="auto"/>
      </w:pPr>
      <w:r>
        <w:t>Freeze it and score distances from normal reference patches. Adapt it efficiently by training small LoRA or adapter modules. Fine-tune it by updating the complete encoder. In this project, adaptation uses a self-supervised consistency objective on normal images only.</w:t>
      </w:r>
    </w:p>
    <w:p>
      <w:pPr>
        <w:pStyle w:val="Heading2"/>
      </w:pPr>
      <w:r>
        <w:t>Learn first and find data</w:t>
      </w:r>
    </w:p>
    <w:p>
      <w:pPr>
        <w:pStyle w:val="ListBullet"/>
        <w:spacing w:before="0" w:after="40" w:line="254" w:lineRule="auto"/>
      </w:pPr>
      <w:r>
        <w:t xml:space="preserve">Core reading: </w:t>
      </w:r>
      <w:hyperlink r:id="rId75">
        <w:r>
          <w:rPr>
            <w:color w:val="2F5597"/>
            <w:u w:val="single"/>
          </w:rPr>
          <w:t>DINO</w:t>
        </w:r>
      </w:hyperlink>
      <w:r>
        <w:t xml:space="preserve">, </w:t>
      </w:r>
      <w:hyperlink r:id="rId76">
        <w:r>
          <w:rPr>
            <w:color w:val="2F5597"/>
            <w:u w:val="single"/>
          </w:rPr>
          <w:t>DINOv2</w:t>
        </w:r>
      </w:hyperlink>
      <w:r>
        <w:t xml:space="preserve">, the </w:t>
      </w:r>
      <w:hyperlink r:id="rId77">
        <w:r>
          <w:rPr>
            <w:color w:val="2F5597"/>
            <w:u w:val="single"/>
          </w:rPr>
          <w:t>DINOv2 model card and code</w:t>
        </w:r>
      </w:hyperlink>
      <w:r>
        <w:t xml:space="preserve">, and </w:t>
      </w:r>
      <w:hyperlink r:id="rId78">
        <w:r>
          <w:rPr>
            <w:color w:val="2F5597"/>
            <w:u w:val="single"/>
          </w:rPr>
          <w:t>AnomalyDINO</w:t>
        </w:r>
      </w:hyperlink>
      <w:r>
        <w:t xml:space="preserve"> with its </w:t>
      </w:r>
      <w:hyperlink r:id="rId79">
        <w:r>
          <w:rPr>
            <w:color w:val="2F5597"/>
            <w:u w:val="single"/>
          </w:rPr>
          <w:t>official code</w:t>
        </w:r>
      </w:hyperlink>
      <w:r>
        <w:t>.</w:t>
      </w:r>
    </w:p>
    <w:p>
      <w:pPr>
        <w:pStyle w:val="ListBullet"/>
        <w:spacing w:before="0" w:after="40" w:line="254" w:lineRule="auto"/>
      </w:pPr>
      <w:r>
        <w:t xml:space="preserve">Parameter-efficient adaptation: </w:t>
      </w:r>
      <w:hyperlink r:id="rId80">
        <w:r>
          <w:rPr>
            <w:color w:val="2F5597"/>
            <w:u w:val="single"/>
          </w:rPr>
          <w:t>LoRA</w:t>
        </w:r>
      </w:hyperlink>
      <w:r>
        <w:t xml:space="preserve"> and the </w:t>
      </w:r>
      <w:hyperlink r:id="rId81">
        <w:r>
          <w:rPr>
            <w:color w:val="2F5597"/>
            <w:u w:val="single"/>
          </w:rPr>
          <w:t>Hugging Face PEFT library</w:t>
        </w:r>
      </w:hyperlink>
      <w:r>
        <w:t>.</w:t>
      </w:r>
    </w:p>
    <w:p>
      <w:pPr>
        <w:pStyle w:val="ListBullet"/>
        <w:spacing w:before="0" w:after="40" w:line="254" w:lineRule="auto"/>
      </w:pPr>
      <w:r>
        <w:t xml:space="preserve">Normal-only objectives: </w:t>
      </w:r>
      <w:hyperlink r:id="rId75">
        <w:r>
          <w:rPr>
            <w:color w:val="2F5597"/>
            <w:u w:val="single"/>
          </w:rPr>
          <w:t>DINO self-distillation</w:t>
        </w:r>
      </w:hyperlink>
      <w:r>
        <w:t xml:space="preserve"> and </w:t>
      </w:r>
      <w:hyperlink r:id="rId82">
        <w:r>
          <w:rPr>
            <w:color w:val="2F5597"/>
            <w:u w:val="single"/>
          </w:rPr>
          <w:t>masked autoencoding</w:t>
        </w:r>
      </w:hyperlink>
      <w:r>
        <w:t>. The proposed project uses patch-level teacher-student consistency as the simpler starting point.</w:t>
      </w:r>
    </w:p>
    <w:p>
      <w:pPr>
        <w:pStyle w:val="ListBullet"/>
        <w:spacing w:before="0" w:after="40" w:line="254" w:lineRule="auto"/>
      </w:pPr>
      <w:r>
        <w:t xml:space="preserve">Data and model hubs: </w:t>
      </w:r>
      <w:hyperlink r:id="rId83">
        <w:r>
          <w:rPr>
            <w:color w:val="2F5597"/>
            <w:u w:val="single"/>
          </w:rPr>
          <w:t>MVTec AD</w:t>
        </w:r>
      </w:hyperlink>
      <w:r>
        <w:t xml:space="preserve">, </w:t>
      </w:r>
      <w:hyperlink r:id="rId84">
        <w:r>
          <w:rPr>
            <w:color w:val="2F5597"/>
            <w:u w:val="single"/>
          </w:rPr>
          <w:t>Hugging Face models</w:t>
        </w:r>
      </w:hyperlink>
      <w:r>
        <w:t xml:space="preserve"> and </w:t>
      </w:r>
      <w:hyperlink r:id="rId85">
        <w:r>
          <w:rPr>
            <w:color w:val="2F5597"/>
            <w:u w:val="single"/>
          </w:rPr>
          <w:t>timm</w:t>
        </w:r>
      </w:hyperlink>
      <w:r>
        <w:t>.</w:t>
      </w:r>
    </w:p>
    <w:p>
      <w:pPr>
        <w:pStyle w:val="ListBullet"/>
        <w:spacing w:before="0" w:after="40" w:line="254" w:lineRule="auto"/>
      </w:pPr>
      <w:r>
        <w:t>Keep zero-shot, one-shot, few-shot and full-shot anomaly results separate, and never compare an image-level metric directly with a pixel-level metric.</w:t>
      </w:r>
    </w:p>
    <w:p>
      <w:r>
        <w:br w:type="page"/>
      </w:r>
    </w:p>
    <w:p>
      <w:pPr>
        <w:pStyle w:val="Heading2"/>
        <w:spacing w:after="140"/>
      </w:pPr>
      <w:r>
        <w:t>Project 4.1  Adapting DINO backbones for industrial anomaly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Image-level anomaly detection and pixel-level anomaly localisation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frozen features; moderate for adaptation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83">
              <w:r>
                <w:rPr>
                  <w:color w:val="2F5597"/>
                  <w:u w:val="single"/>
                </w:rPr>
                <w:t>MVTec AD</w:t>
              </w:r>
            </w:hyperlink>
            <w:r>
              <w:t xml:space="preserve"> — 5,354 images, 15 categories, pixel-precise masks, CC BY-NC-SA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Oquab et al., </w:t>
            </w:r>
            <w:hyperlink r:id="rId76">
              <w:r>
                <w:rPr>
                  <w:color w:val="2F5597"/>
                  <w:u w:val="single"/>
                </w:rPr>
                <w:t>DINOv2</w:t>
              </w:r>
            </w:hyperlink>
            <w:r>
              <w:t>, 2023</w:t>
            </w:r>
          </w:p>
        </w:tc>
      </w:tr>
    </w:tbl>
    <w:p>
      <w:pPr>
        <w:spacing w:after="0"/>
      </w:pPr>
    </w:p>
    <w:p>
      <w:pPr>
        <w:spacing w:before="80" w:after="100" w:line="254" w:lineRule="auto"/>
      </w:pPr>
      <w:r>
        <w:rPr>
          <w:b/>
          <w:color w:val="25313C"/>
        </w:rPr>
        <w:t xml:space="preserve">What you will do. </w:t>
      </w:r>
      <w:r>
        <w:t>Use DINOv2 patch features to detect and locate defects from normal reference images. The BSc project studies the frozen detector. The MSc project adapts the encoder using only defect-free training images.</w:t>
      </w:r>
    </w:p>
    <w:p>
      <w:pPr>
        <w:spacing w:before="0" w:after="100" w:line="254" w:lineRule="auto"/>
      </w:pPr>
      <w:r>
        <w:rPr>
          <w:b/>
          <w:color w:val="25313C"/>
        </w:rPr>
        <w:t xml:space="preserve">Data. </w:t>
      </w:r>
      <w:hyperlink r:id="rId83">
        <w:r>
          <w:rPr>
            <w:color w:val="2F5597"/>
            <w:u w:val="single"/>
          </w:rPr>
          <w:t>MVTec AD</w:t>
        </w:r>
      </w:hyperlink>
      <w:r>
        <w:t xml:space="preserve"> contains 5,354 images in 15 categories, with defect-free training images and labelled normal and defective test images. </w:t>
      </w:r>
      <w:hyperlink r:id="rId86">
        <w:r>
          <w:rPr>
            <w:color w:val="2F5597"/>
            <w:u w:val="single"/>
          </w:rPr>
          <w:t>MVTec AD 2</w:t>
        </w:r>
      </w:hyperlink>
      <w:r>
        <w:t xml:space="preserve"> contains 8,000+ images in eight harder scenarios and includes unseen lighting conditions. Both use CC BY-NC-SA 4.0; MVTec AD 2 also has a private-test evaluation server.</w:t>
      </w:r>
    </w:p>
    <w:p>
      <w:pPr>
        <w:spacing w:before="0" w:after="100" w:line="254" w:lineRule="auto"/>
      </w:pPr>
      <w:r>
        <w:rPr>
          <w:b/>
          <w:color w:val="25313C"/>
        </w:rPr>
        <w:t xml:space="preserve">Methods and code. </w:t>
      </w:r>
      <w:r>
        <w:t xml:space="preserve">Use DINOv2 </w:t>
      </w:r>
      <w:r>
        <w:rPr>
          <w:b/>
        </w:rPr>
        <w:t>ViT-S/14</w:t>
      </w:r>
      <w:r>
        <w:t xml:space="preserve"> from the </w:t>
      </w:r>
      <w:hyperlink r:id="rId77">
        <w:r>
          <w:rPr>
            <w:color w:val="2F5597"/>
            <w:u w:val="single"/>
          </w:rPr>
          <w:t>Apache-2.0 repository</w:t>
        </w:r>
      </w:hyperlink>
      <w:r>
        <w:t xml:space="preserve">. The frozen route follows </w:t>
      </w:r>
      <w:hyperlink r:id="rId79">
        <w:r>
          <w:rPr>
            <w:color w:val="2F5597"/>
            <w:u w:val="single"/>
          </w:rPr>
          <w:t>AnomalyDINO</w:t>
        </w:r>
      </w:hyperlink>
      <w:r>
        <w:t xml:space="preserve">: store normal patch features and score each test patch by its distance to the memory bank. For the MSc route, keep a frozen DINOv2 teacher and train LoRA or adapters in a student model with </w:t>
      </w:r>
      <w:hyperlink r:id="rId81">
        <w:r>
          <w:rPr>
            <w:color w:val="2F5597"/>
            <w:u w:val="single"/>
          </w:rPr>
          <w:t>PEFT</w:t>
        </w:r>
      </w:hyperlink>
      <w:r>
        <w:t>. Make patch features agree between an original normal image and a photometrically altered view of the same image. No defect image or mask is used during adaptation.</w:t>
      </w:r>
    </w:p>
    <w:p>
      <w:pPr>
        <w:spacing w:before="0" w:after="100" w:line="254" w:lineRule="auto"/>
      </w:pPr>
      <w:r>
        <w:rPr>
          <w:b/>
          <w:color w:val="25313C"/>
        </w:rPr>
        <w:t xml:space="preserve">Baselines and evaluation. </w:t>
      </w:r>
      <w:r>
        <w:t xml:space="preserve">Compare frozen AnomalyDINO with </w:t>
      </w:r>
      <w:hyperlink r:id="rId87">
        <w:r>
          <w:rPr>
            <w:color w:val="2F5597"/>
            <w:u w:val="single"/>
          </w:rPr>
          <w:t>PatchCore</w:t>
        </w:r>
      </w:hyperlink>
      <w:r>
        <w:t>. For the MSc route, compare frozen DINOv2, normal-only LoRA/adapter adaptation and normal-only full fine-tuning under the same consistency loss. Report image AUROC, pixel AUROC and the official AU-PRO measure per category, plus trainable parameters, memory and runtime. Keep shot count and public/private test protocols separate.</w:t>
      </w:r>
    </w:p>
    <w:p>
      <w:pPr>
        <w:spacing w:before="0" w:after="100" w:line="254" w:lineRule="auto"/>
      </w:pPr>
      <w:r>
        <w:rPr>
          <w:b/>
          <w:color w:val="25313C"/>
        </w:rPr>
        <w:t xml:space="preserve">Practical notes. </w:t>
      </w:r>
      <w:r>
        <w:t>DINOv2 code and standard weights are ungated and Apache 2.0. MVTec data is restricted to non-commercial use. Complete the BSc frozen baseline before beginning any adaptation.</w:t>
      </w:r>
    </w:p>
    <w:p>
      <w:pPr>
        <w:pStyle w:val="Heading3"/>
      </w:pPr>
      <w:r>
        <w:t>Bachelor scope</w:t>
      </w:r>
    </w:p>
    <w:p>
      <w:pPr>
        <w:spacing w:before="0" w:after="100" w:line="254" w:lineRule="auto"/>
      </w:pPr>
      <w:r>
        <w:rPr>
          <w:b/>
        </w:rPr>
        <w:t>Bachelor research question.</w:t>
      </w:r>
      <w:r>
        <w:t xml:space="preserve"> </w:t>
      </w:r>
      <w:r>
        <w:rPr>
          <w:b/>
        </w:rPr>
        <w:t>How do the number of normal reference images and the selected DINOv2 feature layer affect defect detection and localisation?</w:t>
      </w:r>
    </w:p>
    <w:p>
      <w:pPr>
        <w:spacing w:before="0" w:after="100" w:line="254" w:lineRule="auto"/>
      </w:pPr>
      <w:r>
        <w:t>*Core experiment.* Reproduce AnomalyDINO on MVTec AD with ViT-S/14. Compare 1, 4 and 16 normal reference images, two feature layers selected in advance, and PatchCore. Repeat the reference-image sampling and analyse false positives and localisation errors. No model training is required.</w:t>
      </w:r>
    </w:p>
    <w:p>
      <w:pPr>
        <w:pStyle w:val="Heading3"/>
      </w:pPr>
      <w:r>
        <w:t>Master scope</w:t>
      </w:r>
    </w:p>
    <w:p>
      <w:pPr>
        <w:spacing w:before="0" w:after="100" w:line="254" w:lineRule="auto"/>
      </w:pPr>
      <w:r>
        <w:rPr>
          <w:b/>
        </w:rPr>
        <w:t>Master research question.</w:t>
      </w:r>
      <w:r>
        <w:t xml:space="preserve"> </w:t>
      </w:r>
      <w:r>
        <w:rPr>
          <w:b/>
        </w:rPr>
        <w:t>Can normal-only parameter-efficient adaptation make DINOv2 patch features robust to industrial lighting variation without removing the local differences needed to detect unseen defects?</w:t>
      </w:r>
      <w:r>
        <w:t xml:space="preserve"> Use a frozen teacher and a LoRA/adapter student. Train only on normal images with patch-aligned brightness, contrast and noise transformations. Compare patch-level consistency with global-image consistency, and compare frozen, LoRA/adapter and full fine-tuning under the same loss on MVTec AD and MVTec AD 2. Ablate adapter depth and transformation strength.</w:t>
      </w:r>
    </w:p>
    <w:p>
      <w:pPr>
        <w:spacing w:before="0" w:after="100" w:line="254" w:lineRule="auto"/>
      </w:pPr>
      <w:r>
        <w:t>The contribution is the normal-only patch-consistency method and its controlled evaluation. Monitor feature variance and distance from the original DINOv2 representation to detect collapse or over-adaptation. Training on real test defects, or repeatedly tuning choices on public test labels, would invalidate the unsupervised setting. Synthetic defects may be included only as a clearly separated optional comparison.</w:t>
      </w:r>
    </w:p>
    <w:p>
      <w:r>
        <w:br w:type="page"/>
      </w:r>
    </w:p>
    <w:p>
      <w:pPr>
        <w:pStyle w:val="Heading1"/>
      </w:pPr>
      <w:r>
        <w:t>Category 5  Signal processing and deep-unfolded models</w:t>
      </w:r>
    </w:p>
    <w:p>
      <w:pPr>
        <w:spacing w:before="0" w:after="100" w:line="254" w:lineRule="auto"/>
      </w:pPr>
      <w:r>
        <w:t>Many signal-processing methods repeat a fixed optimisation step until convergence. Algorithm unrolling, also called deep unfolding, turns a fixed number of those iterations into neural-network layers. The update equations determine the network structure, while selected algorithm parameters are learned from data.</w:t>
      </w:r>
    </w:p>
    <w:p>
      <w:pPr>
        <w:spacing w:before="0" w:after="100" w:line="254" w:lineRule="auto"/>
      </w:pPr>
      <w:r>
        <w:t>This differs from Category 3: the network is a truncated version of a known algorithm, not a general-purpose encoder. Evaluation must therefore test both numerical correctness and the downstream task. Faster execution alone is insufficient if the learned layers no longer perform the intended decomposition.</w:t>
      </w:r>
    </w:p>
    <w:p>
      <w:pPr>
        <w:pStyle w:val="Heading3"/>
      </w:pPr>
      <w:r>
        <w:t>A Master-level category</w:t>
      </w:r>
    </w:p>
    <w:p>
      <w:pPr>
        <w:spacing w:before="0" w:after="80" w:line="254" w:lineRule="auto"/>
      </w:pPr>
      <w:r>
        <w:t>This category requires graduate-level optimisation and signal processing. The contribution is a justified change to the unrolled algorithm and a controlled comparison with the converged classical method.</w:t>
      </w:r>
    </w:p>
    <w:p>
      <w:pPr>
        <w:pStyle w:val="Heading2"/>
      </w:pPr>
      <w:r>
        <w:t>Learn first and find ideas</w:t>
      </w:r>
    </w:p>
    <w:p>
      <w:pPr>
        <w:pStyle w:val="ListBullet"/>
        <w:spacing w:before="0" w:after="40" w:line="254" w:lineRule="auto"/>
      </w:pPr>
      <w:r>
        <w:t xml:space="preserve">General unrolling: Gregor and LeCun, </w:t>
      </w:r>
      <w:hyperlink r:id="rId88">
        <w:r>
          <w:rPr>
            <w:color w:val="2F5597"/>
            <w:u w:val="single"/>
          </w:rPr>
          <w:t>Learning Fast Approximations of Sparse Coding (LISTA)</w:t>
        </w:r>
      </w:hyperlink>
      <w:r>
        <w:t xml:space="preserve">, ICML 2010; Monga, Li and Eldar, </w:t>
      </w:r>
      <w:hyperlink r:id="rId89">
        <w:r>
          <w:rPr>
            <w:color w:val="2F5597"/>
            <w:u w:val="single"/>
          </w:rPr>
          <w:t>Algorithm Unrolling</w:t>
        </w:r>
      </w:hyperlink>
      <w:r>
        <w:t xml:space="preserve">, IEEE SPM 2021; and Yang et al., </w:t>
      </w:r>
      <w:hyperlink r:id="rId90">
        <w:r>
          <w:rPr>
            <w:color w:val="2F5597"/>
            <w:u w:val="single"/>
          </w:rPr>
          <w:t>Deep ADMM-Net</w:t>
        </w:r>
      </w:hyperlink>
      <w:r>
        <w:t>, NeurIPS 2016.</w:t>
      </w:r>
    </w:p>
    <w:p>
      <w:pPr>
        <w:pStyle w:val="ListBullet"/>
        <w:spacing w:before="0" w:after="40" w:line="254" w:lineRule="auto"/>
      </w:pPr>
      <w:r>
        <w:t xml:space="preserve">Signal decomposition: Dragomiretskiy and Zosso, </w:t>
      </w:r>
      <w:hyperlink r:id="rId91">
        <w:r>
          <w:rPr>
            <w:color w:val="2F5597"/>
            <w:u w:val="single"/>
          </w:rPr>
          <w:t>Variational Mode Decomposition</w:t>
        </w:r>
      </w:hyperlink>
      <w:r>
        <w:t xml:space="preserve">, with </w:t>
      </w:r>
      <w:hyperlink r:id="rId92">
        <w:r>
          <w:rPr>
            <w:color w:val="2F5597"/>
            <w:u w:val="single"/>
          </w:rPr>
          <w:t>reference Python code</w:t>
        </w:r>
      </w:hyperlink>
      <w:r>
        <w:t xml:space="preserve">, and Rehman and Aftab, </w:t>
      </w:r>
      <w:hyperlink r:id="rId93">
        <w:r>
          <w:rPr>
            <w:color w:val="2F5597"/>
            <w:u w:val="single"/>
          </w:rPr>
          <w:t>Multivariate Variational Mode Decomposition</w:t>
        </w:r>
      </w:hyperlink>
      <w:r>
        <w:t>.</w:t>
      </w:r>
    </w:p>
    <w:p>
      <w:pPr>
        <w:pStyle w:val="ListBullet"/>
        <w:spacing w:before="0" w:after="40" w:line="254" w:lineRule="auto"/>
      </w:pPr>
      <w:r>
        <w:t xml:space="preserve">Ahmad et al., </w:t>
      </w:r>
      <w:hyperlink r:id="rId94">
        <w:r>
          <w:rPr>
            <w:color w:val="2F5597"/>
            <w:u w:val="single"/>
          </w:rPr>
          <w:t>Robust Spatiotemporal Forecasting Using Adaptive Deep-Unfolded VMD</w:t>
        </w:r>
      </w:hyperlink>
      <w:r>
        <w:t xml:space="preserve">, 2025 preprint, with the </w:t>
      </w:r>
      <w:hyperlink r:id="rId95">
        <w:r>
          <w:rPr>
            <w:color w:val="2F5597"/>
            <w:u w:val="single"/>
          </w:rPr>
          <w:t>authors' repository</w:t>
        </w:r>
      </w:hyperlink>
      <w:r>
        <w:t>. The repository currently has no licence file.</w:t>
      </w:r>
    </w:p>
    <w:p>
      <w:r>
        <w:br w:type="page"/>
      </w:r>
    </w:p>
    <w:p>
      <w:pPr>
        <w:pStyle w:val="Heading2"/>
        <w:spacing w:after="140"/>
      </w:pPr>
      <w:r>
        <w:t>Project 5.1  Deep-unfolded multivariate VMD for correlated multichannel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Unroll multivariate VMD and evaluate decomposition, robustness and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synthetic tests; moderate for LargeST-SD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 xml:space="preserve">Synthetic multichannel signals plus </w:t>
            </w:r>
            <w:hyperlink r:id="rId96">
              <w:r>
                <w:rPr>
                  <w:color w:val="2F5597"/>
                  <w:u w:val="single"/>
                </w:rPr>
                <w:t>LargeST-SD</w:t>
              </w:r>
            </w:hyperlink>
            <w:r>
              <w:t xml:space="preserve"> — 716 sensors,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Ahmad, Wesemann, Waschkowski &amp; Khalid, </w:t>
            </w:r>
            <w:hyperlink r:id="rId94">
              <w:r>
                <w:rPr>
                  <w:color w:val="2F5597"/>
                  <w:u w:val="single"/>
                </w:rPr>
                <w:t>Adaptive Deep-Unfolded VMD</w:t>
              </w:r>
            </w:hyperlink>
            <w:r>
              <w:t>, 2025</w:t>
            </w:r>
          </w:p>
        </w:tc>
      </w:tr>
    </w:tbl>
    <w:p>
      <w:pPr>
        <w:spacing w:after="0"/>
      </w:pPr>
    </w:p>
    <w:p>
      <w:pPr>
        <w:spacing w:before="80" w:after="100" w:line="254" w:lineRule="auto"/>
      </w:pPr>
      <w:r>
        <w:rPr>
          <w:b/>
          <w:color w:val="25313C"/>
        </w:rPr>
        <w:t xml:space="preserve">What you will do. </w:t>
      </w:r>
      <w:r>
        <w:t>Variational Mode Decomposition separates a signal into band-limited modes. MVMD extends it to several channels by estimating a shared centre frequency for each mode. You will turn a fixed number of MVMD iterations into trainable layers and test whether robust cross-channel weighting helps when some channels are noisy.</w:t>
      </w:r>
    </w:p>
    <w:p>
      <w:pPr>
        <w:spacing w:before="0" w:after="100" w:line="254" w:lineRule="auto"/>
      </w:pPr>
      <w:r>
        <w:rPr>
          <w:b/>
          <w:color w:val="25313C"/>
        </w:rPr>
        <w:t xml:space="preserve">Project goal. </w:t>
      </w:r>
      <w:r>
        <w:t>Build a coupled unrolled MVMD whose output for one channel depends on the other channels. Replace equal averaging in the shared-frequency update with permutation-invariant weights derived from each channel's residual. Test whether the weights reduce the influence of corrupted channels without collapsing onto one channel.</w:t>
      </w:r>
    </w:p>
    <w:p>
      <w:pPr>
        <w:spacing w:before="0" w:after="100" w:line="254" w:lineRule="auto"/>
      </w:pPr>
      <w:r>
        <w:rPr>
          <w:b/>
          <w:color w:val="25313C"/>
        </w:rPr>
        <w:t xml:space="preserve">Data. </w:t>
      </w:r>
      <w:r>
        <w:t xml:space="preserve">First use synthetic signals with known modes and centre frequencies, 2–32 channels, varied SNR and controlled channel corruption. Then use the </w:t>
      </w:r>
      <w:r>
        <w:rPr>
          <w:b/>
        </w:rPr>
        <w:t>San Diego 2019 subset</w:t>
      </w:r>
      <w:r>
        <w:t xml:space="preserve"> of </w:t>
      </w:r>
      <w:hyperlink r:id="rId96">
        <w:r>
          <w:rPr>
            <w:color w:val="2F5597"/>
            <w:u w:val="single"/>
          </w:rPr>
          <w:t>LargeST</w:t>
        </w:r>
      </w:hyperlink>
      <w:r>
        <w:t>: 716 traffic sensors aggregated to 15-minute intervals. The full California and Greater Los Angeles datasets are outside the project compute budget. LargeST data is CC BY-NC 4.0 and its benchmark code is MIT-licensed.</w:t>
      </w:r>
    </w:p>
    <w:p>
      <w:pPr>
        <w:spacing w:before="0" w:after="100" w:line="254" w:lineRule="auto"/>
      </w:pPr>
      <w:r>
        <w:rPr>
          <w:b/>
          <w:color w:val="25313C"/>
        </w:rPr>
        <w:t xml:space="preserve">Methods and code. </w:t>
      </w:r>
      <w:r>
        <w:t xml:space="preserve">Validate classical MVMD using the </w:t>
      </w:r>
      <w:hyperlink r:id="rId97">
        <w:r>
          <w:rPr>
            <w:color w:val="2F5597"/>
            <w:u w:val="single"/>
          </w:rPr>
          <w:t>original MATLAB implementation</w:t>
        </w:r>
      </w:hyperlink>
      <w:r>
        <w:t xml:space="preserve"> and an </w:t>
      </w:r>
      <w:hyperlink r:id="rId98">
        <w:r>
          <w:rPr>
            <w:color w:val="2F5597"/>
            <w:u w:val="single"/>
          </w:rPr>
          <w:t>MIT-licensed Python implementation</w:t>
        </w:r>
      </w:hyperlink>
      <w:r>
        <w:t xml:space="preserve">. Reimplement the UVMD equations from the </w:t>
      </w:r>
      <w:hyperlink r:id="rId94">
        <w:r>
          <w:rPr>
            <w:color w:val="2F5597"/>
            <w:u w:val="single"/>
          </w:rPr>
          <w:t>anchor paper</w:t>
        </w:r>
      </w:hyperlink>
      <w:r>
        <w:t>, then extend them to the coupled update. The authors' MAGN repository may be inspected, but its code should not be copied or modified without licence clarification.</w:t>
      </w:r>
    </w:p>
    <w:p>
      <w:pPr>
        <w:spacing w:before="0" w:after="100" w:line="254" w:lineRule="auto"/>
      </w:pPr>
      <w:r>
        <w:rPr>
          <w:b/>
          <w:color w:val="25313C"/>
        </w:rPr>
        <w:t xml:space="preserve">Baselines and evaluation. </w:t>
      </w:r>
      <w:r>
        <w:t>Compare per-channel VMD, converged MVMD, per-channel UVMD, equal-weight unrolled MVMD and the proposed robust-weighted version. On synthetic data report reconstruction error, centre-frequency error, runtime and performance across SNR, channel count and corrupted-channel fraction. On LargeST-SD use one fixed compact forecaster for raw data and every decomposition method; report MAE and RMSE at 15, 30 and 60 minutes. Use chronological splits and at least three seeds for learned methods.</w:t>
      </w:r>
    </w:p>
    <w:p>
      <w:pPr>
        <w:spacing w:before="0" w:after="100" w:line="254" w:lineRule="auto"/>
      </w:pPr>
      <w:r>
        <w:rPr>
          <w:b/>
          <w:color w:val="25313C"/>
        </w:rPr>
        <w:t xml:space="preserve">Practical notes. </w:t>
      </w:r>
      <w:r>
        <w:t>This is a high-risk MSc topic. In the first two weeks, recover known synthetic modes with classical MVMD, reproduce one UVMD result, and verify that one channel's output has a non-zero gradient with respect to another channel's input. Do not start LargeST until these tests pass. Regularise or constrain the channel weights and report their effective number so that apparent robustness is not produced by selecting one channel.</w:t>
      </w:r>
    </w:p>
    <w:p>
      <w:pPr>
        <w:pStyle w:val="Heading3"/>
      </w:pPr>
      <w:r>
        <w:t>Master scope</w:t>
      </w:r>
    </w:p>
    <w:p>
      <w:pPr>
        <w:spacing w:before="0" w:after="100" w:line="254" w:lineRule="auto"/>
      </w:pPr>
      <w:r>
        <w:rPr>
          <w:b/>
        </w:rPr>
        <w:t>Master research question.</w:t>
      </w:r>
      <w:r>
        <w:t xml:space="preserve"> </w:t>
      </w:r>
      <w:r>
        <w:rPr>
          <w:b/>
        </w:rPr>
        <w:t>Can a fixed-depth unrolled MVMD match converged MVMD, and can residual-based channel weighting improve shared-frequency recovery when some channels are corrupted?</w:t>
      </w:r>
    </w:p>
    <w:p>
      <w:pPr>
        <w:spacing w:before="0" w:after="100" w:line="254" w:lineRule="auto"/>
      </w:pPr>
      <w:r>
        <w:t>The minimum contribution is a correct coupled update, residual-based channel weighting, and an equal-weight ablation. Test unseen SNR levels and channel counts. LargeST-SD is a secondary test of whether decomposition improvements affect forecasting; it is not necessary to reproduce the full MAGN benchmark.</w:t>
      </w:r>
    </w:p>
    <w:p>
      <w:r>
        <w:br w:type="page"/>
      </w:r>
    </w:p>
    <w:p>
      <w:pPr>
        <w:pStyle w:val="Heading1"/>
      </w:pPr>
      <w:r>
        <w:t>Selection guidance</w:t>
      </w:r>
    </w:p>
    <w:p>
      <w:pPr>
        <w:pStyle w:val="Heading2"/>
      </w:pPr>
      <w:r>
        <w:t>Levels</w:t>
      </w:r>
    </w:p>
    <w:p>
      <w:pPr>
        <w:spacing w:before="0" w:after="100" w:line="254" w:lineRule="auto"/>
      </w:pPr>
      <w:r>
        <w:t xml:space="preserve">The standard Bachelor options are </w:t>
      </w:r>
      <w:r>
        <w:rPr>
          <w:b/>
        </w:rPr>
        <w:t>2.1–2.5</w:t>
      </w:r>
      <w:r>
        <w:t xml:space="preserve">, </w:t>
      </w:r>
      <w:r>
        <w:rPr>
          <w:b/>
        </w:rPr>
        <w:t>3.1</w:t>
      </w:r>
      <w:r>
        <w:t xml:space="preserve"> (UCI-HAR), </w:t>
      </w:r>
      <w:r>
        <w:rPr>
          <w:b/>
        </w:rPr>
        <w:t>3.3</w:t>
      </w:r>
      <w:r>
        <w:t xml:space="preserve"> (ETT) and </w:t>
      </w:r>
      <w:r>
        <w:rPr>
          <w:b/>
        </w:rPr>
        <w:t>4.1</w:t>
      </w:r>
      <w:r>
        <w:t xml:space="preserve"> (MVTec AD). Of these, </w:t>
      </w:r>
      <w:r>
        <w:rPr>
          <w:b/>
        </w:rPr>
        <w:t>2.4</w:t>
      </w:r>
      <w:r>
        <w:t xml:space="preserve"> (MovieLens) and </w:t>
      </w:r>
      <w:r>
        <w:rPr>
          <w:b/>
        </w:rPr>
        <w:t>3.1</w:t>
      </w:r>
      <w:r>
        <w:t xml:space="preserve"> are Bachelor-only; the others also support a Master scope.</w:t>
      </w:r>
    </w:p>
    <w:p>
      <w:pPr>
        <w:spacing w:before="0" w:after="100" w:line="254" w:lineRule="auto"/>
      </w:pPr>
      <w:r>
        <w:t xml:space="preserve">Projects </w:t>
      </w:r>
      <w:r>
        <w:rPr>
          <w:b/>
        </w:rPr>
        <w:t>3.2</w:t>
      </w:r>
      <w:r>
        <w:t xml:space="preserve">, </w:t>
      </w:r>
      <w:r>
        <w:rPr>
          <w:b/>
        </w:rPr>
        <w:t>3.4</w:t>
      </w:r>
      <w:r>
        <w:t xml:space="preserve">, </w:t>
      </w:r>
      <w:r>
        <w:rPr>
          <w:b/>
        </w:rPr>
        <w:t>3.5</w:t>
      </w:r>
      <w:r>
        <w:t xml:space="preserve"> and </w:t>
      </w:r>
      <w:r>
        <w:rPr>
          <w:b/>
        </w:rPr>
        <w:t>5.1</w:t>
      </w:r>
      <w:r>
        <w:t xml:space="preserve"> are intended primarily for Master students. Projects </w:t>
      </w:r>
      <w:r>
        <w:rPr>
          <w:b/>
        </w:rPr>
        <w:t>3.2</w:t>
      </w:r>
      <w:r>
        <w:t xml:space="preserve"> and </w:t>
      </w:r>
      <w:r>
        <w:rPr>
          <w:b/>
        </w:rPr>
        <w:t>3.4</w:t>
      </w:r>
      <w:r>
        <w:t xml:space="preserve"> list reduced Bachelor versions.</w:t>
      </w:r>
    </w:p>
    <w:p>
      <w:pPr>
        <w:spacing w:before="0" w:after="100" w:line="254" w:lineRule="auto"/>
      </w:pPr>
      <w:r>
        <w:t xml:space="preserve">All Category 1 projects are Master-preferred because the data are partner-supplied and the research task must be finalized after data access. Projects </w:t>
      </w:r>
      <w:r>
        <w:rPr>
          <w:b/>
        </w:rPr>
        <w:t>1.1</w:t>
      </w:r>
      <w:r>
        <w:t xml:space="preserve">, </w:t>
      </w:r>
      <w:r>
        <w:rPr>
          <w:b/>
        </w:rPr>
        <w:t>1.2</w:t>
      </w:r>
      <w:r>
        <w:t xml:space="preserve"> and </w:t>
      </w:r>
      <w:r>
        <w:rPr>
          <w:b/>
        </w:rPr>
        <w:t>1.3</w:t>
      </w:r>
      <w:r>
        <w:t xml:space="preserve"> can be offered at Bachelor level when a prepared dataset and a fixed target are supplied.</w:t>
      </w:r>
    </w:p>
    <w:p>
      <w:pPr>
        <w:pStyle w:val="Heading2"/>
      </w:pPr>
      <w:r>
        <w:t>Week-one feasibility checklist</w:t>
      </w:r>
    </w:p>
    <w:p>
      <w:pPr>
        <w:pStyle w:val="ListBullet"/>
        <w:spacing w:before="0" w:after="40" w:line="254" w:lineRule="auto"/>
      </w:pPr>
      <w:r>
        <w:t>Obtain access to the exact dataset and record its version, size, licence or data agreement, and release date or extraction period.</w:t>
      </w:r>
    </w:p>
    <w:p>
      <w:pPr>
        <w:pStyle w:val="ListBullet"/>
        <w:spacing w:before="0" w:after="40" w:line="254" w:lineRule="auto"/>
      </w:pPr>
      <w:r>
        <w:t>Run the simplest baseline from raw input to final metric on a small subset.</w:t>
      </w:r>
    </w:p>
    <w:p>
      <w:pPr>
        <w:pStyle w:val="ListBullet"/>
        <w:spacing w:before="0" w:after="40" w:line="254" w:lineRule="auto"/>
      </w:pPr>
      <w:r>
        <w:t>Identify the independent split unit and verify that it cannot cross train and test.</w:t>
      </w:r>
    </w:p>
    <w:p>
      <w:pPr>
        <w:pStyle w:val="ListBullet"/>
        <w:spacing w:before="0" w:after="40" w:line="254" w:lineRule="auto"/>
      </w:pPr>
      <w:r>
        <w:t>Count how many research repositories must be adapted. Adapting one is a Bachelor project. Adapting two is a Master project and is a common reason a project runs out of time with no results.</w:t>
      </w:r>
    </w:p>
    <w:p>
      <w:pPr>
        <w:pStyle w:val="ListBullet"/>
        <w:spacing w:before="0" w:after="40" w:line="254" w:lineRule="auto"/>
      </w:pPr>
      <w:r>
        <w:t>Check that the test set is large enough to separate the conditions being compared. If a grouped test fold contains only a few dozen units, confidence intervals may be wider than the effect under study.</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main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Comparing two published implementations and concluding something about the method when encoder, augmentation and prior tuning are confounded with the mechanism being tested.</w:t>
      </w:r>
    </w:p>
    <w:p>
      <w:pPr>
        <w:pStyle w:val="ListBullet"/>
        <w:spacing w:before="0" w:after="40" w:line="254" w:lineRule="auto"/>
      </w:pPr>
      <w:r>
        <w:t>Reporting a difference that the test set is too small to resolve.</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motivation, or when the benchmark is already saturated.</w:t>
      </w:r>
    </w:p>
    <w:p>
      <w:pPr>
        <w:pStyle w:val="ListBullet"/>
        <w:spacing w:before="0" w:after="40" w:line="254" w:lineRule="auto"/>
      </w:pPr>
      <w:r>
        <w:t>Omitting the random frozen encoder in a self-supervised study.</w:t>
      </w:r>
    </w:p>
    <w:p>
      <w:pPr>
        <w:pStyle w:val="ListBullet"/>
        <w:spacing w:before="0" w:after="40" w:line="254" w:lineRule="auto"/>
      </w:pPr>
      <w:r>
        <w:t>Expanding to a second dataset before the first pipeline and evaluation protocol are stable.</w:t>
      </w:r>
    </w:p>
    <w:p>
      <w:pPr>
        <w:spacing w:before="0" w:after="100" w:line="254" w:lineRule="auto"/>
      </w:pPr>
      <w:r>
        <w:t>Select one primary question, fix the evaluation protocol before extensive experimentation and report negative as well as positive results.</w:t>
      </w:r>
    </w:p>
    <w:p>
      <w:pPr>
        <w:spacing w:before="0" w:after="100" w:line="254" w:lineRule="auto"/>
      </w:pPr>
      <w:r>
        <w:t>Partner-supplied projects are grouped in Category 1. Allocation follows confirmation of data access, sample count, labels or target definition, and the permitted form of thesis reporting.</w:t>
      </w:r>
    </w:p>
    <w:sectPr w:rsidR="00FC693F" w:rsidRPr="0006063C" w:rsidSect="00034616">
      <w:headerReference w:type="default" r:id="rId9"/>
      <w:footerReference w:type="default" r:id="rId10"/>
      <w:headerReference w:type="first" r:id="rId11"/>
      <w:footerReference w:type="first" r:id="rId12"/>
      <w:pgSz w:w="11906" w:h="16838"/>
      <w:pgMar w:top="1020" w:right="1077" w:bottom="907"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Five project categories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arxiv.org/abs/2106.10466" TargetMode="External"/><Relationship Id="rId14" Type="http://schemas.openxmlformats.org/officeDocument/2006/relationships/hyperlink" Target="https://scikit-learn.org/stable/modules/clustering.html" TargetMode="External"/><Relationship Id="rId15" Type="http://schemas.openxmlformats.org/officeDocument/2006/relationships/hyperlink" Target="https://umap-learn.readthedocs.io/en/latest/" TargetMode="External"/><Relationship Id="rId16" Type="http://schemas.openxmlformats.org/officeDocument/2006/relationships/hyperlink" Target="https://arxiv.org/abs/2012.08791" TargetMode="External"/><Relationship Id="rId17" Type="http://schemas.openxmlformats.org/officeDocument/2006/relationships/hyperlink" Target="https://arxiv.org/abs/1909.04939" TargetMode="External"/><Relationship Id="rId18" Type="http://schemas.openxmlformats.org/officeDocument/2006/relationships/hyperlink" Target="https://www.sktime.net/en/stable/" TargetMode="External"/><Relationship Id="rId19" Type="http://schemas.openxmlformats.org/officeDocument/2006/relationships/hyperlink" Target="https://github.com/zhihanyue/ts2vec" TargetMode="External"/><Relationship Id="rId20" Type="http://schemas.openxmlformats.org/officeDocument/2006/relationships/hyperlink" Target="https://github.com/emadeldeen24/TS-TCC" TargetMode="External"/><Relationship Id="rId21" Type="http://schemas.openxmlformats.org/officeDocument/2006/relationships/hyperlink" Target="https://github.com/thuml/SimMTM" TargetMode="External"/><Relationship Id="rId22" Type="http://schemas.openxmlformats.org/officeDocument/2006/relationships/hyperlink" Target="https://arxiv.org/abs/1910.13051" TargetMode="External"/><Relationship Id="rId23" Type="http://schemas.openxmlformats.org/officeDocument/2006/relationships/hyperlink" Target="https://github.com/angus924/rocket" TargetMode="External"/><Relationship Id="rId24" Type="http://schemas.openxmlformats.org/officeDocument/2006/relationships/hyperlink" Target="https://github.com/hfawaz/InceptionTime" TargetMode="External"/><Relationship Id="rId25" Type="http://schemas.openxmlformats.org/officeDocument/2006/relationships/hyperlink" Target="https://nrehman-au.github.io/Student-projects/#shared-protocol-for-self-supervised-projects" TargetMode="External"/><Relationship Id="rId26" Type="http://schemas.openxmlformats.org/officeDocument/2006/relationships/hyperlink" Target="https://distill.pub/2021/gnn-intro/" TargetMode="External"/><Relationship Id="rId27" Type="http://schemas.openxmlformats.org/officeDocument/2006/relationships/hyperlink" Target="https://web.stanford.edu/class/cs224w/projects.html" TargetMode="External"/><Relationship Id="rId28" Type="http://schemas.openxmlformats.org/officeDocument/2006/relationships/hyperlink" Target="https://snap.stanford.edu/class/cs224w-2019/projects.html" TargetMode="External"/><Relationship Id="rId29" Type="http://schemas.openxmlformats.org/officeDocument/2006/relationships/hyperlink" Target="https://pytorch-geometric.readthedocs.io/en/latest/cheatsheet/data_cheatsheet.html" TargetMode="External"/><Relationship Id="rId30" Type="http://schemas.openxmlformats.org/officeDocument/2006/relationships/hyperlink" Target="https://ogb.stanford.edu/docs/home/" TargetMode="External"/><Relationship Id="rId31" Type="http://schemas.openxmlformats.org/officeDocument/2006/relationships/hyperlink" Target="https://snap.stanford.edu/data/" TargetMode="External"/><Relationship Id="rId32" Type="http://schemas.openxmlformats.org/officeDocument/2006/relationships/hyperlink" Target="https://tgb.complexdatalab.com/" TargetMode="External"/><Relationship Id="rId33" Type="http://schemas.openxmlformats.org/officeDocument/2006/relationships/hyperlink" Target="https://medium.com/stanford-cs224w/predicting-evolution-of-dynamic-graphs-7688eca1daf8" TargetMode="External"/><Relationship Id="rId34" Type="http://schemas.openxmlformats.org/officeDocument/2006/relationships/hyperlink" Target="https://medium.com/stanford-cs224w/predicting-water-quality-in-unmonitored-networks-with-rgcns-c72fdd177f0d" TargetMode="External"/><Relationship Id="rId35" Type="http://schemas.openxmlformats.org/officeDocument/2006/relationships/hyperlink" Target="https://medium.com/stanford-cs224w/are-you-for-real-cb0442af43a3" TargetMode="External"/><Relationship Id="rId36" Type="http://schemas.openxmlformats.org/officeDocument/2006/relationships/hyperlink" Target="https://medium.com/stanford-cs224w/applying-graph-ml-techniques-to-ethereum-nft-transactions-d4bde61b02f3" TargetMode="External"/><Relationship Id="rId37" Type="http://schemas.openxmlformats.org/officeDocument/2006/relationships/hyperlink" Target="https://catalog.data.gov/dataset/cmapss-jet-engine-simulated-data" TargetMode="External"/><Relationship Id="rId38" Type="http://schemas.openxmlformats.org/officeDocument/2006/relationships/hyperlink" Target="https://arxiv.org/abs/2401.15964" TargetMode="External"/><Relationship Id="rId39" Type="http://schemas.openxmlformats.org/officeDocument/2006/relationships/hyperlink" Target="https://github.com/Frank-Wang-oss/GNN_RUL_Benchmarking" TargetMode="External"/><Relationship Id="rId40" Type="http://schemas.openxmlformats.org/officeDocument/2006/relationships/hyperlink" Target="https://pytorch-geometric.readthedocs.io/" TargetMode="External"/><Relationship Id="rId41" Type="http://schemas.openxmlformats.org/officeDocument/2006/relationships/hyperlink" Target="https://github.com/liyaguang/DCRNN" TargetMode="External"/><Relationship Id="rId42" Type="http://schemas.openxmlformats.org/officeDocument/2006/relationships/hyperlink" Target="https://arxiv.org/abs/1906.00121" TargetMode="External"/><Relationship Id="rId43" Type="http://schemas.openxmlformats.org/officeDocument/2006/relationships/hyperlink" Target="https://github.com/nnzhan/Graph-WaveNet" TargetMode="External"/><Relationship Id="rId44" Type="http://schemas.openxmlformats.org/officeDocument/2006/relationships/hyperlink" Target="https://pytorch-geometric.readthedocs.io/en/latest/generated/torch_geometric.datasets.EllipticBitcoinDataset.html" TargetMode="External"/><Relationship Id="rId45" Type="http://schemas.openxmlformats.org/officeDocument/2006/relationships/hyperlink" Target="https://arxiv.org/abs/1908.02591" TargetMode="External"/><Relationship Id="rId46" Type="http://schemas.openxmlformats.org/officeDocument/2006/relationships/hyperlink" Target="https://grouplens.org/datasets/movielens/100k/" TargetMode="External"/><Relationship Id="rId47" Type="http://schemas.openxmlformats.org/officeDocument/2006/relationships/hyperlink" Target="https://arxiv.org/abs/2002.02126" TargetMode="External"/><Relationship Id="rId48" Type="http://schemas.openxmlformats.org/officeDocument/2006/relationships/hyperlink" Target="https://github.com/kuandeng/LightGCN" TargetMode="External"/><Relationship Id="rId49" Type="http://schemas.openxmlformats.org/officeDocument/2006/relationships/hyperlink" Target="https://ogb.stanford.edu/docs/graphprop/#ogbg-mol" TargetMode="External"/><Relationship Id="rId50" Type="http://schemas.openxmlformats.org/officeDocument/2006/relationships/hyperlink" Target="https://arxiv.org/abs/2005.00687" TargetMode="External"/><Relationship Id="rId51" Type="http://schemas.openxmlformats.org/officeDocument/2006/relationships/hyperlink" Target="https://www.rdkit.org/" TargetMode="External"/><Relationship Id="rId52" Type="http://schemas.openxmlformats.org/officeDocument/2006/relationships/hyperlink" Target="https://github.com/mims-harvard/TFC-pretraining" TargetMode="External"/><Relationship Id="rId53" Type="http://schemas.openxmlformats.org/officeDocument/2006/relationships/hyperlink" Target="https://archive.ics.uci.edu/" TargetMode="External"/><Relationship Id="rId54" Type="http://schemas.openxmlformats.org/officeDocument/2006/relationships/hyperlink" Target="https://physionet.org/" TargetMode="External"/><Relationship Id="rId55" Type="http://schemas.openxmlformats.org/officeDocument/2006/relationships/hyperlink" Target="https://www.timeseriesclassification.com/" TargetMode="External"/><Relationship Id="rId56" Type="http://schemas.openxmlformats.org/officeDocument/2006/relationships/hyperlink" Target="https://forecastingdata.org/" TargetMode="External"/><Relationship Id="rId57" Type="http://schemas.openxmlformats.org/officeDocument/2006/relationships/hyperlink" Target="https://zenodo.org/" TargetMode="External"/><Relationship Id="rId58" Type="http://schemas.openxmlformats.org/officeDocument/2006/relationships/hyperlink" Target="https://archive.ics.uci.edu/dataset/240/human+activity+recognition+using+smartphones" TargetMode="External"/><Relationship Id="rId59" Type="http://schemas.openxmlformats.org/officeDocument/2006/relationships/hyperlink" Target="https://arxiv.org/abs/2106.14112" TargetMode="External"/><Relationship Id="rId60" Type="http://schemas.openxmlformats.org/officeDocument/2006/relationships/hyperlink" Target="https://physionet.org/content/ptb-xl/1.0.3/" TargetMode="External"/><Relationship Id="rId61" Type="http://schemas.openxmlformats.org/officeDocument/2006/relationships/hyperlink" Target="https://arxiv.org/abs/2302.00861" TargetMode="External"/><Relationship Id="rId62" Type="http://schemas.openxmlformats.org/officeDocument/2006/relationships/hyperlink" Target="https://github.com/helme/ecg_ptbxl_benchmarking" TargetMode="External"/><Relationship Id="rId63" Type="http://schemas.openxmlformats.org/officeDocument/2006/relationships/hyperlink" Target="https://github.com/zhouhaoyi/ETDataset" TargetMode="External"/><Relationship Id="rId64" Type="http://schemas.openxmlformats.org/officeDocument/2006/relationships/hyperlink" Target="https://arxiv.org/abs/2202.01575" TargetMode="External"/><Relationship Id="rId65" Type="http://schemas.openxmlformats.org/officeDocument/2006/relationships/hyperlink" Target="https://github.com/salesforce/CoST" TargetMode="External"/><Relationship Id="rId66" Type="http://schemas.openxmlformats.org/officeDocument/2006/relationships/hyperlink" Target="https://github.com/cure-lab/LTSF-Linear" TargetMode="External"/><Relationship Id="rId67" Type="http://schemas.openxmlformats.org/officeDocument/2006/relationships/hyperlink" Target="https://arxiv.org/abs/2211.14730" TargetMode="External"/><Relationship Id="rId68" Type="http://schemas.openxmlformats.org/officeDocument/2006/relationships/hyperlink" Target="https://zenodo.org/records/15056919" TargetMode="External"/><Relationship Id="rId69" Type="http://schemas.openxmlformats.org/officeDocument/2006/relationships/hyperlink" Target="https://arxiv.org/abs/2503.16993" TargetMode="External"/><Relationship Id="rId70" Type="http://schemas.openxmlformats.org/officeDocument/2006/relationships/hyperlink" Target="https://github.com/tbrumue/heapo" TargetMode="External"/><Relationship Id="rId71" Type="http://schemas.openxmlformats.org/officeDocument/2006/relationships/hyperlink" Target="https://mb.uni-paderborn.de/en/kat/research/bearing-datacenter/data-sets-and-download" TargetMode="External"/><Relationship Id="rId72" Type="http://schemas.openxmlformats.org/officeDocument/2006/relationships/hyperlink" Target="https://arxiv.org/abs/2205.10803" TargetMode="External"/><Relationship Id="rId73" Type="http://schemas.openxmlformats.org/officeDocument/2006/relationships/hyperlink" Target="https://github.com/THUDM/GraphMAE" TargetMode="External"/><Relationship Id="rId74" Type="http://schemas.openxmlformats.org/officeDocument/2006/relationships/hyperlink" Target="https://groups.uni-paderborn.de/kat/BearingDataCenter/" TargetMode="External"/><Relationship Id="rId75" Type="http://schemas.openxmlformats.org/officeDocument/2006/relationships/hyperlink" Target="https://arxiv.org/abs/2104.14294" TargetMode="External"/><Relationship Id="rId76" Type="http://schemas.openxmlformats.org/officeDocument/2006/relationships/hyperlink" Target="https://arxiv.org/abs/2304.07193" TargetMode="External"/><Relationship Id="rId77" Type="http://schemas.openxmlformats.org/officeDocument/2006/relationships/hyperlink" Target="https://github.com/facebookresearch/dinov2" TargetMode="External"/><Relationship Id="rId78" Type="http://schemas.openxmlformats.org/officeDocument/2006/relationships/hyperlink" Target="https://arxiv.org/abs/2405.14529" TargetMode="External"/><Relationship Id="rId79" Type="http://schemas.openxmlformats.org/officeDocument/2006/relationships/hyperlink" Target="https://github.com/dammsi/AnomalyDINO" TargetMode="External"/><Relationship Id="rId80" Type="http://schemas.openxmlformats.org/officeDocument/2006/relationships/hyperlink" Target="https://arxiv.org/abs/2106.09685" TargetMode="External"/><Relationship Id="rId81" Type="http://schemas.openxmlformats.org/officeDocument/2006/relationships/hyperlink" Target="https://github.com/huggingface/peft" TargetMode="External"/><Relationship Id="rId82" Type="http://schemas.openxmlformats.org/officeDocument/2006/relationships/hyperlink" Target="https://arxiv.org/abs/2111.06377" TargetMode="External"/><Relationship Id="rId83" Type="http://schemas.openxmlformats.org/officeDocument/2006/relationships/hyperlink" Target="https://www.mvtec.com/research-teaching/datasets/mvtec-ad" TargetMode="External"/><Relationship Id="rId84" Type="http://schemas.openxmlformats.org/officeDocument/2006/relationships/hyperlink" Target="https://huggingface.co/models" TargetMode="External"/><Relationship Id="rId85" Type="http://schemas.openxmlformats.org/officeDocument/2006/relationships/hyperlink" Target="https://github.com/huggingface/pytorch-image-models" TargetMode="External"/><Relationship Id="rId86" Type="http://schemas.openxmlformats.org/officeDocument/2006/relationships/hyperlink" Target="https://www.mvtec.com/research-teaching/datasets/mvtec-ad-2" TargetMode="External"/><Relationship Id="rId87" Type="http://schemas.openxmlformats.org/officeDocument/2006/relationships/hyperlink" Target="https://arxiv.org/abs/2106.08265" TargetMode="External"/><Relationship Id="rId88" Type="http://schemas.openxmlformats.org/officeDocument/2006/relationships/hyperlink" Target="https://icml.cc/Conferences/2010/papers/449.pdf" TargetMode="External"/><Relationship Id="rId89" Type="http://schemas.openxmlformats.org/officeDocument/2006/relationships/hyperlink" Target="https://arxiv.org/abs/1912.10557" TargetMode="External"/><Relationship Id="rId90" Type="http://schemas.openxmlformats.org/officeDocument/2006/relationships/hyperlink" Target="http://papers.neurips.cc/paper/6406-deep-admm-net-for-compressive-sensing-mri.pdf" TargetMode="External"/><Relationship Id="rId91" Type="http://schemas.openxmlformats.org/officeDocument/2006/relationships/hyperlink" Target="https://doi.org/10.1109/TSP.2013.2288675" TargetMode="External"/><Relationship Id="rId92" Type="http://schemas.openxmlformats.org/officeDocument/2006/relationships/hyperlink" Target="https://github.com/vrcarva/vmdpy" TargetMode="External"/><Relationship Id="rId93" Type="http://schemas.openxmlformats.org/officeDocument/2006/relationships/hyperlink" Target="https://doi.org/10.1109/TSP.2019.2951223" TargetMode="External"/><Relationship Id="rId94" Type="http://schemas.openxmlformats.org/officeDocument/2006/relationships/hyperlink" Target="https://arxiv.org/abs/2509.00703" TargetMode="External"/><Relationship Id="rId95" Type="http://schemas.openxmlformats.org/officeDocument/2006/relationships/hyperlink" Target="https://github.com/OsamaAhmad369/MAGN" TargetMode="External"/><Relationship Id="rId96" Type="http://schemas.openxmlformats.org/officeDocument/2006/relationships/hyperlink" Target="https://github.com/liuxu77/LargeST" TargetMode="External"/><Relationship Id="rId97" Type="http://schemas.openxmlformats.org/officeDocument/2006/relationships/hyperlink" Target="https://www.mathworks.com/matlabcentral/fileexchange/72814-multivariate-variational-mode-decomposition" TargetMode="External"/><Relationship Id="rId98" Type="http://schemas.openxmlformats.org/officeDocument/2006/relationships/hyperlink" Target="https://github.com/Dmocrito/mv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Industrial projects, graph applications, self-supervised time-series learning, vision models and signal processing</dc:subject>
  <dc:creator>Department of Electrical and Computer Engineering, Aarhus University</dc:creator>
  <cp:keywords>GNN, graph machine learning, self-supervised learning, time series, DINO, industrial collaboration,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