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A7A616" w14:textId="77777777" w:rsidTr="00AC403D">
        <w:tc>
          <w:tcPr>
            <w:tcW w:w="3116" w:type="dxa"/>
            <w:tcMar>
              <w:top w:w="0" w:type="dxa"/>
              <w:left w:w="115" w:type="dxa"/>
              <w:bottom w:w="0" w:type="dxa"/>
              <w:right w:w="115" w:type="dxa"/>
            </w:tcMar>
          </w:tcPr>
          <w:p w14:paraId="54E41534" w14:textId="08770DB2" w:rsidR="009402F3" w:rsidRPr="00AC403D" w:rsidRDefault="005E0C4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New User Registration</w:t>
            </w:r>
          </w:p>
        </w:tc>
        <w:tc>
          <w:tcPr>
            <w:tcW w:w="3117" w:type="dxa"/>
            <w:tcMar>
              <w:top w:w="0" w:type="dxa"/>
              <w:left w:w="115" w:type="dxa"/>
              <w:bottom w:w="0" w:type="dxa"/>
              <w:right w:w="115" w:type="dxa"/>
            </w:tcMar>
          </w:tcPr>
          <w:p w14:paraId="4D0E5F81" w14:textId="24CC3B5B" w:rsidR="009402F3" w:rsidRPr="00AC403D" w:rsidRDefault="00F0070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There needs to be a way to create new users for the system to conform to the natural flow of students into and out of the college.</w:t>
            </w:r>
          </w:p>
        </w:tc>
        <w:tc>
          <w:tcPr>
            <w:tcW w:w="3117" w:type="dxa"/>
            <w:tcMar>
              <w:top w:w="0" w:type="dxa"/>
              <w:left w:w="115" w:type="dxa"/>
              <w:bottom w:w="0" w:type="dxa"/>
              <w:right w:w="115" w:type="dxa"/>
            </w:tcMar>
          </w:tcPr>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F42C47" w:rsidRPr="00AC403D" w14:paraId="6CE8FCA3" w14:textId="77777777" w:rsidTr="00AC403D">
        <w:tc>
          <w:tcPr>
            <w:tcW w:w="3116" w:type="dxa"/>
            <w:tcMar>
              <w:top w:w="0" w:type="dxa"/>
              <w:left w:w="115" w:type="dxa"/>
              <w:bottom w:w="0" w:type="dxa"/>
              <w:right w:w="115" w:type="dxa"/>
            </w:tcMar>
          </w:tcPr>
          <w:p w14:paraId="299B7601" w14:textId="2D894FD8"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 Course Management</w:t>
            </w:r>
          </w:p>
        </w:tc>
        <w:tc>
          <w:tcPr>
            <w:tcW w:w="3117" w:type="dxa"/>
            <w:tcMar>
              <w:top w:w="0" w:type="dxa"/>
              <w:left w:w="115" w:type="dxa"/>
              <w:bottom w:w="0" w:type="dxa"/>
              <w:right w:w="115" w:type="dxa"/>
            </w:tcMar>
          </w:tcPr>
          <w:p w14:paraId="4C0AE04D" w14:textId="337FF82E"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of a class need to have a way of interacting with the material provided in the LMS that is distinct from instructors and administrators.</w:t>
            </w:r>
          </w:p>
        </w:tc>
        <w:tc>
          <w:tcPr>
            <w:tcW w:w="3117" w:type="dxa"/>
            <w:vMerge w:val="restart"/>
            <w:tcMar>
              <w:top w:w="0" w:type="dxa"/>
              <w:left w:w="115" w:type="dxa"/>
              <w:bottom w:w="0" w:type="dxa"/>
              <w:right w:w="115" w:type="dxa"/>
            </w:tcMar>
          </w:tcPr>
          <w:p w14:paraId="0276E38B" w14:textId="6F460942" w:rsidR="00F42C47" w:rsidRDefault="00F42C47" w:rsidP="0053281D">
            <w:pPr>
              <w:suppressAutoHyphens/>
              <w:ind w:left="481" w:hanging="481"/>
              <w:contextualSpacing/>
              <w:rPr>
                <w:rFonts w:asciiTheme="majorHAnsi" w:hAnsiTheme="majorHAnsi" w:cstheme="majorHAnsi"/>
                <w:sz w:val="22"/>
                <w:szCs w:val="22"/>
              </w:rPr>
            </w:pPr>
            <w:r w:rsidRPr="00F42C47">
              <w:rPr>
                <w:rFonts w:asciiTheme="majorHAnsi" w:hAnsiTheme="majorHAnsi" w:cstheme="majorHAnsi"/>
                <w:sz w:val="22"/>
                <w:szCs w:val="22"/>
              </w:rPr>
              <w:t xml:space="preserve">Fenton, W. (2018, January 12). The best (LMS) learning management systems. PCMAG. Retrieved November 5, 2022, from </w:t>
            </w:r>
            <w:hyperlink r:id="rId8" w:history="1">
              <w:r w:rsidRPr="00C95076">
                <w:rPr>
                  <w:rStyle w:val="Hyperlink"/>
                  <w:rFonts w:asciiTheme="majorHAnsi" w:hAnsiTheme="majorHAnsi" w:cstheme="majorHAnsi"/>
                  <w:sz w:val="22"/>
                  <w:szCs w:val="22"/>
                </w:rPr>
                <w:t>https://www.pcmag.com/picks/the-best-lms-learning-management-systems</w:t>
              </w:r>
            </w:hyperlink>
          </w:p>
          <w:p w14:paraId="0E3CEFA4" w14:textId="77777777" w:rsidR="00F42C47" w:rsidRDefault="00F42C47" w:rsidP="0053281D">
            <w:pPr>
              <w:suppressAutoHyphens/>
              <w:ind w:left="481" w:hanging="481"/>
              <w:contextualSpacing/>
              <w:rPr>
                <w:rFonts w:asciiTheme="majorHAnsi" w:hAnsiTheme="majorHAnsi" w:cstheme="majorHAnsi"/>
                <w:sz w:val="22"/>
                <w:szCs w:val="22"/>
              </w:rPr>
            </w:pPr>
          </w:p>
          <w:p w14:paraId="0E44DCB9" w14:textId="48B57D9A" w:rsidR="00F42C47" w:rsidRDefault="00F42C47" w:rsidP="0053281D">
            <w:pPr>
              <w:suppressAutoHyphens/>
              <w:ind w:left="481" w:hanging="481"/>
              <w:contextualSpacing/>
              <w:rPr>
                <w:rFonts w:asciiTheme="majorHAnsi" w:hAnsiTheme="majorHAnsi" w:cstheme="majorHAnsi"/>
                <w:sz w:val="22"/>
                <w:szCs w:val="22"/>
              </w:rPr>
            </w:pPr>
            <w:r w:rsidRPr="00F42C47">
              <w:rPr>
                <w:rFonts w:asciiTheme="majorHAnsi" w:hAnsiTheme="majorHAnsi" w:cstheme="majorHAnsi"/>
                <w:sz w:val="22"/>
                <w:szCs w:val="22"/>
              </w:rPr>
              <w:t xml:space="preserve">Blackboard learn vs Canvas. Blackboard Learn vs CANVAS - 2022 Comparison - Software Advice. (n.d.). Retrieved November 5, 2022, from </w:t>
            </w:r>
            <w:hyperlink r:id="rId9" w:history="1">
              <w:r w:rsidRPr="00C95076">
                <w:rPr>
                  <w:rStyle w:val="Hyperlink"/>
                  <w:rFonts w:asciiTheme="majorHAnsi" w:hAnsiTheme="majorHAnsi" w:cstheme="majorHAnsi"/>
                  <w:sz w:val="22"/>
                  <w:szCs w:val="22"/>
                </w:rPr>
                <w:t>https://www.softwareadvice.com/lms/blackboard-learn-profile/vs/canvas-instructure/</w:t>
              </w:r>
            </w:hyperlink>
          </w:p>
          <w:p w14:paraId="29D47DCA" w14:textId="77777777" w:rsidR="00F42C47" w:rsidRDefault="00F42C47" w:rsidP="0053281D">
            <w:pPr>
              <w:suppressAutoHyphens/>
              <w:ind w:left="481" w:hanging="481"/>
              <w:contextualSpacing/>
              <w:rPr>
                <w:rFonts w:asciiTheme="majorHAnsi" w:hAnsiTheme="majorHAnsi" w:cstheme="majorHAnsi"/>
                <w:sz w:val="22"/>
                <w:szCs w:val="22"/>
              </w:rPr>
            </w:pPr>
          </w:p>
          <w:p w14:paraId="5A6F9598" w14:textId="520552EF" w:rsidR="00F42C47" w:rsidRDefault="0053281D" w:rsidP="0053281D">
            <w:pPr>
              <w:suppressAutoHyphens/>
              <w:ind w:left="481" w:hanging="481"/>
              <w:contextualSpacing/>
              <w:rPr>
                <w:rFonts w:asciiTheme="majorHAnsi" w:hAnsiTheme="majorHAnsi" w:cstheme="majorHAnsi"/>
                <w:sz w:val="22"/>
                <w:szCs w:val="22"/>
              </w:rPr>
            </w:pPr>
            <w:r w:rsidRPr="0053281D">
              <w:rPr>
                <w:rFonts w:asciiTheme="majorHAnsi" w:hAnsiTheme="majorHAnsi" w:cstheme="majorHAnsi"/>
                <w:sz w:val="22"/>
                <w:szCs w:val="22"/>
              </w:rPr>
              <w:t xml:space="preserve">Feature Guide for the Blackboard App. (n.d.). Retrieved November 5, 2022, from </w:t>
            </w:r>
            <w:hyperlink r:id="rId10" w:history="1">
              <w:r w:rsidRPr="00C95076">
                <w:rPr>
                  <w:rStyle w:val="Hyperlink"/>
                  <w:rFonts w:asciiTheme="majorHAnsi" w:hAnsiTheme="majorHAnsi" w:cstheme="majorHAnsi"/>
                  <w:sz w:val="22"/>
                  <w:szCs w:val="22"/>
                </w:rPr>
                <w:t>https://help.blackboard.com/Blackboard_App/Feature_Guide</w:t>
              </w:r>
            </w:hyperlink>
          </w:p>
          <w:p w14:paraId="584BBEF1" w14:textId="4BAA2C3A" w:rsidR="0053281D" w:rsidRPr="00AC403D" w:rsidRDefault="0053281D" w:rsidP="0053281D">
            <w:pPr>
              <w:suppressAutoHyphens/>
              <w:ind w:left="481" w:hanging="481"/>
              <w:contextualSpacing/>
              <w:rPr>
                <w:rFonts w:asciiTheme="majorHAnsi" w:hAnsiTheme="majorHAnsi" w:cstheme="majorHAnsi"/>
                <w:sz w:val="22"/>
                <w:szCs w:val="22"/>
              </w:rPr>
            </w:pPr>
          </w:p>
        </w:tc>
      </w:tr>
      <w:tr w:rsidR="00F42C47" w:rsidRPr="00AC403D" w14:paraId="44B5FFA6" w14:textId="77777777" w:rsidTr="00AC403D">
        <w:tc>
          <w:tcPr>
            <w:tcW w:w="3116" w:type="dxa"/>
            <w:tcMar>
              <w:top w:w="0" w:type="dxa"/>
              <w:left w:w="115" w:type="dxa"/>
              <w:bottom w:w="0" w:type="dxa"/>
              <w:right w:w="115" w:type="dxa"/>
            </w:tcMar>
          </w:tcPr>
          <w:p w14:paraId="4130F84B" w14:textId="231DDE48"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Instructor Course Management</w:t>
            </w:r>
          </w:p>
        </w:tc>
        <w:tc>
          <w:tcPr>
            <w:tcW w:w="3117" w:type="dxa"/>
            <w:tcMar>
              <w:top w:w="0" w:type="dxa"/>
              <w:left w:w="115" w:type="dxa"/>
              <w:bottom w:w="0" w:type="dxa"/>
              <w:right w:w="115" w:type="dxa"/>
            </w:tcMar>
          </w:tcPr>
          <w:p w14:paraId="0EB2317C" w14:textId="0AA5CC27"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Instructors</w:t>
            </w:r>
            <w:r>
              <w:rPr>
                <w:rFonts w:asciiTheme="majorHAnsi" w:hAnsiTheme="majorHAnsi" w:cstheme="majorHAnsi"/>
                <w:sz w:val="22"/>
                <w:szCs w:val="22"/>
              </w:rPr>
              <w:t xml:space="preserve"> of a class need to have a way of interacting with the material provided in the LMS that is distinct from </w:t>
            </w:r>
            <w:r>
              <w:rPr>
                <w:rFonts w:asciiTheme="majorHAnsi" w:hAnsiTheme="majorHAnsi" w:cstheme="majorHAnsi"/>
                <w:sz w:val="22"/>
                <w:szCs w:val="22"/>
              </w:rPr>
              <w:t>students</w:t>
            </w:r>
            <w:r>
              <w:rPr>
                <w:rFonts w:asciiTheme="majorHAnsi" w:hAnsiTheme="majorHAnsi" w:cstheme="majorHAnsi"/>
                <w:sz w:val="22"/>
                <w:szCs w:val="22"/>
              </w:rPr>
              <w:t xml:space="preserve"> and administrators.</w:t>
            </w:r>
          </w:p>
        </w:tc>
        <w:tc>
          <w:tcPr>
            <w:tcW w:w="3117" w:type="dxa"/>
            <w:vMerge/>
            <w:tcMar>
              <w:top w:w="0" w:type="dxa"/>
              <w:left w:w="115" w:type="dxa"/>
              <w:bottom w:w="0" w:type="dxa"/>
              <w:right w:w="115" w:type="dxa"/>
            </w:tcMar>
          </w:tcPr>
          <w:p w14:paraId="65212C86" w14:textId="77777777" w:rsidR="00F42C47" w:rsidRPr="00AC403D" w:rsidRDefault="00F42C47" w:rsidP="00AC403D">
            <w:pPr>
              <w:suppressAutoHyphens/>
              <w:contextualSpacing/>
              <w:rPr>
                <w:rFonts w:asciiTheme="majorHAnsi" w:hAnsiTheme="majorHAnsi" w:cstheme="majorHAnsi"/>
                <w:sz w:val="22"/>
                <w:szCs w:val="22"/>
              </w:rPr>
            </w:pPr>
          </w:p>
        </w:tc>
      </w:tr>
      <w:tr w:rsidR="00F42C47" w:rsidRPr="00AC403D" w14:paraId="42818656" w14:textId="77777777" w:rsidTr="00AC403D">
        <w:tc>
          <w:tcPr>
            <w:tcW w:w="3116" w:type="dxa"/>
            <w:tcMar>
              <w:top w:w="0" w:type="dxa"/>
              <w:left w:w="115" w:type="dxa"/>
              <w:bottom w:w="0" w:type="dxa"/>
              <w:right w:w="115" w:type="dxa"/>
            </w:tcMar>
          </w:tcPr>
          <w:p w14:paraId="151D5D85" w14:textId="62615AA5"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In-App Messaging Option</w:t>
            </w:r>
          </w:p>
        </w:tc>
        <w:tc>
          <w:tcPr>
            <w:tcW w:w="3117" w:type="dxa"/>
            <w:tcMar>
              <w:top w:w="0" w:type="dxa"/>
              <w:left w:w="115" w:type="dxa"/>
              <w:bottom w:w="0" w:type="dxa"/>
              <w:right w:w="115" w:type="dxa"/>
            </w:tcMar>
          </w:tcPr>
          <w:p w14:paraId="22998578" w14:textId="6FD46C5E"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Seamless methods of communication are helpful for the student’s learning experience. Providing and encouraging the use of a standard prevents students having to rely on third-party software not controlled by the university.</w:t>
            </w:r>
          </w:p>
        </w:tc>
        <w:tc>
          <w:tcPr>
            <w:tcW w:w="3117" w:type="dxa"/>
            <w:vMerge/>
            <w:tcMar>
              <w:top w:w="0" w:type="dxa"/>
              <w:left w:w="115" w:type="dxa"/>
              <w:bottom w:w="0" w:type="dxa"/>
              <w:right w:w="115" w:type="dxa"/>
            </w:tcMar>
          </w:tcPr>
          <w:p w14:paraId="76A21160" w14:textId="77777777" w:rsidR="00F42C47" w:rsidRPr="00AC403D" w:rsidRDefault="00F42C47" w:rsidP="00AC403D">
            <w:pPr>
              <w:suppressAutoHyphens/>
              <w:contextualSpacing/>
              <w:rPr>
                <w:rFonts w:asciiTheme="majorHAnsi" w:hAnsiTheme="majorHAnsi" w:cstheme="majorHAnsi"/>
                <w:sz w:val="22"/>
                <w:szCs w:val="22"/>
              </w:rPr>
            </w:pPr>
          </w:p>
        </w:tc>
      </w:tr>
      <w:tr w:rsidR="00F42C47" w:rsidRPr="00AC403D" w14:paraId="1F31ED43" w14:textId="77777777" w:rsidTr="00AC403D">
        <w:tc>
          <w:tcPr>
            <w:tcW w:w="3116" w:type="dxa"/>
            <w:tcMar>
              <w:top w:w="0" w:type="dxa"/>
              <w:left w:w="115" w:type="dxa"/>
              <w:bottom w:w="0" w:type="dxa"/>
              <w:right w:w="115" w:type="dxa"/>
            </w:tcMar>
          </w:tcPr>
          <w:p w14:paraId="7E0B71D2" w14:textId="4F7A205E"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Seamless Tool Integration</w:t>
            </w:r>
          </w:p>
        </w:tc>
        <w:tc>
          <w:tcPr>
            <w:tcW w:w="3117" w:type="dxa"/>
            <w:tcMar>
              <w:top w:w="0" w:type="dxa"/>
              <w:left w:w="115" w:type="dxa"/>
              <w:bottom w:w="0" w:type="dxa"/>
              <w:right w:w="115" w:type="dxa"/>
            </w:tcMar>
          </w:tcPr>
          <w:p w14:paraId="181A8AAA" w14:textId="045CD880"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There will be needs for different tools based on the class subject. Integration is important for classroom engagement, as it cuts down on the amount of time students and instructors need for troubleshooting.</w:t>
            </w:r>
          </w:p>
        </w:tc>
        <w:tc>
          <w:tcPr>
            <w:tcW w:w="3117" w:type="dxa"/>
            <w:vMerge/>
            <w:tcMar>
              <w:top w:w="0" w:type="dxa"/>
              <w:left w:w="115" w:type="dxa"/>
              <w:bottom w:w="0" w:type="dxa"/>
              <w:right w:w="115" w:type="dxa"/>
            </w:tcMar>
          </w:tcPr>
          <w:p w14:paraId="4D465B85" w14:textId="77777777" w:rsidR="00F42C47" w:rsidRPr="00AC403D" w:rsidRDefault="00F42C47" w:rsidP="00AC403D">
            <w:pPr>
              <w:suppressAutoHyphens/>
              <w:contextualSpacing/>
              <w:rPr>
                <w:rFonts w:asciiTheme="majorHAnsi" w:hAnsiTheme="majorHAnsi" w:cstheme="majorHAnsi"/>
                <w:sz w:val="22"/>
                <w:szCs w:val="22"/>
              </w:rPr>
            </w:pPr>
          </w:p>
        </w:tc>
      </w:tr>
      <w:tr w:rsidR="00F42C47" w:rsidRPr="00AC403D" w14:paraId="6ACD1000" w14:textId="77777777" w:rsidTr="00AC403D">
        <w:tc>
          <w:tcPr>
            <w:tcW w:w="3116" w:type="dxa"/>
            <w:tcMar>
              <w:top w:w="0" w:type="dxa"/>
              <w:left w:w="115" w:type="dxa"/>
              <w:bottom w:w="0" w:type="dxa"/>
              <w:right w:w="115" w:type="dxa"/>
            </w:tcMar>
          </w:tcPr>
          <w:p w14:paraId="398694CF" w14:textId="71FA8568" w:rsidR="00F42C47"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Shared &amp; Personal Calendars</w:t>
            </w:r>
          </w:p>
        </w:tc>
        <w:tc>
          <w:tcPr>
            <w:tcW w:w="3117" w:type="dxa"/>
            <w:tcMar>
              <w:top w:w="0" w:type="dxa"/>
              <w:left w:w="115" w:type="dxa"/>
              <w:bottom w:w="0" w:type="dxa"/>
              <w:right w:w="115" w:type="dxa"/>
            </w:tcMar>
          </w:tcPr>
          <w:p w14:paraId="7B079BFE" w14:textId="3A46A100" w:rsidR="00F42C47"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Calendars that show deadlines that pertain to a particular student, as well as pertaining to a particular class, and the university as a whole need to be easy to access.</w:t>
            </w:r>
          </w:p>
        </w:tc>
        <w:tc>
          <w:tcPr>
            <w:tcW w:w="3117" w:type="dxa"/>
            <w:vMerge/>
            <w:tcMar>
              <w:top w:w="0" w:type="dxa"/>
              <w:left w:w="115" w:type="dxa"/>
              <w:bottom w:w="0" w:type="dxa"/>
              <w:right w:w="115" w:type="dxa"/>
            </w:tcMar>
          </w:tcPr>
          <w:p w14:paraId="6DF85475" w14:textId="77777777" w:rsidR="00F42C47" w:rsidRPr="00AC403D" w:rsidRDefault="00F42C47"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7E6984B" w14:textId="77777777" w:rsidR="0053281D" w:rsidRDefault="0053281D">
      <w:pPr>
        <w:rPr>
          <w:rFonts w:asciiTheme="majorHAnsi" w:hAnsiTheme="majorHAnsi" w:cstheme="majorHAnsi"/>
          <w:b/>
          <w:sz w:val="22"/>
          <w:szCs w:val="22"/>
        </w:rPr>
      </w:pPr>
      <w:r>
        <w:br w:type="page"/>
      </w:r>
    </w:p>
    <w:p w14:paraId="01CB0908" w14:textId="36EEF2D5" w:rsidR="009402F3" w:rsidRDefault="003D3B64" w:rsidP="00AC403D">
      <w:pPr>
        <w:pStyle w:val="Heading2"/>
      </w:pPr>
      <w:r>
        <w:lastRenderedPageBreak/>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9402F3" w:rsidRPr="00AC403D" w14:paraId="36A57104" w14:textId="77777777" w:rsidTr="0053281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2819"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415"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70153753" w14:textId="77777777" w:rsidTr="0053281D">
        <w:tc>
          <w:tcPr>
            <w:tcW w:w="3116" w:type="dxa"/>
            <w:tcMar>
              <w:top w:w="0" w:type="dxa"/>
              <w:left w:w="115" w:type="dxa"/>
              <w:bottom w:w="0" w:type="dxa"/>
              <w:right w:w="115" w:type="dxa"/>
            </w:tcMar>
          </w:tcPr>
          <w:p w14:paraId="311B8E6D" w14:textId="6FD4D8D2"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5E0C43">
              <w:rPr>
                <w:rFonts w:asciiTheme="majorHAnsi" w:hAnsiTheme="majorHAnsi" w:cstheme="majorHAnsi"/>
                <w:sz w:val="22"/>
                <w:szCs w:val="22"/>
              </w:rPr>
              <w:t>Operational</w:t>
            </w:r>
            <w:r>
              <w:rPr>
                <w:rFonts w:asciiTheme="majorHAnsi" w:hAnsiTheme="majorHAnsi" w:cstheme="majorHAnsi"/>
                <w:sz w:val="22"/>
                <w:szCs w:val="22"/>
              </w:rPr>
              <w:t xml:space="preserve">) </w:t>
            </w:r>
            <w:r w:rsidR="00933415">
              <w:rPr>
                <w:rFonts w:asciiTheme="majorHAnsi" w:hAnsiTheme="majorHAnsi" w:cstheme="majorHAnsi"/>
                <w:sz w:val="22"/>
                <w:szCs w:val="22"/>
              </w:rPr>
              <w:t>LMS is usable across different platforms</w:t>
            </w:r>
          </w:p>
        </w:tc>
        <w:tc>
          <w:tcPr>
            <w:tcW w:w="2819" w:type="dxa"/>
            <w:tcMar>
              <w:top w:w="0" w:type="dxa"/>
              <w:left w:w="115" w:type="dxa"/>
              <w:bottom w:w="0" w:type="dxa"/>
              <w:right w:w="115" w:type="dxa"/>
            </w:tcMar>
          </w:tcPr>
          <w:p w14:paraId="0933C883" w14:textId="72502E50" w:rsidR="009402F3"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We make no such assumption that students and instructors will use the same device, browser, and operating system.</w:t>
            </w:r>
          </w:p>
        </w:tc>
        <w:tc>
          <w:tcPr>
            <w:tcW w:w="3415" w:type="dxa"/>
            <w:tcMar>
              <w:top w:w="0" w:type="dxa"/>
              <w:left w:w="115" w:type="dxa"/>
              <w:bottom w:w="0" w:type="dxa"/>
              <w:right w:w="115" w:type="dxa"/>
            </w:tcMar>
          </w:tcPr>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53281D">
        <w:tc>
          <w:tcPr>
            <w:tcW w:w="3116" w:type="dxa"/>
            <w:tcMar>
              <w:top w:w="0" w:type="dxa"/>
              <w:left w:w="115" w:type="dxa"/>
              <w:bottom w:w="0" w:type="dxa"/>
              <w:right w:w="115" w:type="dxa"/>
            </w:tcMar>
          </w:tcPr>
          <w:p w14:paraId="78F86F19" w14:textId="068A1D6E" w:rsidR="009402F3" w:rsidRPr="00AC403D" w:rsidRDefault="000F000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33415">
              <w:rPr>
                <w:rFonts w:asciiTheme="majorHAnsi" w:hAnsiTheme="majorHAnsi" w:cstheme="majorHAnsi"/>
                <w:sz w:val="22"/>
                <w:szCs w:val="22"/>
              </w:rPr>
              <w:t>Operational</w:t>
            </w:r>
            <w:r>
              <w:rPr>
                <w:rFonts w:asciiTheme="majorHAnsi" w:hAnsiTheme="majorHAnsi" w:cstheme="majorHAnsi"/>
                <w:sz w:val="22"/>
                <w:szCs w:val="22"/>
              </w:rPr>
              <w:t>)</w:t>
            </w:r>
            <w:r w:rsidR="005E0C43">
              <w:rPr>
                <w:rFonts w:asciiTheme="majorHAnsi" w:hAnsiTheme="majorHAnsi" w:cstheme="majorHAnsi"/>
                <w:sz w:val="22"/>
                <w:szCs w:val="22"/>
              </w:rPr>
              <w:t xml:space="preserve"> </w:t>
            </w:r>
            <w:r w:rsidR="00933415">
              <w:rPr>
                <w:rFonts w:asciiTheme="majorHAnsi" w:hAnsiTheme="majorHAnsi" w:cstheme="majorHAnsi"/>
                <w:sz w:val="22"/>
                <w:szCs w:val="22"/>
              </w:rPr>
              <w:t>LMS is cloud based</w:t>
            </w:r>
          </w:p>
        </w:tc>
        <w:tc>
          <w:tcPr>
            <w:tcW w:w="2819" w:type="dxa"/>
            <w:tcMar>
              <w:top w:w="0" w:type="dxa"/>
              <w:left w:w="115" w:type="dxa"/>
              <w:bottom w:w="0" w:type="dxa"/>
              <w:right w:w="115" w:type="dxa"/>
            </w:tcMar>
          </w:tcPr>
          <w:p w14:paraId="6DCB0D56" w14:textId="0BBC425A" w:rsidR="009402F3"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Cloud based is cheaper than native hosting and easier to update.</w:t>
            </w:r>
          </w:p>
        </w:tc>
        <w:tc>
          <w:tcPr>
            <w:tcW w:w="3415" w:type="dxa"/>
            <w:tcMar>
              <w:top w:w="0" w:type="dxa"/>
              <w:left w:w="115" w:type="dxa"/>
              <w:bottom w:w="0" w:type="dxa"/>
              <w:right w:w="115" w:type="dxa"/>
            </w:tcMar>
          </w:tcPr>
          <w:p w14:paraId="21CB94CE" w14:textId="1F6B67D0" w:rsidR="009402F3" w:rsidRPr="00AC403D" w:rsidRDefault="00F42C47" w:rsidP="00F42C47">
            <w:pPr>
              <w:suppressAutoHyphens/>
              <w:ind w:left="481" w:hanging="481"/>
              <w:contextualSpacing/>
              <w:rPr>
                <w:rFonts w:asciiTheme="majorHAnsi" w:hAnsiTheme="majorHAnsi" w:cstheme="majorHAnsi"/>
                <w:sz w:val="22"/>
                <w:szCs w:val="22"/>
              </w:rPr>
            </w:pPr>
            <w:r w:rsidRPr="00F42C47">
              <w:rPr>
                <w:rFonts w:asciiTheme="majorHAnsi" w:hAnsiTheme="majorHAnsi" w:cstheme="majorHAnsi"/>
                <w:sz w:val="22"/>
                <w:szCs w:val="22"/>
              </w:rPr>
              <w:t>What does cloud-native mean vs. cloud-hosted? Engineering.com. (n.d.). Retrieved November 5, 2022, from https://www.engineering.com/story/what-does-cloud-native-mean-vs-cloud-hosted</w:t>
            </w:r>
          </w:p>
        </w:tc>
      </w:tr>
      <w:tr w:rsidR="009402F3" w:rsidRPr="00AC403D" w14:paraId="231DB19C" w14:textId="77777777" w:rsidTr="0053281D">
        <w:tc>
          <w:tcPr>
            <w:tcW w:w="3116" w:type="dxa"/>
            <w:tcMar>
              <w:top w:w="0" w:type="dxa"/>
              <w:left w:w="115" w:type="dxa"/>
              <w:bottom w:w="0" w:type="dxa"/>
              <w:right w:w="115" w:type="dxa"/>
            </w:tcMar>
          </w:tcPr>
          <w:p w14:paraId="34353B68" w14:textId="6BDB71EE"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5E0C43">
              <w:rPr>
                <w:rFonts w:asciiTheme="majorHAnsi" w:hAnsiTheme="majorHAnsi" w:cstheme="majorHAnsi"/>
                <w:sz w:val="22"/>
                <w:szCs w:val="22"/>
              </w:rPr>
              <w:t>Performance</w:t>
            </w:r>
            <w:r>
              <w:rPr>
                <w:rFonts w:asciiTheme="majorHAnsi" w:hAnsiTheme="majorHAnsi" w:cstheme="majorHAnsi"/>
                <w:sz w:val="22"/>
                <w:szCs w:val="22"/>
              </w:rPr>
              <w:t xml:space="preserve">) </w:t>
            </w:r>
            <w:r w:rsidR="00933415">
              <w:rPr>
                <w:rFonts w:asciiTheme="majorHAnsi" w:hAnsiTheme="majorHAnsi" w:cstheme="majorHAnsi"/>
                <w:sz w:val="22"/>
                <w:szCs w:val="22"/>
              </w:rPr>
              <w:t>UI is intuitive and simple to navigate</w:t>
            </w:r>
          </w:p>
        </w:tc>
        <w:tc>
          <w:tcPr>
            <w:tcW w:w="2819" w:type="dxa"/>
            <w:tcMar>
              <w:top w:w="0" w:type="dxa"/>
              <w:left w:w="115" w:type="dxa"/>
              <w:bottom w:w="0" w:type="dxa"/>
              <w:right w:w="115" w:type="dxa"/>
            </w:tcMar>
          </w:tcPr>
          <w:p w14:paraId="7934CF08" w14:textId="3FF252B3" w:rsidR="009402F3" w:rsidRPr="00AC403D" w:rsidRDefault="00F42C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interface should follow the Eight Golden Rules at minimum.</w:t>
            </w:r>
          </w:p>
        </w:tc>
        <w:tc>
          <w:tcPr>
            <w:tcW w:w="3415" w:type="dxa"/>
            <w:tcMar>
              <w:top w:w="0" w:type="dxa"/>
              <w:left w:w="115" w:type="dxa"/>
              <w:bottom w:w="0" w:type="dxa"/>
              <w:right w:w="115" w:type="dxa"/>
            </w:tcMar>
          </w:tcPr>
          <w:p w14:paraId="79F76655" w14:textId="4446650F" w:rsidR="009402F3" w:rsidRPr="00AC403D" w:rsidRDefault="00BD6584" w:rsidP="00BD6584">
            <w:pPr>
              <w:suppressAutoHyphens/>
              <w:ind w:left="481" w:hanging="450"/>
              <w:contextualSpacing/>
              <w:rPr>
                <w:rFonts w:asciiTheme="majorHAnsi" w:hAnsiTheme="majorHAnsi" w:cstheme="majorHAnsi"/>
                <w:sz w:val="22"/>
                <w:szCs w:val="22"/>
              </w:rPr>
            </w:pPr>
            <w:proofErr w:type="spellStart"/>
            <w:r w:rsidRPr="00BD6584">
              <w:rPr>
                <w:rFonts w:asciiTheme="majorHAnsi" w:hAnsiTheme="majorHAnsi" w:cstheme="majorHAnsi"/>
                <w:sz w:val="22"/>
                <w:szCs w:val="22"/>
              </w:rPr>
              <w:t>Shneiderman</w:t>
            </w:r>
            <w:proofErr w:type="spellEnd"/>
            <w:r w:rsidRPr="00BD6584">
              <w:rPr>
                <w:rFonts w:asciiTheme="majorHAnsi" w:hAnsiTheme="majorHAnsi" w:cstheme="majorHAnsi"/>
                <w:sz w:val="22"/>
                <w:szCs w:val="22"/>
              </w:rPr>
              <w:t>, B. (n.d.). The Eight Golden Rules of Interface Design [web log]. Retrieved November 5, 2022, from https://www.cs.umd.edu/users/ben/goldenrules.html.</w:t>
            </w:r>
          </w:p>
        </w:tc>
      </w:tr>
      <w:tr w:rsidR="004D7DBB" w:rsidRPr="00AC403D" w14:paraId="632AD496" w14:textId="77777777" w:rsidTr="0053281D">
        <w:tc>
          <w:tcPr>
            <w:tcW w:w="3116" w:type="dxa"/>
            <w:tcMar>
              <w:top w:w="0" w:type="dxa"/>
              <w:left w:w="115" w:type="dxa"/>
              <w:bottom w:w="0" w:type="dxa"/>
              <w:right w:w="115" w:type="dxa"/>
            </w:tcMar>
          </w:tcPr>
          <w:p w14:paraId="45336259" w14:textId="22DB8DC2" w:rsidR="004D7DBB" w:rsidRPr="00AC403D" w:rsidRDefault="004D7DBB" w:rsidP="004D7DBB">
            <w:pPr>
              <w:suppressAutoHyphens/>
              <w:contextualSpacing/>
              <w:rPr>
                <w:rFonts w:asciiTheme="majorHAnsi" w:hAnsiTheme="majorHAnsi" w:cstheme="majorHAnsi"/>
                <w:sz w:val="22"/>
                <w:szCs w:val="22"/>
              </w:rPr>
            </w:pPr>
            <w:r>
              <w:rPr>
                <w:rFonts w:asciiTheme="majorHAnsi" w:hAnsiTheme="majorHAnsi" w:cstheme="majorHAnsi"/>
                <w:sz w:val="22"/>
                <w:szCs w:val="22"/>
              </w:rPr>
              <w:t>(Security) Establish hierarchy of users</w:t>
            </w:r>
          </w:p>
        </w:tc>
        <w:tc>
          <w:tcPr>
            <w:tcW w:w="2819" w:type="dxa"/>
            <w:tcMar>
              <w:top w:w="0" w:type="dxa"/>
              <w:left w:w="115" w:type="dxa"/>
              <w:bottom w:w="0" w:type="dxa"/>
              <w:right w:w="115" w:type="dxa"/>
            </w:tcMar>
          </w:tcPr>
          <w:p w14:paraId="5F50BE68" w14:textId="4DF07FE4" w:rsidR="004D7DBB" w:rsidRPr="00AC403D" w:rsidRDefault="00F42C47" w:rsidP="004D7DB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will be a variety of different users, such as but not limited </w:t>
            </w:r>
            <w:proofErr w:type="gramStart"/>
            <w:r>
              <w:rPr>
                <w:rFonts w:asciiTheme="majorHAnsi" w:hAnsiTheme="majorHAnsi" w:cstheme="majorHAnsi"/>
                <w:sz w:val="22"/>
                <w:szCs w:val="22"/>
              </w:rPr>
              <w:t>to:</w:t>
            </w:r>
            <w:proofErr w:type="gramEnd"/>
            <w:r>
              <w:rPr>
                <w:rFonts w:asciiTheme="majorHAnsi" w:hAnsiTheme="majorHAnsi" w:cstheme="majorHAnsi"/>
                <w:sz w:val="22"/>
                <w:szCs w:val="22"/>
              </w:rPr>
              <w:t xml:space="preserve"> administrator, help desk analyst, instructor, student, teaching assistant. Each of these users will have different access to different things, as they will have different needs.</w:t>
            </w:r>
          </w:p>
        </w:tc>
        <w:tc>
          <w:tcPr>
            <w:tcW w:w="3415" w:type="dxa"/>
            <w:tcMar>
              <w:top w:w="0" w:type="dxa"/>
              <w:left w:w="115" w:type="dxa"/>
              <w:bottom w:w="0" w:type="dxa"/>
              <w:right w:w="115" w:type="dxa"/>
            </w:tcMar>
          </w:tcPr>
          <w:p w14:paraId="37A57FF6" w14:textId="77777777" w:rsidR="004D7DBB" w:rsidRPr="00AC403D" w:rsidRDefault="004D7DBB" w:rsidP="004D7DBB">
            <w:pPr>
              <w:suppressAutoHyphens/>
              <w:contextualSpacing/>
              <w:rPr>
                <w:rFonts w:asciiTheme="majorHAnsi" w:hAnsiTheme="majorHAnsi" w:cstheme="majorHAnsi"/>
                <w:sz w:val="22"/>
                <w:szCs w:val="22"/>
              </w:rPr>
            </w:pPr>
          </w:p>
        </w:tc>
      </w:tr>
      <w:tr w:rsidR="004D7DBB" w:rsidRPr="00AC403D" w14:paraId="3C226E09" w14:textId="77777777" w:rsidTr="0053281D">
        <w:tc>
          <w:tcPr>
            <w:tcW w:w="3116" w:type="dxa"/>
            <w:tcMar>
              <w:top w:w="0" w:type="dxa"/>
              <w:left w:w="115" w:type="dxa"/>
              <w:bottom w:w="0" w:type="dxa"/>
              <w:right w:w="115" w:type="dxa"/>
            </w:tcMar>
          </w:tcPr>
          <w:p w14:paraId="7D2A5E9F" w14:textId="1671609C" w:rsidR="004D7DBB" w:rsidRPr="00AC403D" w:rsidRDefault="004D7DBB" w:rsidP="004D7DB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(Security) </w:t>
            </w:r>
            <w:r w:rsidR="00275D28">
              <w:rPr>
                <w:rFonts w:asciiTheme="majorHAnsi" w:hAnsiTheme="majorHAnsi" w:cstheme="majorHAnsi"/>
                <w:sz w:val="22"/>
                <w:szCs w:val="22"/>
              </w:rPr>
              <w:t>Single Sign On</w:t>
            </w:r>
          </w:p>
        </w:tc>
        <w:tc>
          <w:tcPr>
            <w:tcW w:w="2819" w:type="dxa"/>
            <w:tcMar>
              <w:top w:w="0" w:type="dxa"/>
              <w:left w:w="115" w:type="dxa"/>
              <w:bottom w:w="0" w:type="dxa"/>
              <w:right w:w="115" w:type="dxa"/>
            </w:tcMar>
          </w:tcPr>
          <w:p w14:paraId="5D7CFBB0" w14:textId="01386F69" w:rsidR="004D7DBB" w:rsidRPr="00AC403D" w:rsidRDefault="000A3893" w:rsidP="004D7DBB">
            <w:pPr>
              <w:suppressAutoHyphens/>
              <w:contextualSpacing/>
              <w:rPr>
                <w:rFonts w:asciiTheme="majorHAnsi" w:hAnsiTheme="majorHAnsi" w:cstheme="majorHAnsi"/>
                <w:sz w:val="22"/>
                <w:szCs w:val="22"/>
              </w:rPr>
            </w:pPr>
            <w:r>
              <w:rPr>
                <w:rFonts w:asciiTheme="majorHAnsi" w:hAnsiTheme="majorHAnsi" w:cstheme="majorHAnsi"/>
                <w:sz w:val="22"/>
                <w:szCs w:val="22"/>
              </w:rPr>
              <w:t>SSO promotes learning enrichment by streamlining the use of third-party tools. Instructors spend more time teaching the material and less time troubleshooting login issues.</w:t>
            </w:r>
          </w:p>
        </w:tc>
        <w:tc>
          <w:tcPr>
            <w:tcW w:w="3415" w:type="dxa"/>
            <w:tcMar>
              <w:top w:w="0" w:type="dxa"/>
              <w:left w:w="115" w:type="dxa"/>
              <w:bottom w:w="0" w:type="dxa"/>
              <w:right w:w="115" w:type="dxa"/>
            </w:tcMar>
          </w:tcPr>
          <w:p w14:paraId="1ED06794" w14:textId="3D495BE4" w:rsidR="004D7DBB" w:rsidRPr="00AC403D" w:rsidRDefault="000A3893" w:rsidP="000A3893">
            <w:pPr>
              <w:suppressAutoHyphens/>
              <w:ind w:left="481" w:hanging="481"/>
              <w:contextualSpacing/>
              <w:rPr>
                <w:rFonts w:asciiTheme="majorHAnsi" w:hAnsiTheme="majorHAnsi" w:cstheme="majorHAnsi"/>
                <w:sz w:val="22"/>
                <w:szCs w:val="22"/>
              </w:rPr>
            </w:pPr>
            <w:r>
              <w:t xml:space="preserve">Nadel, B. (2017). When Software COOPERATES. </w:t>
            </w:r>
            <w:r>
              <w:rPr>
                <w:i/>
                <w:iCs/>
              </w:rPr>
              <w:t>District Administration</w:t>
            </w:r>
            <w:r>
              <w:t xml:space="preserve">, </w:t>
            </w:r>
            <w:r>
              <w:rPr>
                <w:i/>
                <w:iCs/>
              </w:rPr>
              <w:t>53</w:t>
            </w:r>
            <w:r>
              <w:t>(8), 43–45.</w:t>
            </w:r>
            <w:r>
              <w:t xml:space="preserve"> </w:t>
            </w:r>
          </w:p>
        </w:tc>
      </w:tr>
      <w:tr w:rsidR="000F0008" w:rsidRPr="00AC403D" w14:paraId="4939EFFA" w14:textId="77777777" w:rsidTr="0053281D">
        <w:tc>
          <w:tcPr>
            <w:tcW w:w="3116" w:type="dxa"/>
            <w:tcMar>
              <w:top w:w="0" w:type="dxa"/>
              <w:left w:w="115" w:type="dxa"/>
              <w:bottom w:w="0" w:type="dxa"/>
              <w:right w:w="115" w:type="dxa"/>
            </w:tcMar>
          </w:tcPr>
          <w:p w14:paraId="00F20694" w14:textId="6C6407A6" w:rsidR="000F0008" w:rsidRDefault="000F0008" w:rsidP="000F000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(Political) Grade </w:t>
            </w:r>
            <w:r w:rsidR="00517A3E">
              <w:rPr>
                <w:rFonts w:asciiTheme="majorHAnsi" w:hAnsiTheme="majorHAnsi" w:cstheme="majorHAnsi"/>
                <w:sz w:val="22"/>
                <w:szCs w:val="22"/>
              </w:rPr>
              <w:t>d</w:t>
            </w:r>
            <w:r>
              <w:rPr>
                <w:rFonts w:asciiTheme="majorHAnsi" w:hAnsiTheme="majorHAnsi" w:cstheme="majorHAnsi"/>
                <w:sz w:val="22"/>
                <w:szCs w:val="22"/>
              </w:rPr>
              <w:t xml:space="preserve">isclosures </w:t>
            </w:r>
            <w:r w:rsidR="00517A3E">
              <w:rPr>
                <w:rFonts w:asciiTheme="majorHAnsi" w:hAnsiTheme="majorHAnsi" w:cstheme="majorHAnsi"/>
                <w:sz w:val="22"/>
                <w:szCs w:val="22"/>
              </w:rPr>
              <w:t>f</w:t>
            </w:r>
            <w:r>
              <w:rPr>
                <w:rFonts w:asciiTheme="majorHAnsi" w:hAnsiTheme="majorHAnsi" w:cstheme="majorHAnsi"/>
                <w:sz w:val="22"/>
                <w:szCs w:val="22"/>
              </w:rPr>
              <w:t xml:space="preserve">ollow FERPA </w:t>
            </w:r>
            <w:r w:rsidR="00517A3E">
              <w:rPr>
                <w:rFonts w:asciiTheme="majorHAnsi" w:hAnsiTheme="majorHAnsi" w:cstheme="majorHAnsi"/>
                <w:sz w:val="22"/>
                <w:szCs w:val="22"/>
              </w:rPr>
              <w:t>r</w:t>
            </w:r>
            <w:r>
              <w:rPr>
                <w:rFonts w:asciiTheme="majorHAnsi" w:hAnsiTheme="majorHAnsi" w:cstheme="majorHAnsi"/>
                <w:sz w:val="22"/>
                <w:szCs w:val="22"/>
              </w:rPr>
              <w:t>equirements</w:t>
            </w:r>
          </w:p>
        </w:tc>
        <w:tc>
          <w:tcPr>
            <w:tcW w:w="2819" w:type="dxa"/>
            <w:tcMar>
              <w:top w:w="0" w:type="dxa"/>
              <w:left w:w="115" w:type="dxa"/>
              <w:bottom w:w="0" w:type="dxa"/>
              <w:right w:w="115" w:type="dxa"/>
            </w:tcMar>
          </w:tcPr>
          <w:p w14:paraId="5FF2FFDC" w14:textId="5766FCB2" w:rsidR="000F0008" w:rsidRPr="00AC403D" w:rsidRDefault="00040BE9" w:rsidP="000F0008">
            <w:pPr>
              <w:suppressAutoHyphens/>
              <w:contextualSpacing/>
              <w:rPr>
                <w:rFonts w:asciiTheme="majorHAnsi" w:hAnsiTheme="majorHAnsi" w:cstheme="majorHAnsi"/>
                <w:sz w:val="22"/>
                <w:szCs w:val="22"/>
              </w:rPr>
            </w:pPr>
            <w:r>
              <w:rPr>
                <w:rFonts w:asciiTheme="majorHAnsi" w:hAnsiTheme="majorHAnsi" w:cstheme="majorHAnsi"/>
                <w:sz w:val="22"/>
                <w:szCs w:val="22"/>
              </w:rPr>
              <w:t>Compliance with law is critical for a higher education institution because there will be a mixture of “dependent” status among the student population.</w:t>
            </w:r>
          </w:p>
        </w:tc>
        <w:tc>
          <w:tcPr>
            <w:tcW w:w="3415" w:type="dxa"/>
            <w:tcMar>
              <w:top w:w="0" w:type="dxa"/>
              <w:left w:w="115" w:type="dxa"/>
              <w:bottom w:w="0" w:type="dxa"/>
              <w:right w:w="115" w:type="dxa"/>
            </w:tcMar>
          </w:tcPr>
          <w:p w14:paraId="084E91BF" w14:textId="4247FB31" w:rsidR="000F0008" w:rsidRPr="00AC403D" w:rsidRDefault="00040BE9" w:rsidP="0053281D">
            <w:pPr>
              <w:suppressAutoHyphens/>
              <w:ind w:left="481" w:hanging="481"/>
              <w:contextualSpacing/>
              <w:rPr>
                <w:rFonts w:asciiTheme="majorHAnsi" w:hAnsiTheme="majorHAnsi" w:cstheme="majorHAnsi"/>
                <w:sz w:val="22"/>
                <w:szCs w:val="22"/>
              </w:rPr>
            </w:pPr>
            <w:r w:rsidRPr="00040BE9">
              <w:rPr>
                <w:rFonts w:asciiTheme="majorHAnsi" w:hAnsiTheme="majorHAnsi" w:cstheme="majorHAnsi"/>
                <w:i/>
                <w:iCs/>
                <w:lang w:val="en-US"/>
              </w:rPr>
              <w:t>Ferpa</w:t>
            </w:r>
            <w:r w:rsidRPr="00040BE9">
              <w:rPr>
                <w:rFonts w:asciiTheme="majorHAnsi" w:hAnsiTheme="majorHAnsi" w:cstheme="majorHAnsi"/>
                <w:lang w:val="en-US"/>
              </w:rPr>
              <w:t xml:space="preserve">. FERPA | Protecting Student Privacy. (n.d.). Retrieved November 5, 2022, from https://studentprivacy.ed.gov/ferpa#0.1_se34.1.99_112 </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49506A3B"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and instructors are capable of operating a device to access the LMS</w:t>
            </w:r>
            <w:r w:rsidR="00014718">
              <w:rPr>
                <w:rFonts w:asciiTheme="majorHAnsi" w:hAnsiTheme="majorHAnsi" w:cstheme="majorHAnsi"/>
                <w:sz w:val="22"/>
                <w:szCs w:val="22"/>
              </w:rPr>
              <w:t>.</w:t>
            </w:r>
          </w:p>
        </w:tc>
        <w:tc>
          <w:tcPr>
            <w:tcW w:w="3117" w:type="dxa"/>
            <w:tcMar>
              <w:top w:w="0" w:type="dxa"/>
              <w:left w:w="115" w:type="dxa"/>
              <w:bottom w:w="0" w:type="dxa"/>
              <w:right w:w="115" w:type="dxa"/>
            </w:tcMar>
          </w:tcPr>
          <w:p w14:paraId="1F27DE3D" w14:textId="51D7EA45" w:rsidR="009402F3" w:rsidRPr="00AC403D" w:rsidRDefault="0001471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While internet-capable devices seem ubiquitous today, there exists communities throughout the country that lack the infrastructure for high-speed internet access. Making this assumption acknowledges this fact, establishes the necessity for devices and reliable internet access, while noting that the problems associated with this requirement are outside the scope of the project.</w:t>
            </w:r>
          </w:p>
        </w:tc>
        <w:tc>
          <w:tcPr>
            <w:tcW w:w="3117" w:type="dxa"/>
            <w:tcMar>
              <w:top w:w="0" w:type="dxa"/>
              <w:left w:w="115" w:type="dxa"/>
              <w:bottom w:w="0" w:type="dxa"/>
              <w:right w:w="115" w:type="dxa"/>
            </w:tcMar>
          </w:tcPr>
          <w:p w14:paraId="5785995C" w14:textId="4B609788" w:rsidR="009402F3" w:rsidRPr="00AC403D" w:rsidRDefault="00014718" w:rsidP="00014718">
            <w:pPr>
              <w:suppressAutoHyphens/>
              <w:ind w:left="481" w:hanging="450"/>
              <w:contextualSpacing/>
              <w:rPr>
                <w:rFonts w:asciiTheme="majorHAnsi" w:hAnsiTheme="majorHAnsi" w:cstheme="majorHAnsi"/>
                <w:sz w:val="22"/>
                <w:szCs w:val="22"/>
              </w:rPr>
            </w:pPr>
            <w:proofErr w:type="spellStart"/>
            <w:r>
              <w:t>Koricich</w:t>
            </w:r>
            <w:proofErr w:type="spellEnd"/>
            <w:r>
              <w:t xml:space="preserve">, A., Tandberg, D., Bishop, B., &amp; Weeden, D. (2020). Doing the Same (Or </w:t>
            </w:r>
            <w:proofErr w:type="gramStart"/>
            <w:r>
              <w:t>More</w:t>
            </w:r>
            <w:proofErr w:type="gramEnd"/>
            <w:r>
              <w:t xml:space="preserve">) with Less: the Challenges Regional Public Universities Face in Serving Rural Populations. </w:t>
            </w:r>
            <w:r>
              <w:rPr>
                <w:i/>
                <w:iCs/>
              </w:rPr>
              <w:t>New Directions for Higher Education</w:t>
            </w:r>
            <w:r>
              <w:t xml:space="preserve">, </w:t>
            </w:r>
            <w:r>
              <w:rPr>
                <w:i/>
                <w:iCs/>
              </w:rPr>
              <w:t>190</w:t>
            </w:r>
            <w:r>
              <w:t>, 59–70.</w:t>
            </w:r>
            <w:r>
              <w:t xml:space="preserve"> </w:t>
            </w:r>
            <w:hyperlink r:id="rId11" w:history="1">
              <w:r w:rsidRPr="00C95076">
                <w:rPr>
                  <w:rStyle w:val="Hyperlink"/>
                </w:rPr>
                <w:t>https://doi.org/10.1002/he.20367</w:t>
              </w:r>
            </w:hyperlink>
            <w:r>
              <w:t xml:space="preserve"> </w:t>
            </w:r>
          </w:p>
        </w:tc>
      </w:tr>
      <w:tr w:rsidR="009402F3" w:rsidRPr="00AC403D" w14:paraId="57CBAC4A" w14:textId="77777777" w:rsidTr="00AC403D">
        <w:tc>
          <w:tcPr>
            <w:tcW w:w="3116" w:type="dxa"/>
            <w:tcMar>
              <w:top w:w="0" w:type="dxa"/>
              <w:left w:w="115" w:type="dxa"/>
              <w:bottom w:w="0" w:type="dxa"/>
              <w:right w:w="115" w:type="dxa"/>
            </w:tcMar>
          </w:tcPr>
          <w:p w14:paraId="68C79466" w14:textId="565105B7"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Student data shared with third parties will be </w:t>
            </w:r>
            <w:r w:rsidR="00B37F1F">
              <w:rPr>
                <w:rFonts w:asciiTheme="majorHAnsi" w:hAnsiTheme="majorHAnsi" w:cstheme="majorHAnsi"/>
                <w:sz w:val="22"/>
                <w:szCs w:val="22"/>
              </w:rPr>
              <w:t>handled with care.</w:t>
            </w:r>
          </w:p>
        </w:tc>
        <w:tc>
          <w:tcPr>
            <w:tcW w:w="3117" w:type="dxa"/>
            <w:tcMar>
              <w:top w:w="0" w:type="dxa"/>
              <w:left w:w="115" w:type="dxa"/>
              <w:bottom w:w="0" w:type="dxa"/>
              <w:right w:w="115" w:type="dxa"/>
            </w:tcMar>
          </w:tcPr>
          <w:p w14:paraId="4B94F2CF" w14:textId="67EF1DF6" w:rsidR="009402F3" w:rsidRPr="00AC403D" w:rsidRDefault="0065044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Data </w:t>
            </w:r>
            <w:r w:rsidR="0094306A">
              <w:rPr>
                <w:rFonts w:asciiTheme="majorHAnsi" w:hAnsiTheme="majorHAnsi" w:cstheme="majorHAnsi"/>
                <w:sz w:val="22"/>
                <w:szCs w:val="22"/>
              </w:rPr>
              <w:t>surveillance</w:t>
            </w:r>
            <w:r>
              <w:rPr>
                <w:rFonts w:asciiTheme="majorHAnsi" w:hAnsiTheme="majorHAnsi" w:cstheme="majorHAnsi"/>
                <w:sz w:val="22"/>
                <w:szCs w:val="22"/>
              </w:rPr>
              <w:t xml:space="preserve"> and the potential for leaks is a growing concern for cloud-based Learning Management Systems. Making this assumption acknowledges these concerns while declaring that these concerns are outside the scope of the project.</w:t>
            </w:r>
          </w:p>
        </w:tc>
        <w:tc>
          <w:tcPr>
            <w:tcW w:w="3117" w:type="dxa"/>
            <w:tcMar>
              <w:top w:w="0" w:type="dxa"/>
              <w:left w:w="115" w:type="dxa"/>
              <w:bottom w:w="0" w:type="dxa"/>
              <w:right w:w="115" w:type="dxa"/>
            </w:tcMar>
          </w:tcPr>
          <w:p w14:paraId="2C33BC4D" w14:textId="44EB5139" w:rsidR="009402F3" w:rsidRPr="00AC403D" w:rsidRDefault="0094306A" w:rsidP="0094306A">
            <w:pPr>
              <w:suppressAutoHyphens/>
              <w:ind w:left="481" w:hanging="450"/>
              <w:contextualSpacing/>
              <w:rPr>
                <w:rFonts w:asciiTheme="majorHAnsi" w:hAnsiTheme="majorHAnsi" w:cstheme="majorHAnsi"/>
                <w:sz w:val="22"/>
                <w:szCs w:val="22"/>
              </w:rPr>
            </w:pPr>
            <w:proofErr w:type="spellStart"/>
            <w:r>
              <w:t>Marachi</w:t>
            </w:r>
            <w:proofErr w:type="spellEnd"/>
            <w:r>
              <w:t xml:space="preserve">, R., &amp; Quill, L. (2020). The Case of Canvas: Longitudinal Datafication through Learning Management Systems. </w:t>
            </w:r>
            <w:r>
              <w:rPr>
                <w:i/>
                <w:iCs/>
              </w:rPr>
              <w:t>Teaching in Higher Education</w:t>
            </w:r>
            <w:r>
              <w:t xml:space="preserve">, </w:t>
            </w:r>
            <w:r>
              <w:rPr>
                <w:i/>
                <w:iCs/>
              </w:rPr>
              <w:t>25</w:t>
            </w:r>
            <w:r>
              <w:t>(4), 418–434.</w:t>
            </w:r>
            <w:r>
              <w:t xml:space="preserve"> </w:t>
            </w:r>
            <w:hyperlink r:id="rId12" w:history="1">
              <w:r w:rsidRPr="00C95076">
                <w:rPr>
                  <w:rStyle w:val="Hyperlink"/>
                </w:rPr>
                <w:t>https://doi.org/10.1080/13562517.2020.1739641</w:t>
              </w:r>
            </w:hyperlink>
            <w:r>
              <w:t xml:space="preserve"> </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1B5E7242"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Budget</w:t>
            </w:r>
          </w:p>
        </w:tc>
        <w:tc>
          <w:tcPr>
            <w:tcW w:w="3117" w:type="dxa"/>
            <w:tcMar>
              <w:top w:w="0" w:type="dxa"/>
              <w:left w:w="115" w:type="dxa"/>
              <w:bottom w:w="0" w:type="dxa"/>
              <w:right w:w="115" w:type="dxa"/>
            </w:tcMar>
          </w:tcPr>
          <w:p w14:paraId="5908E9F4" w14:textId="50937FAC" w:rsidR="009402F3" w:rsidRPr="00AC403D" w:rsidRDefault="00BD658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Every project is limited by a budget.</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4595BEC1" w:rsidR="009402F3" w:rsidRPr="00AC403D" w:rsidRDefault="00517A3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Deliverables need to be available in advance of next class enrollment period</w:t>
            </w:r>
            <w:r w:rsidR="00BD6584">
              <w:rPr>
                <w:rFonts w:asciiTheme="majorHAnsi" w:hAnsiTheme="majorHAnsi" w:cstheme="majorHAnsi"/>
                <w:sz w:val="22"/>
                <w:szCs w:val="22"/>
              </w:rPr>
              <w:t>.</w:t>
            </w:r>
          </w:p>
        </w:tc>
        <w:tc>
          <w:tcPr>
            <w:tcW w:w="3117" w:type="dxa"/>
            <w:tcMar>
              <w:top w:w="0" w:type="dxa"/>
              <w:left w:w="115" w:type="dxa"/>
              <w:bottom w:w="0" w:type="dxa"/>
              <w:right w:w="115" w:type="dxa"/>
            </w:tcMar>
          </w:tcPr>
          <w:p w14:paraId="6D534168" w14:textId="1A6CDE4C" w:rsidR="009402F3" w:rsidRPr="00AC403D" w:rsidRDefault="00BD6584"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It is not wise to change systems in the middle of a semester. Consistency is important.</w:t>
            </w:r>
          </w:p>
        </w:tc>
        <w:tc>
          <w:tcPr>
            <w:tcW w:w="3117" w:type="dxa"/>
            <w:tcMar>
              <w:top w:w="0" w:type="dxa"/>
              <w:left w:w="115" w:type="dxa"/>
              <w:bottom w:w="0" w:type="dxa"/>
              <w:right w:w="115" w:type="dxa"/>
            </w:tcMar>
          </w:tcPr>
          <w:p w14:paraId="2E011DDB" w14:textId="5D8B8C90" w:rsidR="009402F3" w:rsidRPr="00AC403D" w:rsidRDefault="00BD6584" w:rsidP="00BD6584">
            <w:pPr>
              <w:suppressAutoHyphens/>
              <w:ind w:left="481" w:hanging="450"/>
              <w:contextualSpacing/>
              <w:rPr>
                <w:rFonts w:asciiTheme="majorHAnsi" w:hAnsiTheme="majorHAnsi" w:cstheme="majorHAnsi"/>
                <w:sz w:val="22"/>
                <w:szCs w:val="22"/>
              </w:rPr>
            </w:pPr>
            <w:proofErr w:type="spellStart"/>
            <w:r w:rsidRPr="00BD6584">
              <w:rPr>
                <w:rFonts w:asciiTheme="majorHAnsi" w:hAnsiTheme="majorHAnsi" w:cstheme="majorHAnsi"/>
                <w:sz w:val="22"/>
                <w:szCs w:val="22"/>
              </w:rPr>
              <w:t>Shneiderman</w:t>
            </w:r>
            <w:proofErr w:type="spellEnd"/>
            <w:r w:rsidRPr="00BD6584">
              <w:rPr>
                <w:rFonts w:asciiTheme="majorHAnsi" w:hAnsiTheme="majorHAnsi" w:cstheme="majorHAnsi"/>
                <w:sz w:val="22"/>
                <w:szCs w:val="22"/>
              </w:rPr>
              <w:t>, B. (n.d.). The Eight Golden Rules of Interface Design [web log]. Retrieved November 5, 2022, from https://www.cs.umd.edu/users/ben/goldenrules.html.</w:t>
            </w:r>
          </w:p>
        </w:tc>
      </w:tr>
    </w:tbl>
    <w:p w14:paraId="53DFDB70" w14:textId="342F4DC2" w:rsidR="00CE2E68" w:rsidRDefault="00CE2E68" w:rsidP="00AC403D">
      <w:pPr>
        <w:suppressAutoHyphens/>
        <w:spacing w:line="240" w:lineRule="auto"/>
        <w:contextualSpacing/>
        <w:rPr>
          <w:rFonts w:asciiTheme="majorHAnsi" w:hAnsiTheme="majorHAnsi" w:cstheme="majorHAnsi"/>
          <w:sz w:val="22"/>
          <w:szCs w:val="22"/>
        </w:rPr>
      </w:pPr>
    </w:p>
    <w:p w14:paraId="6E6C28AF" w14:textId="20ECC930" w:rsidR="009A49F4" w:rsidRPr="00AC403D" w:rsidRDefault="009A49F4" w:rsidP="0053281D">
      <w:pPr>
        <w:rPr>
          <w:rFonts w:asciiTheme="majorHAnsi" w:hAnsiTheme="majorHAnsi" w:cstheme="majorHAnsi"/>
          <w:sz w:val="22"/>
          <w:szCs w:val="22"/>
        </w:rPr>
      </w:pPr>
    </w:p>
    <w:sectPr w:rsidR="009A49F4" w:rsidRPr="00AC403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0E95" w14:textId="77777777" w:rsidR="00FD3986" w:rsidRDefault="00FD3986">
      <w:pPr>
        <w:spacing w:line="240" w:lineRule="auto"/>
      </w:pPr>
      <w:r>
        <w:separator/>
      </w:r>
    </w:p>
  </w:endnote>
  <w:endnote w:type="continuationSeparator" w:id="0">
    <w:p w14:paraId="4E7E4762" w14:textId="77777777" w:rsidR="00FD3986" w:rsidRDefault="00FD3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810D" w14:textId="77777777" w:rsidR="00FD3986" w:rsidRDefault="00FD3986">
      <w:pPr>
        <w:spacing w:line="240" w:lineRule="auto"/>
      </w:pPr>
      <w:r>
        <w:separator/>
      </w:r>
    </w:p>
  </w:footnote>
  <w:footnote w:type="continuationSeparator" w:id="0">
    <w:p w14:paraId="412D71C8" w14:textId="77777777" w:rsidR="00FD3986" w:rsidRDefault="00FD39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284"/>
    <w:multiLevelType w:val="multilevel"/>
    <w:tmpl w:val="4E8E1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64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14718"/>
    <w:rsid w:val="00034F73"/>
    <w:rsid w:val="00040BE9"/>
    <w:rsid w:val="000565EB"/>
    <w:rsid w:val="000A3893"/>
    <w:rsid w:val="000B3886"/>
    <w:rsid w:val="000F0008"/>
    <w:rsid w:val="00275D28"/>
    <w:rsid w:val="0034054C"/>
    <w:rsid w:val="003D3B64"/>
    <w:rsid w:val="004D4062"/>
    <w:rsid w:val="004D7DBB"/>
    <w:rsid w:val="004E4BFF"/>
    <w:rsid w:val="00517A3E"/>
    <w:rsid w:val="0053281D"/>
    <w:rsid w:val="005E0C43"/>
    <w:rsid w:val="0065044E"/>
    <w:rsid w:val="00672FC7"/>
    <w:rsid w:val="006F4335"/>
    <w:rsid w:val="00807F6C"/>
    <w:rsid w:val="00831D59"/>
    <w:rsid w:val="008F6552"/>
    <w:rsid w:val="00921262"/>
    <w:rsid w:val="00933415"/>
    <w:rsid w:val="009402F3"/>
    <w:rsid w:val="0094306A"/>
    <w:rsid w:val="009A49F4"/>
    <w:rsid w:val="00AC403D"/>
    <w:rsid w:val="00B37F1F"/>
    <w:rsid w:val="00BD6584"/>
    <w:rsid w:val="00C160A3"/>
    <w:rsid w:val="00CE2E68"/>
    <w:rsid w:val="00E04751"/>
    <w:rsid w:val="00F00702"/>
    <w:rsid w:val="00F17A73"/>
    <w:rsid w:val="00F42C47"/>
    <w:rsid w:val="00F574E7"/>
    <w:rsid w:val="00F82FF1"/>
    <w:rsid w:val="00FD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4718"/>
    <w:rPr>
      <w:color w:val="0000FF" w:themeColor="hyperlink"/>
      <w:u w:val="single"/>
    </w:rPr>
  </w:style>
  <w:style w:type="character" w:styleId="UnresolvedMention">
    <w:name w:val="Unresolved Mention"/>
    <w:basedOn w:val="DefaultParagraphFont"/>
    <w:uiPriority w:val="99"/>
    <w:semiHidden/>
    <w:unhideWhenUsed/>
    <w:rsid w:val="00014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146">
      <w:bodyDiv w:val="1"/>
      <w:marLeft w:val="0"/>
      <w:marRight w:val="0"/>
      <w:marTop w:val="0"/>
      <w:marBottom w:val="0"/>
      <w:divBdr>
        <w:top w:val="none" w:sz="0" w:space="0" w:color="auto"/>
        <w:left w:val="none" w:sz="0" w:space="0" w:color="auto"/>
        <w:bottom w:val="none" w:sz="0" w:space="0" w:color="auto"/>
        <w:right w:val="none" w:sz="0" w:space="0" w:color="auto"/>
      </w:divBdr>
    </w:div>
    <w:div w:id="234239755">
      <w:bodyDiv w:val="1"/>
      <w:marLeft w:val="0"/>
      <w:marRight w:val="0"/>
      <w:marTop w:val="0"/>
      <w:marBottom w:val="0"/>
      <w:divBdr>
        <w:top w:val="none" w:sz="0" w:space="0" w:color="auto"/>
        <w:left w:val="none" w:sz="0" w:space="0" w:color="auto"/>
        <w:bottom w:val="none" w:sz="0" w:space="0" w:color="auto"/>
        <w:right w:val="none" w:sz="0" w:space="0" w:color="auto"/>
      </w:divBdr>
    </w:div>
    <w:div w:id="298921171">
      <w:bodyDiv w:val="1"/>
      <w:marLeft w:val="0"/>
      <w:marRight w:val="0"/>
      <w:marTop w:val="0"/>
      <w:marBottom w:val="0"/>
      <w:divBdr>
        <w:top w:val="none" w:sz="0" w:space="0" w:color="auto"/>
        <w:left w:val="none" w:sz="0" w:space="0" w:color="auto"/>
        <w:bottom w:val="none" w:sz="0" w:space="0" w:color="auto"/>
        <w:right w:val="none" w:sz="0" w:space="0" w:color="auto"/>
      </w:divBdr>
    </w:div>
    <w:div w:id="566040116">
      <w:bodyDiv w:val="1"/>
      <w:marLeft w:val="0"/>
      <w:marRight w:val="0"/>
      <w:marTop w:val="0"/>
      <w:marBottom w:val="0"/>
      <w:divBdr>
        <w:top w:val="none" w:sz="0" w:space="0" w:color="auto"/>
        <w:left w:val="none" w:sz="0" w:space="0" w:color="auto"/>
        <w:bottom w:val="none" w:sz="0" w:space="0" w:color="auto"/>
        <w:right w:val="none" w:sz="0" w:space="0" w:color="auto"/>
      </w:divBdr>
    </w:div>
    <w:div w:id="635068784">
      <w:bodyDiv w:val="1"/>
      <w:marLeft w:val="0"/>
      <w:marRight w:val="0"/>
      <w:marTop w:val="0"/>
      <w:marBottom w:val="0"/>
      <w:divBdr>
        <w:top w:val="none" w:sz="0" w:space="0" w:color="auto"/>
        <w:left w:val="none" w:sz="0" w:space="0" w:color="auto"/>
        <w:bottom w:val="none" w:sz="0" w:space="0" w:color="auto"/>
        <w:right w:val="none" w:sz="0" w:space="0" w:color="auto"/>
      </w:divBdr>
    </w:div>
    <w:div w:id="754978408">
      <w:bodyDiv w:val="1"/>
      <w:marLeft w:val="0"/>
      <w:marRight w:val="0"/>
      <w:marTop w:val="0"/>
      <w:marBottom w:val="0"/>
      <w:divBdr>
        <w:top w:val="none" w:sz="0" w:space="0" w:color="auto"/>
        <w:left w:val="none" w:sz="0" w:space="0" w:color="auto"/>
        <w:bottom w:val="none" w:sz="0" w:space="0" w:color="auto"/>
        <w:right w:val="none" w:sz="0" w:space="0" w:color="auto"/>
      </w:divBdr>
    </w:div>
    <w:div w:id="921985112">
      <w:bodyDiv w:val="1"/>
      <w:marLeft w:val="0"/>
      <w:marRight w:val="0"/>
      <w:marTop w:val="0"/>
      <w:marBottom w:val="0"/>
      <w:divBdr>
        <w:top w:val="none" w:sz="0" w:space="0" w:color="auto"/>
        <w:left w:val="none" w:sz="0" w:space="0" w:color="auto"/>
        <w:bottom w:val="none" w:sz="0" w:space="0" w:color="auto"/>
        <w:right w:val="none" w:sz="0" w:space="0" w:color="auto"/>
      </w:divBdr>
    </w:div>
    <w:div w:id="1259603557">
      <w:bodyDiv w:val="1"/>
      <w:marLeft w:val="0"/>
      <w:marRight w:val="0"/>
      <w:marTop w:val="0"/>
      <w:marBottom w:val="0"/>
      <w:divBdr>
        <w:top w:val="none" w:sz="0" w:space="0" w:color="auto"/>
        <w:left w:val="none" w:sz="0" w:space="0" w:color="auto"/>
        <w:bottom w:val="none" w:sz="0" w:space="0" w:color="auto"/>
        <w:right w:val="none" w:sz="0" w:space="0" w:color="auto"/>
      </w:divBdr>
    </w:div>
    <w:div w:id="203896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cmag.com/picks/the-best-lms-learning-management-system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3562517.2020.17396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he.203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lp.blackboard.com/Blackboard_App/Feature_Guide" TargetMode="External"/><Relationship Id="rId4" Type="http://schemas.openxmlformats.org/officeDocument/2006/relationships/settings" Target="settings.xml"/><Relationship Id="rId9" Type="http://schemas.openxmlformats.org/officeDocument/2006/relationships/hyperlink" Target="https://www.softwareadvice.com/lms/blackboard-learn-profile/vs/canvas-instructu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Griffith, Nichole</cp:lastModifiedBy>
  <cp:revision>15</cp:revision>
  <dcterms:created xsi:type="dcterms:W3CDTF">2022-11-03T16:27:00Z</dcterms:created>
  <dcterms:modified xsi:type="dcterms:W3CDTF">2022-11-06T13:54:00Z</dcterms:modified>
</cp:coreProperties>
</file>