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2E4A8" w14:textId="10C2C7D9" w:rsidR="00B1361E" w:rsidRPr="00B1361E" w:rsidRDefault="00B1361E" w:rsidP="00B1361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Behavior and LFP analyses in an Alzheimer’s disease rat model (human ApoE4 KI) - Nick</w:t>
      </w:r>
    </w:p>
    <w:p w14:paraId="261E3538" w14:textId="29907CDD" w:rsidR="00C56CEC" w:rsidRDefault="00C56CEC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 381’s code folder has all the required functions and codes to create the data struct and do analyses.</w:t>
      </w:r>
    </w:p>
    <w:p w14:paraId="7EBA5B1A" w14:textId="0606FFEC" w:rsidR="00C56CEC" w:rsidRDefault="00C56CEC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Behavior data analyses:</w:t>
      </w:r>
    </w:p>
    <w:p w14:paraId="436DDD53" w14:textId="5A1B1A11" w:rsidR="00C56CEC" w:rsidRDefault="00C56CEC" w:rsidP="00B1361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Head scans on the circle track</w:t>
      </w:r>
    </w:p>
    <w:p w14:paraId="5F9C2AA0" w14:textId="5D4AC412" w:rsidR="00C56CEC" w:rsidRDefault="00C56CEC" w:rsidP="00B1361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Object-place-association task</w:t>
      </w:r>
    </w:p>
    <w:p w14:paraId="716367B2" w14:textId="5C9A114A" w:rsidR="00C56CEC" w:rsidRDefault="00C56CEC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Electrophysiology analyses:</w:t>
      </w:r>
    </w:p>
    <w:p w14:paraId="265A8D36" w14:textId="04C01041" w:rsidR="00C56CEC" w:rsidRDefault="00C56CEC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Rat 381 – ApoE4 Alzheimer’s </w:t>
      </w:r>
    </w:p>
    <w:p w14:paraId="53B06CD9" w14:textId="0C31D79A" w:rsidR="00C56CEC" w:rsidRDefault="00C56CEC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 326Z (and potentially more WT rats will be added soon) – Wild-Type</w:t>
      </w:r>
    </w:p>
    <w:p w14:paraId="5317B015" w14:textId="4BCFF17D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Based on Kemere et al. 2013</w:t>
      </w:r>
    </w:p>
    <w:p w14:paraId="00B93919" w14:textId="5CC5FE18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 w:rsidRPr="00CD0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B1BAF5" wp14:editId="7C27974B">
            <wp:extent cx="5066399" cy="5049078"/>
            <wp:effectExtent l="0" t="0" r="127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2930" cy="50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D369" w14:textId="77777777" w:rsid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1DE175" w14:textId="6F28E6C4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Some important excerpts relevant to the analyses:</w:t>
      </w:r>
    </w:p>
    <w:p w14:paraId="5FE52880" w14:textId="52A00D54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 w:rsidRPr="00CD009D">
        <w:rPr>
          <w:rFonts w:ascii="Times New Roman" w:hAnsi="Times New Roman" w:cs="Times New Roman"/>
          <w:sz w:val="28"/>
          <w:szCs w:val="28"/>
        </w:rPr>
        <w:t>In particular, we noted that there were changes in power in three physiologically relevant frequency ranges (Figure 2), two associated with CA3 drive: slow gamma (20–55 Hz) and ripple (150–250 Hz) oscillations, and one which has been associated with EC drive: fast gamma oscillations (,65–140 Hz).</w:t>
      </w:r>
    </w:p>
    <w:p w14:paraId="27876BAC" w14:textId="0AD1D4BC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CD009D">
        <w:rPr>
          <w:rFonts w:ascii="Times New Roman" w:hAnsi="Times New Roman" w:cs="Times New Roman"/>
          <w:sz w:val="28"/>
          <w:szCs w:val="28"/>
        </w:rPr>
        <w:t>ound that the normalized power of slow gamma was largest when the animal was still and decreased smoothly with the log of movement speed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90749" w14:textId="05100B91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CD009D">
        <w:rPr>
          <w:rFonts w:ascii="Times New Roman" w:hAnsi="Times New Roman" w:cs="Times New Roman"/>
          <w:sz w:val="28"/>
          <w:szCs w:val="28"/>
        </w:rPr>
        <w:t>ind that the correlation between speed and gamma power is largest when the speed and gamma power are measured at the same time (lag = 0)</w:t>
      </w:r>
      <w:r w:rsidR="00B1361E">
        <w:rPr>
          <w:rFonts w:ascii="Times New Roman" w:hAnsi="Times New Roman" w:cs="Times New Roman"/>
          <w:sz w:val="28"/>
          <w:szCs w:val="28"/>
        </w:rPr>
        <w:t xml:space="preserve"> </w:t>
      </w:r>
      <w:r w:rsidRPr="00CD009D">
        <w:rPr>
          <w:rFonts w:ascii="Times New Roman" w:hAnsi="Times New Roman" w:cs="Times New Roman"/>
          <w:sz w:val="28"/>
          <w:szCs w:val="28"/>
        </w:rPr>
        <w:t>and decreases rapidly with increasing lags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2FC654" w14:textId="5FBF5D26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 w:rsidRPr="00CD0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6565A7" wp14:editId="32DBC52B">
            <wp:extent cx="5943600" cy="558609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BA1" w14:textId="630FA19E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 w:rsidRPr="00CD00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B8285A" wp14:editId="58F0EB7F">
            <wp:extent cx="4982270" cy="7087589"/>
            <wp:effectExtent l="0" t="0" r="8890" b="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A87" w14:textId="08B5C218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 w:rsidRPr="00CD00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E3CC0A" wp14:editId="211773C0">
            <wp:extent cx="5649113" cy="8135485"/>
            <wp:effectExtent l="0" t="0" r="8890" b="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41CF" w14:textId="77777777" w:rsid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8D8CAA" w14:textId="53986DC0" w:rsidR="00CD009D" w:rsidRDefault="00CD009D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Additionally, we have to explore these (some example plots from other studies for reference):</w:t>
      </w:r>
    </w:p>
    <w:p w14:paraId="14A8BB4E" w14:textId="49A84A0B" w:rsidR="00681CFB" w:rsidRDefault="00681CFB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Monaco et al. 2014</w:t>
      </w:r>
    </w:p>
    <w:p w14:paraId="4F22F0D0" w14:textId="24D9FE18" w:rsidR="00CD009D" w:rsidRDefault="00681CFB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 w:rsidRPr="006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5A706" wp14:editId="218CA81A">
            <wp:extent cx="5943600" cy="1950085"/>
            <wp:effectExtent l="0" t="0" r="0" b="0"/>
            <wp:docPr id="5" name="Picture 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554" w14:textId="073659A4" w:rsidR="00681CFB" w:rsidRDefault="00681CFB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Tort et al. 2009</w:t>
      </w:r>
    </w:p>
    <w:p w14:paraId="304DF937" w14:textId="1E9E7E43" w:rsidR="00681CFB" w:rsidRDefault="00681CFB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 w:rsidRPr="006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E9BDE" wp14:editId="2DA16D88">
            <wp:extent cx="5072932" cy="4423098"/>
            <wp:effectExtent l="0" t="0" r="0" b="0"/>
            <wp:docPr id="6" name="Picture 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294" cy="44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9A11" w14:textId="52A7F92F" w:rsidR="00681CFB" w:rsidRDefault="00681CFB" w:rsidP="00B136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556FB" w14:textId="77777777" w:rsid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55BD71" w14:textId="77777777" w:rsid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D65425" w14:textId="08E9D1DA" w:rsid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Here is the outline for figures: (3 panels)</w:t>
      </w:r>
    </w:p>
    <w:p w14:paraId="7EBA590B" w14:textId="23F4F14F" w:rsid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Panel 1 - Behavior analyses results from ApoE4 and ApoE3 rats.</w:t>
      </w:r>
    </w:p>
    <w:p w14:paraId="793ED96E" w14:textId="44449735" w:rsid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Panel 2 – Pure LFP Power Spectrum plots for specific bands and their differences when compared between Rat 381 and WT rat/s.</w:t>
      </w:r>
    </w:p>
    <w:p w14:paraId="24024421" w14:textId="61D052E4" w:rsidR="00B1361E" w:rsidRPr="00B1361E" w:rsidRDefault="00B1361E" w:rsidP="00B136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Panel 3 – Phase-Phase and Phase-Amplitude coupling measures and their plots compared between Rat 381 and WT rat/s. </w:t>
      </w:r>
    </w:p>
    <w:p w14:paraId="6A565BFA" w14:textId="77777777" w:rsidR="00B1361E" w:rsidRPr="00B1361E" w:rsidRDefault="00B1361E" w:rsidP="00B1361E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1361E">
        <w:rPr>
          <w:rFonts w:ascii="Times New Roman" w:hAnsi="Times New Roman" w:cs="Times New Roman"/>
          <w:i/>
          <w:iCs/>
          <w:sz w:val="28"/>
          <w:szCs w:val="28"/>
        </w:rPr>
        <w:t xml:space="preserve">For Nick: </w:t>
      </w:r>
    </w:p>
    <w:p w14:paraId="4D0E5F19" w14:textId="31D7CA55" w:rsidR="00C56CEC" w:rsidRPr="00B1361E" w:rsidRDefault="00B1361E" w:rsidP="00B1361E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1361E">
        <w:rPr>
          <w:rFonts w:ascii="Times New Roman" w:hAnsi="Times New Roman" w:cs="Times New Roman"/>
          <w:i/>
          <w:iCs/>
          <w:sz w:val="28"/>
          <w:szCs w:val="28"/>
        </w:rPr>
        <w:t>The actual details/plot designs will have to be come up based on these ideas and the reference papers that are shared.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</w:p>
    <w:sectPr w:rsidR="00C56CEC" w:rsidRPr="00B1361E" w:rsidSect="00B1361E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73F5B"/>
    <w:multiLevelType w:val="hybridMultilevel"/>
    <w:tmpl w:val="17682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03C26"/>
    <w:multiLevelType w:val="hybridMultilevel"/>
    <w:tmpl w:val="0D12A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397192">
    <w:abstractNumId w:val="0"/>
  </w:num>
  <w:num w:numId="2" w16cid:durableId="914170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EC"/>
    <w:rsid w:val="00681CFB"/>
    <w:rsid w:val="00B1361E"/>
    <w:rsid w:val="00C56CEC"/>
    <w:rsid w:val="00CD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116A"/>
  <w15:chartTrackingRefBased/>
  <w15:docId w15:val="{FB35BD6D-F20D-4405-A4C7-02429F55D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Taranath, Jayanth</dc:creator>
  <cp:keywords/>
  <dc:description/>
  <cp:lastModifiedBy>R Taranath, Jayanth</cp:lastModifiedBy>
  <cp:revision>1</cp:revision>
  <dcterms:created xsi:type="dcterms:W3CDTF">2023-03-30T15:34:00Z</dcterms:created>
  <dcterms:modified xsi:type="dcterms:W3CDTF">2023-03-30T16:14:00Z</dcterms:modified>
</cp:coreProperties>
</file>