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TRES EJES DEPARTAMENTOS: PRUEBA</w:t>
      </w:r>
    </w:p>
    <w:p>
      <w:pPr>
        <w:pStyle w:val="Title"/>
        <w:jc w:val="center"/>
      </w:pPr>
      <w:r>
        <w:t>ÚLTIMA ACTUALIZACIÓN: 13/11/2024</w:t>
      </w:r>
    </w:p>
    <w:p>
      <w:pPr>
        <w:jc w:val="center"/>
      </w:pPr>
      <w:r>
        <w:rPr>
          <w:rFonts w:ascii="Century Gothic" w:hAnsi="Century Gothic"/>
          <w:b/>
          <w:color w:val="002060"/>
          <w:sz w:val="22"/>
          <w:u w:val="single"/>
        </w:rPr>
        <w:t>Tabla de Contenidos</w:t>
      </w:r>
    </w:p>
    <w:p>
      <w:pPr>
        <w:spacing w:before="0" w:after="0"/>
      </w:pPr>
      <w:r>
        <w:fldChar w:fldCharType="begin"/>
        <w:instrText xml:space="preserve">TOC \o "1-3" \h \z \u</w:instrText>
        <w:fldChar w:fldCharType="separate">
          <w:updateFields w:val="true"/>
        </w:fldChar>
        <w:fldChar w:fldCharType="end"/>
      </w:r>
    </w:p>
    <w:p>
      <w:r>
        <w:br w:type="page"/>
      </w:r>
    </w:p>
    <w:p>
      <w:pPr>
        <w:pStyle w:val="Heading1"/>
      </w:pPr>
      <w:r>
        <w:t>Resumen</w:t>
      </w:r>
    </w:p>
    <w:p>
      <w:pPr>
        <w:jc w:val="both"/>
      </w:pPr>
      <w:r>
        <w:br/>
        <w:t xml:space="preserve">        El documento contiene información relacionada con los tres ejes estratégicos de ProColombia. Los datos de exportaciones están actualizados a septiembre 2024, mientras que los flujos de inversión reflejan información disponible a junio 2024. La llegada de viajeros internacionales está reportada hasta septiembre 2024.</w:t>
        <w:br/>
        <w:t xml:space="preserve">        </w:t>
      </w:r>
    </w:p>
    <w:p>
      <w:pPr>
        <w:pStyle w:val="Heading3"/>
      </w:pPr>
      <w:r>
        <w:t>Exportaciones</w:t>
      </w:r>
    </w:p>
    <w:tbl>
      <w:tblPr>
        <w:tblStyle w:val="TableGrid"/>
        <w:tblW w:type="auto" w:w="0"/>
        <w:jc w:val="center"/>
        <w:tblLayout w:type="autofit"/>
        <w:tblLook w:firstColumn="1" w:firstRow="1" w:lastColumn="0" w:lastRow="0" w:noHBand="0" w:noVBand="1" w:val="04A0"/>
      </w:tblPr>
      <w:tblGrid>
        <w:gridCol w:w="1425"/>
        <w:gridCol w:w="1425"/>
        <w:gridCol w:w="1425"/>
        <w:gridCol w:w="1425"/>
        <w:gridCol w:w="1425"/>
        <w:gridCol w:w="1425"/>
        <w:gridCol w:w="1425"/>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Tipo de exportación</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2022 (USD FOB millones)</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2023 (USD FOB millones)</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 Ene-Sep 2023</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Ene-Sep 2023 (USD FOB millones)</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Ene-Sep 2024 (USD FOB millones)</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 Ene-Sep 2024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No Mineras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3.782,8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3.746,1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2.742,6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3.101,8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13,1%</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Mineras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201,5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220,3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180,1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521,1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189,4%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Total</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3.984,3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3.966,4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-0,4%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2.922,7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3.622,9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24,0%</w:t>
            </w:r>
          </w:p>
        </w:tc>
      </w:tr>
    </w:tbl>
    <w:p>
      <w:pPr>
        <w:keepNext w:val="0"/>
        <w:keepLines/>
        <w:ind w:left="425"/>
        <w:jc w:val="left"/>
      </w:pPr>
      <w:r>
        <w:rPr>
          <w:sz w:val="18"/>
        </w:rPr>
        <w:t>Fuente: DANE-DIAN. Cálculos: ProColombia.</w:t>
      </w:r>
    </w:p>
    <w:p>
      <w:pPr>
        <w:pStyle w:val="ListBullet"/>
        <w:jc w:val="both"/>
        <w:jc w:val="both"/>
      </w:pPr>
      <w:r>
        <w:t>En 2023, Bogotá exportó al Mundo USD 3.966,40 millones, 0,45% menos que en 2022. Entre enero y septiembre de 2024 las exportaciones totales de Bogotá al Mundo suman USD 3.622,94 millones, 23,96% más que en el mismo periodo de 2023.</w:t>
      </w:r>
    </w:p>
    <w:p>
      <w:pPr>
        <w:pStyle w:val="ListBullet"/>
        <w:jc w:val="both"/>
        <w:jc w:val="both"/>
      </w:pPr>
      <w:r>
        <w:t>Las exportaciones no minero-energéticas de Bogotá al Mundo en 2023 registraron USD 3.746,14 millones, 0,97% menos que en 2022. Entre enero y septiembre de 2024 las exportaciones no minero-energéticas de Bogotá al Mundo suman USD 3.101,85 millones, 13,10% más que en el mismo periodo de 2023.</w:t>
      </w:r>
    </w:p>
    <w:p>
      <w:pPr>
        <w:pStyle w:val="ListBullet"/>
        <w:jc w:val="both"/>
        <w:jc w:val="both"/>
      </w:pPr>
      <w:r>
        <w:t>En 2023, Bogotá exportó al Mundo 1.174.645,02 toneladas de productos, 19,47% más que en 2022. Entre enero y septiembre de 2024 el peso total de las exportaciones de Bogotá al Mundo suman 1.090.660,12 toneladas, 19,53% más que en el mismo periodo de 2023.</w:t>
      </w:r>
    </w:p>
    <w:p>
      <w:pPr>
        <w:pStyle w:val="ListBullet"/>
        <w:jc w:val="both"/>
        <w:jc w:val="both"/>
      </w:pPr>
      <w:r>
        <w:t>Las exportaciones no minero-energéticas de Bogotá al Mundo en 2023 registraron un peso de 677.084,00 toneladas, 4,24% más que en 2022. Entre enero y septiembre de 2024 el peso de las exportaciones no minero-energéticas de Bogotá al Mundo suman 564.997,66 toneladas, 13,88% más que en el mismo periodo de 2023.</w:t>
      </w:r>
    </w:p>
    <w:p>
      <w:pPr>
        <w:pStyle w:val="ListBullet"/>
        <w:jc w:val="both"/>
        <w:jc w:val="both"/>
      </w:pPr>
      <w:r>
        <w:t>Durante 2023, 2810 empresas colombianas exportaron productos no minero-energéticos por montos superiores a USD 10.000. Entre entre enero y septiembre de 2024, 2574 empresas colombianas exportaron productos no minero-energéticos por montos superiores a USD 10.000</w:t>
      </w:r>
    </w:p>
    <w:p>
      <w:pPr>
        <w:pStyle w:val="Heading3"/>
      </w:pPr>
      <w:r>
        <w:t>Turismo</w:t>
      </w:r>
    </w:p>
    <w:tbl>
      <w:tblPr>
        <w:tblStyle w:val="TableGrid"/>
        <w:tblW w:type="auto" w:w="0"/>
        <w:jc w:val="center"/>
        <w:tblLayout w:type="autofit"/>
        <w:tblLook w:firstColumn="1" w:firstRow="1" w:lastColumn="0" w:lastRow="0" w:noHBand="0" w:noVBand="1" w:val="04A0"/>
      </w:tblPr>
      <w:tblGrid>
        <w:gridCol w:w="1425"/>
        <w:gridCol w:w="1425"/>
        <w:gridCol w:w="1425"/>
        <w:gridCol w:w="1425"/>
        <w:gridCol w:w="1425"/>
        <w:gridCol w:w="1425"/>
        <w:gridCol w:w="1425"/>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Variable</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2022</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2023</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 2023</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 - Sep 2023</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 - Sep 2024</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 Ene - Sep 2024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Viajeros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1.296.578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1.228.610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933.088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1.241.795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33,1%</w:t>
            </w:r>
          </w:p>
        </w:tc>
      </w:tr>
    </w:tbl>
    <w:p>
      <w:pPr>
        <w:keepNext w:val="0"/>
        <w:keepLines/>
        <w:ind w:left="425"/>
        <w:jc w:val="left"/>
      </w:pPr>
      <w:r>
        <w:rPr>
          <w:sz w:val="18"/>
        </w:rPr>
        <w:t>Fuente: Migración Colombia: ProColombia. Nota: Los datos excluyen el registro de residentes venezolanos reportado por Migración Colombia (sin incluir la estimación del MinCIT). Tampoco se incluyen las cifras de colombianos residentes en el exterior ni de cruceristas.</w:t>
      </w:r>
    </w:p>
    <w:p>
      <w:pPr>
        <w:pStyle w:val="ListBullet"/>
        <w:jc w:val="both"/>
        <w:jc w:val="both"/>
      </w:pPr>
      <w:r>
        <w:t>En 2023, Bogotá registró 1.228.610 llegadas de turistas extranjeros, 5,24% menos con respecto a 2022.</w:t>
      </w:r>
    </w:p>
    <w:p>
      <w:pPr>
        <w:pStyle w:val="ListBullet"/>
        <w:jc w:val="both"/>
        <w:jc w:val="both"/>
      </w:pPr>
      <w:r>
        <w:t>Entre enero y septiembre de 2024, Bogotá registró 1.241.795 llegadas de turistas extranjeros, 33,08% más con respecto a 2023.</w:t>
      </w:r>
    </w:p>
    <w:p>
      <w:r>
        <w:br w:type="page"/>
      </w:r>
    </w:p>
    <w:p>
      <w:pPr>
        <w:pStyle w:val="Heading1"/>
      </w:pPr>
      <w:r>
        <w:t>Exportaciones</w:t>
      </w:r>
    </w:p>
    <w:p>
      <w:pPr>
        <w:pStyle w:val="Heading2"/>
      </w:pPr>
      <w:r>
        <w:t>Tipo de exportación</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Tipo de exportación</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2022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2023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2023</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Mineras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201.510.707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220.251.330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5,6%</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No Mineras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3.782.761.505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3.746.143.849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94,4%</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3.984.272.212</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3.966.395.179</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-0,4%</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DANE-DIAN. Cálculos: ProColombia.</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Tipo de exportación</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Ene-Sep 2023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Ene-Sep 2024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Ene-Sep 2024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Mineras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180.079.551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521.090.431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189,4%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14,4%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No Mineras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2.742.619.432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3.101.849.823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13,1%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85,6%</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2.922.698.983</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3.622.940.254</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24,0%</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DANE-DIAN. Cálculos: ProColombia.</w:t>
      </w:r>
    </w:p>
    <w:p>
      <w:pPr>
        <w:pStyle w:val="Heading1"/>
      </w:pPr>
      <w:r>
        <w:t>Exportaciones no minero-energéticas</w:t>
      </w:r>
    </w:p>
    <w:p>
      <w:pPr>
        <w:pStyle w:val="Heading2"/>
      </w:pPr>
      <w:r>
        <w:t>Destinos</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País destino</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2022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2023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2023</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Estados Unidos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1.519.382.402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1.444.384.900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38,6%</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Ecuador</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412.786.248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404.326.767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10,8%</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México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193.247.494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189.925.418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5,1%</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Perú</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185.009.900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189.509.640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5,1%</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Venezuela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119.464.621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116.334.294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3,1%</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Otros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1.352.870.841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1.401.662.829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37,4%</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3.782.761.505</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3.746.143.849</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DANE-DIAN. Cálculos: ProColombia.</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País destino</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Ene-Sep 2023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Ene-Sep 2024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Ene-Sep 2024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Estados Unidos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1.092.930.383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1.263.136.017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15,6%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40,7%</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Ecuador</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302.659.227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242.587.507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-19,8%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7,8%</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Perú</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144.139.024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144.382.385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0,2%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4,7%</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México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143.638.874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143.341.803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-0,2%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4,6%</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Venezuela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74.681.205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130.818.002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75,2%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4,2%</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Otros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984.570.719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1.177.584.109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19,6%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38,0%</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2.742.619.432</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3.101.849.823</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13,1%</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DANE-DIAN. Cálculos: ProColombia.</w:t>
      </w:r>
    </w:p>
    <w:p>
      <w:pPr>
        <w:pStyle w:val="Heading2"/>
      </w:pPr>
      <w:r>
        <w:t>Sector</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Sector</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2022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2023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2023</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Flores y plantas vivas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900.955.706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901.299.771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0,0%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24,1%</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Café</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680.265.604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572.180.381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-15,9%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15,3%</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Textiles y confecciones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224.873.192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207.821.098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5,5%</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Instrumentos y aparatos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160.800.347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193.883.960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5,2%</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Farmacéutico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196.854.260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176.444.335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4,7%</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Otros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1.619.012.395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1.694.514.305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45,2%</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3.782.761.505</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3.746.143.849</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DANE-DIAN. Cálculos: ProColombia.</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Sector</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Ene-Sep 2023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Ene-Sep 2024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Ene-Sep 2024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Flores y plantas vivas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694.218.645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802.183.254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15,6%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25,9%</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Café</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414.736.497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491.567.971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18,5%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15,8%</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Instrumentos y aparatos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128.066.112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182.942.596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42,9%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5,9%</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Textiles y confecciones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149.417.992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151.713.429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4,9%</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Cosméticos y productos de aseo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106.565.200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129.770.899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21,8%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4,2%</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Otros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1.249.614.985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1.343.671.675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43,3%</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2.742.619.432</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3.101.849.823</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13,1%</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DANE-DIAN. Cálculos: ProColombia.</w:t>
      </w:r>
    </w:p>
    <w:p>
      <w:pPr>
        <w:pStyle w:val="Heading2"/>
      </w:pPr>
      <w:r>
        <w:t>Subsector</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Subsector</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2022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2023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2023</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Flores frescas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892.922.202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891.531.602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-0,2%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23,8%</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Café verde</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680.265.604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572.180.381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-15,9%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15,3%</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Productos farmacéuticos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179.961.703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160.179.236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-11,0%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4,3%</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Plástico y sus manufacturas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122.116.598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111.419.162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Telas y tejidos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102.118.082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93.732.069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2,5%</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Otros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1.805.377.317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1.917.101.400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51,2%</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3.782.761.505</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3.746.143.849</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DANE-DIAN. Cálculos: ProColombia.</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Subsector</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Ene-Sep 2023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Ene-Sep 2024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Ene-Sep 2024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Flores frescas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686.824.198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796.327.189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15,9%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25,7%</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Café verde</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414.736.497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491.567.971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18,5%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15,8%</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Productos farmacéuticos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121.788.264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95.927.969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-21,2%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3,1%</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Plástico y sus manufacturas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83.739.042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82.618.642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2,7%</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Maquinaria industrial</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55.111.421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77.302.775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40,3%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2,5%</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Otros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1.380.420.010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1.558.105.277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50,2%</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2.742.619.432</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3.101.849.823</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13,1%</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DANE-DIAN. Cálculos: ProColombia.</w:t>
      </w:r>
    </w:p>
    <w:p>
      <w:pPr>
        <w:pStyle w:val="Heading2"/>
      </w:pPr>
      <w:r>
        <w:t>TLCs</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Tratados de Libre Comercio</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2022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2023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2023</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Estados Unidos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1.519.382.402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1.444.384.900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38,6%</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Alianza Pacífico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469.220.349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485.563.509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13,0%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CAN</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436.627.384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425.997.250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11,4%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Unión Europea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290.370.110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300.774.260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Triángulo Norte</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112.377.550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120.798.098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3,2%</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Otros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954.783.710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968.625.832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25,9%</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3.782.761.505</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3.746.143.849</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DANE-DIAN. Cálculos: ProColombia. Nota: CAN excluye a Perú por estar incluido en Alianza Pacífico. El total corresponde al total de exportaciones NME.</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Tratados de Libre Comercio</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Ene-Sep 2023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Ene-Sep 2024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Ene-Sep 2024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Estados Unidos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1.092.930.383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1.263.136.017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15,6%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40,7%</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Alianza Pacífico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369.351.148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353.547.128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11,4%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Unión Europea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214.097.074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259.179.902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21,1%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CAN</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318.958.825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256.704.351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-19,5%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8,3%</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Triángulo Norte</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84.632.300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95.075.221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3,1%</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Otros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662.649.702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874.207.204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31,9%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28,2%</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2.742.619.432</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3.101.849.823</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13,1%</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DANE-DIAN. Cálculos: ProColombia. Nota: CAN excluye a Perú por estar incluido en Alianza Pacífico. El total corresponde al total de exportaciones NME.</w:t>
      </w:r>
    </w:p>
    <w:p>
      <w:pPr>
        <w:pStyle w:val="Heading2"/>
      </w:pPr>
      <w:r>
        <w:t>Empresas</w:t>
      </w:r>
    </w:p>
    <w:p>
      <w:pPr/>
      <w:r>
        <w:t xml:space="preserve">Número de empresas exportadoras en 2023: </w:t>
      </w:r>
      <w:r>
        <w:rPr>
          <w:b/>
        </w:rPr>
        <w:t>2810 empresas</w:t>
      </w:r>
    </w:p>
    <w:p>
      <w:pPr/>
      <w:r>
        <w:t xml:space="preserve">Número de empresas exportadoras a Ene-Sep 2024: </w:t>
      </w:r>
      <w:r>
        <w:rPr>
          <w:b/>
        </w:rPr>
        <w:t>2574 empresas</w:t>
      </w:r>
    </w:p>
    <w:p>
      <w:pPr>
        <w:pStyle w:val="Heading2"/>
      </w:pPr>
      <w:r>
        <w:t>Información de Empresas</w:t>
      </w:r>
    </w:p>
    <w:tbl>
      <w:tblPr>
        <w:tblStyle w:val="TableGrid"/>
        <w:tblW w:type="auto" w:w="0"/>
        <w:jc w:val="center"/>
        <w:tblLayout w:type="autofit"/>
        <w:tblLook w:firstColumn="1" w:firstRow="1" w:lastColumn="0" w:lastRow="0" w:noHBand="0" w:noVBand="1" w:val="04A0"/>
      </w:tblPr>
      <w:tblGrid>
        <w:gridCol w:w="1425"/>
        <w:gridCol w:w="1425"/>
        <w:gridCol w:w="1425"/>
        <w:gridCol w:w="1425"/>
        <w:gridCol w:w="1425"/>
        <w:gridCol w:w="1425"/>
        <w:gridCol w:w="1425"/>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18"/>
              </w:rPr>
              <w:t>NIT</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18"/>
              </w:rPr>
              <w:t>Razón Social</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18"/>
              </w:rPr>
              <w:t>Sector</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18"/>
              </w:rPr>
              <w:t>2022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18"/>
              </w:rPr>
              <w:t>2023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18"/>
              </w:rPr>
              <w:t>Variación (%)</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18"/>
              </w:rPr>
              <w:t>Participación (%) 2023</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8300107380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COMERCIALIZADORA INTERNACIONAL SUNSHINE BOUQUET COLOMBIA S.A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Flores y plantas vivas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460.933.895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426.334.888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-7,5%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11,4%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9001744788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LOUIS DREYFUS COMPANY COLOMBIA S.A.S.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Café</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169.161.924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138.396.561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-18,2%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3,7%</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8001483121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CONDOR SPECIALTY COFFEE S.A.S.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Café</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132.168.731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128.735.618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-2,6%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3,4%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8600008987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SKN CARIBECAFE S.A.S.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Café</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157.738.816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111.566.771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-29,3%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3,0%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8300983759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FLORES IPANEMA S.A.S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Flores y plantas vivas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86.651.057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92.410.657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6,6%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2,5%</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Otros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No aplica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No aplica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2.776.107.081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2.848.699.354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2,6%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76,0%</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18"/>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18"/>
              </w:rPr>
              <w:t>No aplica</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18"/>
              </w:rPr>
              <w:t>No aplica</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18"/>
              </w:rPr>
              <w:t>3.782.761.505</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18"/>
              </w:rPr>
              <w:t>3.746.143.849</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18"/>
              </w:rPr>
              <w:t>-1,0%</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18"/>
              </w:rPr>
              <w:t>100,0%</w:t>
            </w:r>
          </w:p>
        </w:tc>
      </w:tr>
    </w:tbl>
    <w:p>
      <w:pPr>
        <w:keepNext w:val="0"/>
        <w:keepLines/>
        <w:ind w:left="425"/>
        <w:jc w:val="left"/>
      </w:pPr>
      <w:r>
        <w:rPr>
          <w:sz w:val="18"/>
        </w:rPr>
        <w:t>Fuente: DANE-DIAN. Cálculos: ProColombia.</w:t>
      </w:r>
    </w:p>
    <w:tbl>
      <w:tblPr>
        <w:tblStyle w:val="TableGrid"/>
        <w:tblW w:type="auto" w:w="0"/>
        <w:jc w:val="center"/>
        <w:tblLayout w:type="autofit"/>
        <w:tblLook w:firstColumn="1" w:firstRow="1" w:lastColumn="0" w:lastRow="0" w:noHBand="0" w:noVBand="1" w:val="04A0"/>
      </w:tblPr>
      <w:tblGrid>
        <w:gridCol w:w="1425"/>
        <w:gridCol w:w="1425"/>
        <w:gridCol w:w="1425"/>
        <w:gridCol w:w="1425"/>
        <w:gridCol w:w="1425"/>
        <w:gridCol w:w="1425"/>
        <w:gridCol w:w="1425"/>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18"/>
              </w:rPr>
              <w:t>NIT</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18"/>
              </w:rPr>
              <w:t>Razón Social</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18"/>
              </w:rPr>
              <w:t>Sector</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18"/>
              </w:rPr>
              <w:t>Ene-Sep 2023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18"/>
              </w:rPr>
              <w:t>Ene-Sep 2024 (USD FOB)</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18"/>
              </w:rPr>
              <w:t>Variación (%)</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18"/>
              </w:rPr>
              <w:t>Participación (%) Ene-Sep 2024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8300107380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COMERCIALIZADORA INTERNACIONAL SUNSHINE BOUQUET COLOMBIA S.A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Flores y plantas vivas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329.244.600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394.645.791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19,9%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12,7%</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9001744788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LOUIS DREYFUS COMPANY COLOMBIA S.A.S.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Café</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103.040.311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129.952.119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26,1%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4,2%</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8001483121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CONDOR SPECIALTY COFFEE S.A.S.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Café</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100.646.044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97.111.459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-3,5%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3,1%</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8300983759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FLORES IPANEMA S.A.S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Flores y plantas vivas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72.678.518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90.201.406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24,1%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2,9%</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8600008987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SKN CARIBECAFE S.A.S.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Café</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69.761.268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77.843.488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11,6%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2,5%</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Otros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No aplica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No aplica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2.067.248.690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2.312.095.560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11,8%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18"/>
              </w:rPr>
              <w:t>74,5%</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18"/>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18"/>
              </w:rPr>
              <w:t>No aplica</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18"/>
              </w:rPr>
              <w:t>No aplica</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18"/>
              </w:rPr>
              <w:t>2.742.619.432</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18"/>
              </w:rPr>
              <w:t>3.101.849.823</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18"/>
              </w:rPr>
              <w:t>13,1%</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18"/>
              </w:rPr>
              <w:t>100,0%</w:t>
            </w:r>
          </w:p>
        </w:tc>
      </w:tr>
    </w:tbl>
    <w:p>
      <w:pPr>
        <w:keepNext w:val="0"/>
        <w:keepLines/>
        <w:ind w:left="425"/>
        <w:jc w:val="left"/>
      </w:pPr>
      <w:r>
        <w:rPr>
          <w:sz w:val="18"/>
        </w:rPr>
        <w:t>Fuente: DANE-DIAN. Cálculos: ProColombia.</w:t>
      </w:r>
    </w:p>
    <w:p>
      <w:pPr>
        <w:pStyle w:val="Heading2"/>
      </w:pPr>
      <w:r>
        <w:t>Oportunidades de exportación identificadas</w:t>
      </w:r>
    </w:p>
    <w:p>
      <w:pPr>
        <w:jc w:val="both"/>
      </w:pPr>
      <w:r>
        <w:rPr>
          <w:b/>
        </w:rPr>
        <w:t xml:space="preserve">Agroalimentos: </w:t>
      </w:r>
      <w:r>
        <w:t>aceite de palma, alimentos para animales, animales vivos (peces), bebidas alcohólicas, bebidas no alcohólicas, cacao, café verde, confitería de azúcar, confitería de cacao, derivados de café, derivados del cacao, especias, frutas frescas, frutas y hortalizas procesadas, hierbas aromáticas, legumbres y hortalizas frescas, otros aceites y grasas, panela y otros edulcorantes, preparaciones alimenticias diversas, productos de panadería y molinería, queso, subproductos de origen animal (otros).</w:t>
      </w:r>
    </w:p>
    <w:p>
      <w:pPr>
        <w:jc w:val="both"/>
      </w:pPr>
      <w:r>
        <w:rPr>
          <w:b/>
        </w:rPr>
        <w:t xml:space="preserve">Industrias 4.0: </w:t>
      </w:r>
      <w:r>
        <w:t>animación, animación , artes escénicas, comunicación gráfica y editorial, creación de contenido digital, desarrollo de paginas web, educación e investigación, producción audiovisual, publicidad y mercadeo digital, servicios de animación, servicios de salud, software &amp; ti, tercerización de servicios (bpo + kpo), videojuegos.</w:t>
      </w:r>
    </w:p>
    <w:p>
      <w:pPr>
        <w:jc w:val="both"/>
      </w:pPr>
      <w:r>
        <w:rPr>
          <w:b/>
        </w:rPr>
        <w:t xml:space="preserve">Metalmecánica y Otras industrias: </w:t>
      </w:r>
      <w:r>
        <w:t>acabados para la construcción, accesorios, aeronaves y sus partes, aparatos eléctricos, artículos de oficina, artículos del hogar, artículos promocionales, caucho (artículos industriales), cerámica, cerámica, arcilla y piedra, cestería, cobre, conductores eléctricos, demás manufacturas u objetos de adorno, dotaciones hoteleras, electrodomésticos, estatuillas, flores artificiales, herramientas, hierro y acero, manufactura de vidrio, manufacturas de hierro o acero, maquinaria industrial, medición, metalurgia, motores y sus partes, muebles - hogar, muebles - oficina, otras autopartes, otros artículos industriales, partes de otros medios de transporte, partes y accesorios de motocicletas, partes y accesorios de vehículos, partes, antenas y reflectores de antena (incluidos los teléfonos inteligentes), plástico y caucho (artículos industriales), plástico y caucho (materiales de construcción), prefabricados, remolques y semirremolques, telecomunicaciones y sonido, trenzas y artículos similares, vehículos para usos especiales, vidrio (materiales de construcción).</w:t>
      </w:r>
    </w:p>
    <w:p>
      <w:pPr>
        <w:jc w:val="both"/>
      </w:pPr>
      <w:r>
        <w:rPr>
          <w:b/>
        </w:rPr>
        <w:t xml:space="preserve">Químicos y Ciencias de la Vida: </w:t>
      </w:r>
      <w:r>
        <w:t>abonos, cosméticos, desinfectantes, dispositivos médicos, envases y empaques de papel y cartón, envases y empaques de plástico, fertilizantes, instrumentos, aparatos y prótesis, otros productos de aseo, plástico en formas primarias, productos de aseo personal, productos farmacéuticos, productos farmacéuticos veterinarios.</w:t>
      </w:r>
    </w:p>
    <w:p>
      <w:pPr>
        <w:jc w:val="both"/>
      </w:pPr>
      <w:r>
        <w:rPr>
          <w:b/>
        </w:rPr>
        <w:t xml:space="preserve">Sistema Moda: </w:t>
      </w:r>
      <w:r>
        <w:t>accesorios (moda), bisutería, calzado, fajas y ropa de control, jeans, joyería, otras confecciones, ropa casual femenina, ropa casual masculina, ropa deportiva, ropa formal femenina, ropa formal masculina, ropa interior y pijamas, telas y tejidos, uniformes, vestidos de baño y ropa de playa.</w:t>
      </w:r>
    </w:p>
    <w:p>
      <w:r>
        <w:br w:type="page"/>
      </w:r>
    </w:p>
    <w:p>
      <w:pPr>
        <w:pStyle w:val="Heading1"/>
      </w:pPr>
      <w:r>
        <w:t>Inversión</w:t>
      </w:r>
    </w:p>
    <w:p>
      <w:pPr>
        <w:pStyle w:val="Heading2"/>
      </w:pPr>
      <w:r>
        <w:t>Oportunidades de inversión identificadas</w:t>
      </w:r>
    </w:p>
    <w:p>
      <w:pPr>
        <w:jc w:val="both"/>
      </w:pPr>
      <w:r>
        <w:rPr>
          <w:b/>
        </w:rPr>
        <w:t xml:space="preserve">Agroalimentos: </w:t>
      </w:r>
      <w:r>
        <w:t>alimentos para animales, bebidas no alcohólicas, carnes y despojos comestibles (avícola), derivados del café, frutas frescas, frutas y hortalizas procesadas, múltiples subsectores, preparaciones alimenticias diversas, productos de panadería y molinería, subproductos de origen animal (avícola), transversal.</w:t>
      </w:r>
    </w:p>
    <w:p>
      <w:pPr>
        <w:jc w:val="both"/>
      </w:pPr>
      <w:r>
        <w:rPr>
          <w:b/>
        </w:rPr>
        <w:t xml:space="preserve">Industrias 4.0: </w:t>
      </w:r>
      <w:r>
        <w:t>centro de servicios compartidos, data centers , emprendimiento, producción audiovisual, software &amp; ti, telecomunicaciones , tercerización de servicios (bpo + kpo).</w:t>
      </w:r>
    </w:p>
    <w:p>
      <w:pPr>
        <w:jc w:val="both"/>
      </w:pPr>
      <w:r>
        <w:rPr>
          <w:b/>
        </w:rPr>
        <w:t xml:space="preserve">Logística y competitividad: </w:t>
      </w:r>
      <w:r>
        <w:t>aeroportuario, carretero, férreo, hospitales, pequeñas centrales hidroeléctricas - pchs, solar .</w:t>
      </w:r>
    </w:p>
    <w:p>
      <w:pPr>
        <w:jc w:val="both"/>
      </w:pPr>
      <w:r>
        <w:rPr>
          <w:b/>
        </w:rPr>
        <w:t xml:space="preserve">Metalmecánica y Otras industrias: </w:t>
      </w:r>
      <w:r>
        <w:t>aeronaves y sus partes, aparatos eléctricos, demás papeles y cartones, electrodomésticos, herramientas, maquinaria industrial, motocicletas, partes y accesorios de vehículos, transporte de mercancías.</w:t>
      </w:r>
    </w:p>
    <w:p>
      <w:pPr>
        <w:jc w:val="both"/>
      </w:pPr>
      <w:r>
        <w:rPr>
          <w:b/>
        </w:rPr>
        <w:t xml:space="preserve">Químicos y Ciencias de la Vida: </w:t>
      </w:r>
      <w:r>
        <w:t>cosméticos, dispositivos médicos, envases y empaques de plástico, envases y empaques de vidrio, productos farmacéuticos, productos farmacéuticos veterinarios.</w:t>
      </w:r>
    </w:p>
    <w:p>
      <w:pPr>
        <w:jc w:val="both"/>
      </w:pPr>
      <w:r>
        <w:rPr>
          <w:b/>
        </w:rPr>
        <w:t xml:space="preserve">Sistema Moda: </w:t>
      </w:r>
      <w:r>
        <w:t>algodón y demás fibras vegetales de uso textil, fibras, textiles.</w:t>
      </w:r>
    </w:p>
    <w:p>
      <w:pPr>
        <w:pStyle w:val="Heading1"/>
      </w:pPr>
      <w:r>
        <w:t>Turismo</w:t>
      </w:r>
    </w:p>
    <w:p>
      <w:pPr>
        <w:pStyle w:val="Heading2"/>
      </w:pPr>
      <w:r>
        <w:t>Países</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País de residencia</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2022</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2023</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 2023</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2023</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Estados Unidos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241.329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225.630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18,4%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México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116.509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119.082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9,7%</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Venezuela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113.761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105.217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8,6%</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Ecuador</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87.203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87.062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-0,2%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7,1%</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España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64.810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59.664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4,9%</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Otros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672.966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631.955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51,4%</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1.296.578</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1.228.610</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-5,2%</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Migración Colombia: ProColombia. Nota: Los datos excluyen el registro de residentes venezolanos reportado por Migración Colombia (sin incluir la estimación del MinCIT). Tampoco se incluyen las cifras de colombianos residentes en el exterior ni de cruceristas.</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País de residencia</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 - Sep 2023</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 - Sep 2024</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 Ene - Sep 2024</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Ene - Sep 2024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Estados Unidos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171.586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223.032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30,0%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18,0%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México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90.336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134.911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49,3%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10,9%</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Ecuador</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65.460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88.058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34,5%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7,1%</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Venezuela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77.181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79.199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España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44.276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67.592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52,7%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Otros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484.249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649.003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34,0%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52,3%</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933.088</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1.241.795</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33,1%</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Migración Colombia: ProColombia. Nota: Los datos excluyen el registro de residentes venezolanos reportado por Migración Colombia (sin incluir la estimación del MinCIT). Tampoco se incluyen las cifras de colombianos residentes en el exterior ni de cruceristas.</w:t>
      </w:r>
    </w:p>
    <w:p>
      <w:pPr>
        <w:pStyle w:val="Heading2"/>
      </w:pPr>
      <w:r>
        <w:t>Departamentos</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Departamento de hospedaje</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2022</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2023</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 2023</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2023</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1.296.578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1.228.610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100,0%</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1.296.578</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1.228.610</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-5,2%</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Migración Colombia: ProColombia. Nota: Los datos excluyen el registro de residentes venezolanos reportado por Migración Colombia (sin incluir la estimación del MinCIT). Tampoco se incluyen las cifras de colombianos residentes en el exterior ni de cruceristas.</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Departamento de hospedaje</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 - Sep 2023</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 - Sep 2024</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 Ene - Sep 2024</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Ene - Sep 2024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933.088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1.241.795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33,1%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100,0%</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933.088</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1.241.795</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33,1%</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Migración Colombia: ProColombia. Nota: Los datos excluyen el registro de residentes venezolanos reportado por Migración Colombia (sin incluir la estimación del MinCIT). Tampoco se incluyen las cifras de colombianos residentes en el exterior ni de cruceristas.</w:t>
      </w:r>
    </w:p>
    <w:p>
      <w:pPr>
        <w:pStyle w:val="Heading2"/>
      </w:pPr>
      <w:r>
        <w:t>Municipios</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Ciudad de hospedaje</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2022</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2023</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 2023</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2023</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 D.c.</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1.296.576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1.228.609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Sin Especificar</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-50,0%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0,0%</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1.296.578</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1.228.610</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-5,2%</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Migración Colombia: ProColombia. Nota: Los datos excluyen el registro de residentes venezolanos reportado por Migración Colombia (sin incluir la estimación del MinCIT). Tampoco se incluyen las cifras de colombianos residentes en el exterior ni de cruceristas.</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Ciudad de hospedaje</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 - Sep 2023</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 - Sep 2024</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 Ene - Sep 2024</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Ene - Sep 2024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 D.c.</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933.087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1.241.788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33,1%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Sin Especificar</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600,0%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0,0%</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933.088</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1.241.795</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33,1%</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Migración Colombia: ProColombia. Nota: Los datos excluyen el registro de residentes venezolanos reportado por Migración Colombia (sin incluir la estimación del MinCIT). Tampoco se incluyen las cifras de colombianos residentes en el exterior ni de cruceristas.</w:t>
      </w:r>
    </w:p>
    <w:p>
      <w:pPr>
        <w:pStyle w:val="Heading2"/>
      </w:pPr>
      <w:r>
        <w:t>Género</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Género</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2022</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2023</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 2023</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2023</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Masculino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730.099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679.109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55,3%</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Femenino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566.355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549.412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44,7%</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No Definido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-28,2%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0,0%</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1.296.578</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1.228.610</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-5,2%</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Migración Colombia: ProColombia. Nota: Los datos excluyen el registro de residentes venezolanos reportado por Migración Colombia (sin incluir la estimación del MinCIT). Tampoco se incluyen las cifras de colombianos residentes en el exterior ni de cruceristas.</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Género</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 - Sep 2023</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 - Sep 2024</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 Ene - Sep 2024</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Ene - Sep 2024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Masculino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513.831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680.741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32,5%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54,8%</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Femenino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419.173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561.014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33,8%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45,2%</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No Definido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-52,4%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0,0%</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933.088</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1.241.795</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33,1%</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Migración Colombia: ProColombia. Nota: Los datos excluyen el registro de residentes venezolanos reportado por Migración Colombia (sin incluir la estimación del MinCIT). Tampoco se incluyen las cifras de colombianos residentes en el exterior ni de cruceristas.</w:t>
      </w:r>
    </w:p>
    <w:p>
      <w:pPr>
        <w:pStyle w:val="Heading2"/>
      </w:pPr>
      <w:r>
        <w:t>Motivos</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Motivo de viaje</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2022</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2023</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 2023</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2023</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Vacaciones, Recreo Y Ocio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890.480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883.112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-0,8%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71,9%</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Otros Motivos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151.643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123.167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-18,8%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Negocios Y Motivos Profesionales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108.349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103.038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Tránsito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120.034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95.729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7,8%</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Educación Y Formación</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18.456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14.949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-19,0%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Otros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7.616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8.615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13,1%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0,7%</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1.296.578</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1.228.610</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-5,2%</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Migración Colombia: ProColombia. Nota: Los datos excluyen el registro de residentes venezolanos reportado por Migración Colombia (sin incluir la estimación del MinCIT). Tampoco se incluyen las cifras de colombianos residentes en el exterior ni de cruceristas.</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Motivo de viaje</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 - Sep 2023</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 - Sep 2024</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 Ene - Sep 2024</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Ene - Sep 2024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Vacaciones, Recreo Y Ocio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661.616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838.770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26,8%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67,5%</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Negocios Y Motivos Profesionales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79.542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129.384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62,7%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Otros Motivos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97.523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125.436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28,6%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10,1%</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Tránsito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74.505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121.743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63,4%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9,8%</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Educación Y Formación</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13.012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16.279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25,1%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1,3%</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Otros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6.890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10.183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47,8%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0,8%</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933.088</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1.241.795</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33,1%</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Migración Colombia: ProColombia. Nota: Los datos excluyen el registro de residentes venezolanos reportado por Migración Colombia (sin incluir la estimación del MinCIT). Tampoco se incluyen las cifras de colombianos residentes en el exterior ni de cruceristas.</w:t>
      </w:r>
    </w:p>
    <w:p>
      <w:pPr>
        <w:pStyle w:val="Heading2"/>
      </w:pPr>
      <w:r>
        <w:t>Productos vacacionales que se promocionan</w:t>
      </w:r>
    </w:p>
    <w:p>
      <w:pPr>
        <w:jc w:val="both"/>
      </w:pPr>
      <w:r>
        <w:rPr>
          <w:b/>
        </w:rPr>
        <w:t xml:space="preserve">Principales: </w:t>
      </w:r>
      <w:r>
        <w:t>reuniones, vacacional.</w:t>
      </w:r>
    </w:p>
    <w:p>
      <w:pPr>
        <w:jc w:val="both"/>
      </w:pPr>
      <w:r>
        <w:rPr>
          <w:b/>
        </w:rPr>
        <w:t xml:space="preserve">Nichos: </w:t>
      </w:r>
      <w:r>
        <w:t>reuniones, cultura.</w:t>
      </w:r>
    </w:p>
    <w:p>
      <w:r>
        <w:br w:type="page"/>
      </w:r>
    </w:p>
    <w:p>
      <w:pPr>
        <w:pStyle w:val="Heading1"/>
      </w:pPr>
      <w:r>
        <w:t>Conectividad</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Aerolínea</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Ciudad Origen</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Ciudad Destino</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Frecuencias</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Semana de análisis</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Avianca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Villavicencio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Avianca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Ibagué</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Avianca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Pereira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Avianca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Cali</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161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Avianca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Cartagena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Avianca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Popayán</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Avianca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Riohacha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Avianca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Pasto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Avianca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Barranquilla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Avianca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Leticia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Avianca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Barrancabermeja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Avianca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Neiva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Avianca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Medellín MDE</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182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Avianca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Santa Marta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Avianca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Valledupar</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Avianca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Cúcuta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Avianca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Montería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Avianca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Armenia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Avianca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San Andrés Isla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Avianca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Yopal</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Avianca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Bucaramanga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Avianca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Ipiales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CLIC AIR S.A.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Pitalito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CLIC AIR S.A.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Arauca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CLIC AIR S.A.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Cali</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CLIC AIR S.A.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Florencia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CLIC AIR S.A.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La Macarena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CLIC AIR S.A.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Manizales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CLIC AIR S.A.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Yopal</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CLIC AIR S.A.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Puerto Asís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CLIC AIR S.A.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San Jose del Guaviare</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CLIC AIR S.A.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Medellín EOH</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CLIC AIR S.A.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Neiva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CLIC AIR S.A.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Quibdó</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CLIC AIR S.A.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Popayán</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CLIC AIR S.A.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Barrancabermeja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Jetsmart</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Medellín MDE</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Jetsmart</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Pereira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Jetsmart</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Santa Marta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Jetsmart</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Cartagena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LATAM Airlines Group</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Barranquilla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LATAM Airlines Group</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Ibagué</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LATAM Airlines Group</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Yopal</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LATAM Airlines Group</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Bucaramanga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LATAM Airlines Group</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Pasto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LATAM Airlines Group</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Neiva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LATAM Airlines Group</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San Andrés Isla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LATAM Airlines Group</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Leticia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LATAM Airlines Group</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Riohacha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LATAM Airlines Group</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Pereira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LATAM Airlines Group</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Cúcuta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LATAM Airlines Group</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Medellín MDE</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LATAM Airlines Group</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Armenia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LATAM Airlines Group</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Cartagena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LATAM Airlines Group</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Cali</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LATAM Airlines Group</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Santa Marta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LATAM Airlines Group</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Montería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SATENA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Arauca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SATENA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Puerto Asís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SATENA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Tame</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SATENA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Buenaventura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SATENA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Quibdó</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SATENA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Florencia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SATENA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Saravena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SATENA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Tumaco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SATENA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Puerto Leguízamo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SATENA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Puerto Inírida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SATENA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San Vicente del Caguan</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SATENA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Aguachica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SATENA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Corozal</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SATENA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San Jose del Guaviare</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SATENA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Medellín EOH</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SATENA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Villavicencio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SATENA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Mitú</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SATENA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Mocoa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SATENA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La Macarena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SATENA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Puerto Carreno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SATENA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Apartadó</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SATENA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Pitalito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Wingo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Bucaramanga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Wingo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Armenia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Wingo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Medellín MDE</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Wingo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Cartagena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Wingo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Cali</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Wingo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Barranquilla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Wingo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Santa Marta</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Bogotá</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2024-10-21 00:00:00</w:t>
            </w:r>
          </w:p>
        </w:tc>
      </w:tr>
    </w:tbl>
    <w:p>
      <w:pPr>
        <w:keepNext w:val="0"/>
        <w:keepLines/>
        <w:ind w:left="425"/>
        <w:jc w:val="left"/>
      </w:pPr>
      <w:r>
        <w:rPr>
          <w:sz w:val="18"/>
        </w:rPr>
        <w:t>Fuente: OAG. Cálculos: ProColombia.</w:t>
      </w:r>
    </w:p>
    <w:p>
      <w:r>
        <w:br w:type="page"/>
      </w:r>
    </w:p>
    <w:p>
      <w:pPr>
        <w:pStyle w:val="Heading1"/>
      </w:pPr>
      <w:r>
        <w:t>Logística</w:t>
      </w:r>
    </w:p>
    <w:p>
      <w:pPr>
        <w:pStyle w:val="Heading2"/>
      </w:pPr>
      <w:r>
        <w:t>Pesos</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Tipo de exportación</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2022 (TONELADAS)</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2023 (TONELADAS)</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2023</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Mineras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333.725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497.561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49,1%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42,4%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No Mineras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649.529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677.084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57,6%</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983.254</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1.174.645</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19,5%</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DANE-DIAN. Cálculos: ProColombia.</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Tipo de exportación</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Ene-Sep 2023 (TONELADAS)</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Ene-Sep 2024 (TONELADAS)</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Ene-Sep 2024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Mineras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416.339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525.662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26,3%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48,2%</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No Mineras</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496.148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564.998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13,9%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51,8%</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912.487</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1.090.660</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19,5%</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DANE-DIAN. Cálculos: ProColombia.</w:t>
      </w:r>
    </w:p>
    <w:p>
      <w:pPr>
        <w:pStyle w:val="Heading2"/>
      </w:pPr>
      <w:r>
        <w:t>Pesos por medio de transporte: exportaciones mineras</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Tipo de exportación</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2022 (TONELADAS)</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2023 (TONELADAS)</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2023</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Marítimo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324.763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489.172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50,6%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98,3%</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Terrestre</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8.962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8.389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1,7%</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333.725</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497.561</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49,1%</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DANE-DIAN. Cálculos: ProColombia.</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Tipo de exportación</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Ene-Sep 2023 (TONELADAS)</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Ene-Sep 2024 (TONELADAS)</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Ene-Sep 2024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Marítimo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410.234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519.287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26,6%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98,8%</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Terrestre</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6.105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6.376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416.339</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525.662</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26,3%</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DANE-DIAN. Cálculos: ProColombia.</w:t>
      </w:r>
    </w:p>
    <w:p>
      <w:pPr>
        <w:pStyle w:val="Heading2"/>
      </w:pPr>
      <w:r>
        <w:t>Pesos por medio de transporte: exportaciones no mineras</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Tipo de exportación</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2022 (TONELADAS)</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2023 (TONELADAS)</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2023</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Aéreo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143.174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136.434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20,2%</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Marítimo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382.112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442.019</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15,7%</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65,3%</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Terrestre</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124.243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98.632</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14,6%</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649.529</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677.084</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4,2%</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DANE-DIAN. Cálculos: ProColombia.</w:t>
      </w:r>
    </w:p>
    <w:tbl>
      <w:tblPr>
        <w:tblStyle w:val="TableGrid"/>
        <w:tblW w:type="auto" w:w="0"/>
        <w:jc w:val="center"/>
        <w:tblLayout w:type="autofit"/>
        <w:tblLook w:firstColumn="1" w:firstRow="1" w:lastColumn="0" w:lastRow="0" w:noHBand="0" w:noVBand="1" w:val="04A0"/>
      </w:tblPr>
      <w:tblGrid>
        <w:gridCol w:w="1994"/>
        <w:gridCol w:w="1994"/>
        <w:gridCol w:w="1994"/>
        <w:gridCol w:w="1994"/>
        <w:gridCol w:w="1994"/>
      </w:tblGrid>
      <w:tr>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Tipo de exportación</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Ene-Sep 2023 (TONELADAS)</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Ene-Sep 2024 (TONELADAS)</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Variación (%)</w:t>
            </w:r>
          </w:p>
        </w:tc>
        <w:tc>
          <w:tcPr>
            <w:tcW w:type="dxa" w:w="9972"/>
            <w:vAlign w:val="center"/>
            <w:tcBorders>
              <w:top w:sz="1" w:val="single" w:color="000000"/>
              <w:left w:sz="1" w:val="single" w:color="000000"/>
              <w:bottom w:sz="1" w:val="single" w:color="000000"/>
              <w:right w:sz="1" w:val="single" w:color="000000"/>
            </w:tcBorders>
            <w:shd w:fill="#215E99"/>
          </w:tcPr>
          <w:p>
            <w:pPr>
              <w:keepNext/>
              <w:keepLines/>
              <w:jc w:val="center"/>
            </w:pPr>
            <w:r>
              <w:rPr>
                <w:b/>
                <w:color w:val="FFFFFF"/>
                <w:sz w:val="20"/>
              </w:rPr>
              <w:t>Participación (%) Ene-Sep 2024</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Aéreo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102.395</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114.708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12,0%</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20,3%</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Marítimo</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318.753</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378.146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18,6%</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66,9%</w:t>
            </w:r>
          </w:p>
        </w:tc>
      </w:tr>
      <w:tr>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Terrestre</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75.001</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72.144</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-3,8%</w:t>
            </w:r>
          </w:p>
        </w:tc>
        <w:tc>
          <w:tcPr>
            <w:tcW w:type="dxa" w:w="9972"/>
            <w:vAlign w:val="center"/>
            <w:tcBorders>
              <w:top w:sz="1" w:val="single" w:color="000000"/>
              <w:left w:sz="1" w:val="single" w:color="000000"/>
              <w:bottom w:sz="1" w:val="single" w:color="000000"/>
              <w:right w:sz="1" w:val="single" w:color="000000"/>
            </w:tcBorders>
          </w:tcPr>
          <w:p>
            <w:pPr>
              <w:keepNext/>
              <w:keepLines/>
              <w:jc w:val="center"/>
            </w:pPr>
            <w:r>
              <w:rPr>
                <w:sz w:val="20"/>
              </w:rPr>
              <w:t>12,8%</w:t>
            </w:r>
          </w:p>
        </w:tc>
      </w:tr>
      <w:tr>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Total</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496.148</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564.998</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13,9%</w:t>
            </w:r>
          </w:p>
        </w:tc>
        <w:tc>
          <w:tcPr>
            <w:tcW w:type="dxa" w:w="9972"/>
            <w:vAlign w:val="center"/>
            <w:tcBorders>
              <w:top w:sz="1" w:val="single" w:color="000000"/>
              <w:left w:sz="1" w:val="single" w:color="000000"/>
              <w:bottom w:sz="1" w:val="single" w:color="000000"/>
              <w:right w:sz="1" w:val="single" w:color="000000"/>
            </w:tcBorders>
            <w:shd w:fill="#DAE9F7"/>
          </w:tcPr>
          <w:p>
            <w:pPr>
              <w:keepNext/>
              <w:keepLines/>
              <w:jc w:val="center"/>
            </w:pPr>
            <w:r>
              <w:rPr>
                <w:b/>
                <w:color w:val="000000"/>
                <w:sz w:val="20"/>
              </w:rPr>
              <w:t>100,0%</w:t>
            </w:r>
          </w:p>
        </w:tc>
      </w:tr>
    </w:tbl>
    <w:p>
      <w:pPr>
        <w:keepNext w:val="0"/>
        <w:keepLines/>
        <w:ind w:left="425"/>
        <w:jc w:val="left"/>
      </w:pPr>
      <w:r>
        <w:rPr>
          <w:sz w:val="18"/>
        </w:rPr>
        <w:t>Fuente: DANE-DIAN. Cálculos: ProColombia.</w:t>
      </w:r>
    </w:p>
    <w:p>
      <w:r>
        <w:br w:type="page"/>
      </w:r>
    </w:p>
    <w:p>
      <w:r>
        <w:br/>
      </w:r>
    </w:p>
    <w:p>
      <w:r>
        <w:br/>
      </w:r>
    </w:p>
    <w:p>
      <w:r>
        <w:br/>
      </w:r>
    </w:p>
    <w:p>
      <w:r>
        <w:br/>
      </w:r>
    </w:p>
    <w:p>
      <w:r>
        <w:br/>
      </w:r>
    </w:p>
    <w:p>
      <w:r>
        <w:br/>
      </w:r>
    </w:p>
    <w:p>
      <w:r>
        <w:br/>
      </w:r>
    </w:p>
    <w:p>
      <w:r>
        <w:br/>
      </w:r>
    </w:p>
    <w:p>
      <w:r>
        <w:br/>
      </w:r>
    </w:p>
    <w:p>
      <w:r>
        <w:br/>
      </w:r>
    </w:p>
    <w:p>
      <w:r>
        <w:br/>
      </w:r>
    </w:p>
    <w:p>
      <w:r>
        <w:br/>
      </w:r>
    </w:p>
    <w:p>
      <w:pPr>
        <w:jc w:val="center"/>
      </w:pPr>
      <w:r>
        <w:rPr>
          <w:rFonts w:ascii="Century Gothic" w:hAnsi="Century Gothic"/>
          <w:b/>
          <w:color w:val="002060"/>
          <w:sz w:val="24"/>
        </w:rPr>
        <w:t>La información contenida en este documento es de orientación y guía general. En ningún caso, ProColombia, ni sus empleados, son responsables ante usted o cualquier otra persona por las decisiones o acciones que pueda tomar en relación con la información proporcionada, por lo cual debe tomarse como de carácter referencial únicamente.</w:t>
      </w:r>
    </w:p>
    <w:sectPr w:rsidR="00FC693F" w:rsidRPr="0006063C" w:rsidSect="00034616">
      <w:headerReference w:type="default" r:id="rId9"/>
      <w:footerReference w:type="default" r:id="rId10"/>
      <w:pgSz w:w="12240" w:h="15840"/>
      <w:pgMar w:top="816"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ayout w:type="autofit"/>
      <w:tblLook w:firstColumn="1" w:firstRow="1" w:lastColumn="0" w:lastRow="0" w:noHBand="0" w:noVBand="1" w:val="04A0"/>
    </w:tblPr>
    <w:tblGrid>
      <w:gridCol w:w="4080"/>
      <w:gridCol w:w="4080"/>
      <w:gridCol w:w="4080"/>
    </w:tblGrid>
    <w:tr>
      <w:tc>
        <w:tcPr>
          <w:tcW w:type="dxa" w:w="4080"/>
        </w:tcPr>
        <w:p>
          <w:pPr>
            <w:jc w:val="left"/>
          </w:pPr>
          <w:r>
            <w:rPr>
              <w:sz w:val="16"/>
            </w:rPr>
            <w:t>Calle 28 # 13ª - 15, Edificio CCI Pisos 35 - 36 | Bogotá, Colombia T: +57 (1) 560 0100 | info@procolombia.co | www.procolombia.co</w:t>
          </w:r>
        </w:p>
      </w:tc>
      <w:tc>
        <w:tcPr>
          <w:tcW w:type="dxa" w:w="4080"/>
        </w:tcPr>
        <w:p>
          <w:pPr>
            <w:jc w:val="center"/>
          </w:pPr>
          <w:r>
            <w:rPr>
              <w:sz w:val="16"/>
            </w:rPr>
            <w:fldChar w:fldCharType="begin"/>
            <w:instrText>PAGE</w:instrText>
            <w:fldChar w:fldCharType="end"/>
          </w:r>
        </w:p>
      </w:tc>
      <w:tc>
        <w:tcPr>
          <w:tcW w:type="dxa" w:w="4080"/>
        </w:tcPr>
        <w:p>
          <w:pPr>
            <w:jc w:val="right"/>
          </w:pPr>
          <w:r>
            <w:drawing>
              <wp:inline xmlns:a="http://schemas.openxmlformats.org/drawingml/2006/main" xmlns:pic="http://schemas.openxmlformats.org/drawingml/2006/picture">
                <wp:extent cx="1828800" cy="318509"/>
                <wp:docPr id="1" name="Picture 1"/>
                <wp:cNvGraphicFramePr>
                  <a:graphicFrameLocks noChangeAspect="1"/>
                </wp:cNvGraphicFramePr>
                <a:graphic>
                  <a:graphicData uri="http://schemas.openxmlformats.org/drawingml/2006/picture">
                    <pic:pic>
                      <pic:nvPicPr>
                        <pic:cNvPr id="0" name="PRO_PRINCIPAL_HORZ_PNG.png"/>
                        <pic:cNvPicPr/>
                      </pic:nvPicPr>
                      <pic:blipFill>
                        <a:blip r:embed="rId1"/>
                        <a:stretch>
                          <a:fillRect/>
                        </a:stretch>
                      </pic:blipFill>
                      <pic:spPr>
                        <a:xfrm>
                          <a:off x="0" y="0"/>
                          <a:ext cx="1828800" cy="318509"/>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autofit"/>
      <w:tblLook w:firstColumn="1" w:firstRow="1" w:lastColumn="0" w:lastRow="0" w:noHBand="0" w:noVBand="1" w:val="04A0"/>
    </w:tblPr>
    <w:tblGrid>
      <w:gridCol w:w="6120"/>
      <w:gridCol w:w="6120"/>
    </w:tblGrid>
    <w:tr>
      <w:tc>
        <w:tcPr>
          <w:tcW w:type="dxa" w:w="6120"/>
        </w:tcPr>
        <w:p>
          <w:r>
            <w:drawing>
              <wp:inline xmlns:a="http://schemas.openxmlformats.org/drawingml/2006/main" xmlns:pic="http://schemas.openxmlformats.org/drawingml/2006/picture">
                <wp:extent cx="2286000" cy="398136"/>
                <wp:docPr id="1" name="Picture 1"/>
                <wp:cNvGraphicFramePr>
                  <a:graphicFrameLocks noChangeAspect="1"/>
                </wp:cNvGraphicFramePr>
                <a:graphic>
                  <a:graphicData uri="http://schemas.openxmlformats.org/drawingml/2006/picture">
                    <pic:pic>
                      <pic:nvPicPr>
                        <pic:cNvPr id="0" name="PRO_PRINCIPAL_HORZ_PNG.png"/>
                        <pic:cNvPicPr/>
                      </pic:nvPicPr>
                      <pic:blipFill>
                        <a:blip r:embed="rId1"/>
                        <a:stretch>
                          <a:fillRect/>
                        </a:stretch>
                      </pic:blipFill>
                      <pic:spPr>
                        <a:xfrm>
                          <a:off x="0" y="0"/>
                          <a:ext cx="2286000" cy="398136"/>
                        </a:xfrm>
                        <a:prstGeom prst="rect"/>
                      </pic:spPr>
                    </pic:pic>
                  </a:graphicData>
                </a:graphic>
              </wp:inline>
            </w:drawing>
          </w:r>
        </w:p>
      </w:tc>
      <w:tc>
        <w:tcPr>
          <w:tcW w:type="dxa" w:w="6120"/>
        </w:tc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jc w:val="left"/>
    </w:pPr>
    <w:rPr>
      <w:rFonts w:ascii="Century Gothic" w:hAnsi="Century Gothic"/>
      <w:b w:val="0"/>
      <w:color w:val="000000"/>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left"/>
      <w:outlineLvl w:val="0"/>
    </w:pPr>
    <w:rPr>
      <w:rFonts w:asciiTheme="majorHAnsi" w:eastAsiaTheme="majorEastAsia" w:hAnsiTheme="majorHAnsi" w:cstheme="majorBidi" w:ascii="Century Gothic" w:hAnsi="Century Gothic"/>
      <w:b/>
      <w:bCs/>
      <w:color w:val="002060"/>
      <w:sz w:val="28"/>
      <w:szCs w:val="28"/>
    </w:rPr>
  </w:style>
  <w:style w:type="paragraph" w:styleId="Heading2">
    <w:name w:val="heading 2"/>
    <w:basedOn w:val="Normal"/>
    <w:next w:val="Normal"/>
    <w:link w:val="Heading2Char"/>
    <w:uiPriority w:val="9"/>
    <w:unhideWhenUsed/>
    <w:qFormat/>
    <w:rsid w:val="00FC693F"/>
    <w:pPr>
      <w:keepNext/>
      <w:keepLines/>
      <w:spacing w:before="200" w:after="0"/>
      <w:jc w:val="left"/>
      <w:outlineLvl w:val="1"/>
    </w:pPr>
    <w:rPr>
      <w:rFonts w:asciiTheme="majorHAnsi" w:eastAsiaTheme="majorEastAsia" w:hAnsiTheme="majorHAnsi" w:cstheme="majorBidi" w:ascii="Century Gothic" w:hAnsi="Century Gothic"/>
      <w:b/>
      <w:bCs/>
      <w:color w:val="002060"/>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left"/>
      <w:outlineLvl w:val="2"/>
    </w:pPr>
    <w:rPr>
      <w:rFonts w:asciiTheme="majorHAnsi" w:eastAsiaTheme="majorEastAsia" w:hAnsiTheme="majorHAnsi" w:cstheme="majorBidi" w:ascii="Century Gothic" w:hAnsi="Century Gothic"/>
      <w:b/>
      <w:bCs/>
      <w:color w:val="002060"/>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left"/>
    </w:pPr>
    <w:rPr>
      <w:rFonts w:asciiTheme="majorHAnsi" w:eastAsiaTheme="majorEastAsia" w:hAnsiTheme="majorHAnsi" w:cstheme="majorBidi" w:ascii="Century Gothic" w:hAnsi="Century Gothic"/>
      <w:b/>
      <w:color w:val="002060"/>
      <w:spacing w:val="5"/>
      <w:kern w:val="28"/>
      <w:sz w:val="3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rPr>
      <w:rFonts w:ascii="Century Gothic" w:hAnsi="Century Gothi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