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061201DC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096337">
        <w:t>9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67020DEB" w:rsidR="007D556B" w:rsidRDefault="007977AD">
      <w:r>
        <w:t xml:space="preserve">Pelagic, </w:t>
      </w:r>
      <w:proofErr w:type="spellStart"/>
      <w:r>
        <w:t>epilimnetic</w:t>
      </w:r>
      <w:proofErr w:type="spellEnd"/>
      <w:r>
        <w:t xml:space="preserve"> production estimates in Sparkling, Trout, Acton, and Castle Lakes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1400351B" w:rsidR="007D556B" w:rsidRDefault="007977AD">
      <w:r>
        <w:t>Free-water and 14C production estimates</w:t>
      </w:r>
    </w:p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4AD328AD" w:rsidR="004B6751" w:rsidRDefault="007977AD" w:rsidP="004B6751">
      <w:r>
        <w:t xml:space="preserve">Concurrent daily estimates of pelagic, </w:t>
      </w:r>
      <w:proofErr w:type="spellStart"/>
      <w:r>
        <w:t>eplilimnetic</w:t>
      </w:r>
      <w:proofErr w:type="spellEnd"/>
      <w:r>
        <w:t xml:space="preserve"> production (mmol C m3 d) generated from 14C incubations and diel changes in high frequency dissolved oxygen data (</w:t>
      </w:r>
      <w:proofErr w:type="gramStart"/>
      <w:r>
        <w:t>free-water</w:t>
      </w:r>
      <w:proofErr w:type="gramEnd"/>
      <w:r>
        <w:t>). Original data derived from the North Temperate Lakes Long Term Ecological Research program (Sparkling [2007-2013], Trout [2007-2012] Lakes), Castle Lake Research Station (Castle Lake [2014-2017]), and Center for Aquatic &amp; Watershed Sciences (Acton Lake [2010-2014]). 14C production estimates were generated as part of each research programs core data collection. Free-water production estimates generated using high frequency sensor data provided by research programs and Phillips (2020) time-varying, Bayesian metabolism model.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214"/>
        <w:gridCol w:w="1357"/>
        <w:gridCol w:w="1640"/>
        <w:gridCol w:w="2190"/>
        <w:gridCol w:w="1472"/>
      </w:tblGrid>
      <w:tr w:rsidR="007B6751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7B6751" w14:paraId="1F1536E6" w14:textId="77777777" w:rsidTr="00C571B4">
        <w:tc>
          <w:tcPr>
            <w:tcW w:w="1566" w:type="dxa"/>
          </w:tcPr>
          <w:p w14:paraId="4107EB81" w14:textId="2D905A24" w:rsidR="00C571B4" w:rsidRDefault="007B6751">
            <w:r>
              <w:t>Noah</w:t>
            </w:r>
          </w:p>
        </w:tc>
        <w:tc>
          <w:tcPr>
            <w:tcW w:w="1409" w:type="dxa"/>
          </w:tcPr>
          <w:p w14:paraId="3EEC2F0A" w14:textId="15DEF544" w:rsidR="00C571B4" w:rsidRDefault="007B6751">
            <w:r>
              <w:t>R</w:t>
            </w:r>
          </w:p>
        </w:tc>
        <w:tc>
          <w:tcPr>
            <w:tcW w:w="1566" w:type="dxa"/>
          </w:tcPr>
          <w:p w14:paraId="67E2998A" w14:textId="1FAEDBF0" w:rsidR="00C571B4" w:rsidRDefault="007B6751">
            <w:proofErr w:type="spellStart"/>
            <w:r>
              <w:t>Lottig</w:t>
            </w:r>
            <w:proofErr w:type="spellEnd"/>
          </w:p>
        </w:tc>
        <w:tc>
          <w:tcPr>
            <w:tcW w:w="1750" w:type="dxa"/>
          </w:tcPr>
          <w:p w14:paraId="7B292FA0" w14:textId="55D2F008" w:rsidR="00C571B4" w:rsidRDefault="007B6751">
            <w:r>
              <w:t>University of Wisconsin Center for Limnology</w:t>
            </w:r>
          </w:p>
        </w:tc>
        <w:tc>
          <w:tcPr>
            <w:tcW w:w="1615" w:type="dxa"/>
          </w:tcPr>
          <w:p w14:paraId="76150DEC" w14:textId="5B574B15" w:rsidR="00C571B4" w:rsidRDefault="007B6751">
            <w:r>
              <w:t>nrlottig@wisc.edu</w:t>
            </w:r>
          </w:p>
        </w:tc>
        <w:tc>
          <w:tcPr>
            <w:tcW w:w="1670" w:type="dxa"/>
          </w:tcPr>
          <w:p w14:paraId="20C4203B" w14:textId="77777777" w:rsidR="00C571B4" w:rsidRDefault="00C571B4"/>
        </w:tc>
      </w:tr>
      <w:tr w:rsidR="007B6751" w14:paraId="4BC6A1B6" w14:textId="77777777" w:rsidTr="00C571B4">
        <w:tc>
          <w:tcPr>
            <w:tcW w:w="1566" w:type="dxa"/>
          </w:tcPr>
          <w:p w14:paraId="0BE7E9A1" w14:textId="0BF53FF1" w:rsidR="00C571B4" w:rsidRDefault="007B6751">
            <w:r>
              <w:t>Sudeep</w:t>
            </w:r>
          </w:p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77CA6D16" w:rsidR="00C571B4" w:rsidRDefault="007B6751">
            <w:r>
              <w:t>Chandra</w:t>
            </w:r>
          </w:p>
        </w:tc>
        <w:tc>
          <w:tcPr>
            <w:tcW w:w="1750" w:type="dxa"/>
          </w:tcPr>
          <w:p w14:paraId="54DA3A98" w14:textId="23B58D41" w:rsidR="00C571B4" w:rsidRDefault="007B6751">
            <w:r>
              <w:t>University of Nevada Reno</w:t>
            </w:r>
          </w:p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  <w:tr w:rsidR="007B6751" w14:paraId="29145B99" w14:textId="77777777" w:rsidTr="00C571B4">
        <w:tc>
          <w:tcPr>
            <w:tcW w:w="1566" w:type="dxa"/>
          </w:tcPr>
          <w:p w14:paraId="77459A01" w14:textId="01B58213" w:rsidR="007B6751" w:rsidRDefault="007B6751">
            <w:r>
              <w:t>Emily</w:t>
            </w:r>
          </w:p>
        </w:tc>
        <w:tc>
          <w:tcPr>
            <w:tcW w:w="1409" w:type="dxa"/>
          </w:tcPr>
          <w:p w14:paraId="44320443" w14:textId="2B4BC901" w:rsidR="007B6751" w:rsidRDefault="007B6751">
            <w:r>
              <w:t>H</w:t>
            </w:r>
          </w:p>
        </w:tc>
        <w:tc>
          <w:tcPr>
            <w:tcW w:w="1566" w:type="dxa"/>
          </w:tcPr>
          <w:p w14:paraId="4DDA4765" w14:textId="18A642F4" w:rsidR="007B6751" w:rsidRDefault="007B6751">
            <w:r>
              <w:t>Stanley</w:t>
            </w:r>
          </w:p>
        </w:tc>
        <w:tc>
          <w:tcPr>
            <w:tcW w:w="1750" w:type="dxa"/>
          </w:tcPr>
          <w:p w14:paraId="49F1CB5A" w14:textId="4AC9493C" w:rsidR="007B6751" w:rsidRDefault="007B6751">
            <w:r>
              <w:t>University of Wisconsin Center for Limnology</w:t>
            </w:r>
          </w:p>
        </w:tc>
        <w:tc>
          <w:tcPr>
            <w:tcW w:w="1615" w:type="dxa"/>
          </w:tcPr>
          <w:p w14:paraId="5C13177B" w14:textId="7B4BAFF6" w:rsidR="007B6751" w:rsidRDefault="007B6751">
            <w:r>
              <w:t>ehstanley@wisc.edu</w:t>
            </w:r>
          </w:p>
        </w:tc>
        <w:tc>
          <w:tcPr>
            <w:tcW w:w="1670" w:type="dxa"/>
          </w:tcPr>
          <w:p w14:paraId="6378B714" w14:textId="77777777" w:rsidR="007B6751" w:rsidRDefault="007B6751"/>
        </w:tc>
      </w:tr>
      <w:tr w:rsidR="007B6751" w14:paraId="06E8649B" w14:textId="77777777" w:rsidTr="00C571B4">
        <w:tc>
          <w:tcPr>
            <w:tcW w:w="1566" w:type="dxa"/>
          </w:tcPr>
          <w:p w14:paraId="312EF4EF" w14:textId="28E74365" w:rsidR="007B6751" w:rsidRDefault="007B6751">
            <w:r>
              <w:t>Mike</w:t>
            </w:r>
          </w:p>
        </w:tc>
        <w:tc>
          <w:tcPr>
            <w:tcW w:w="1409" w:type="dxa"/>
          </w:tcPr>
          <w:p w14:paraId="7177352F" w14:textId="6EE926B4" w:rsidR="007B6751" w:rsidRDefault="007B6751"/>
        </w:tc>
        <w:tc>
          <w:tcPr>
            <w:tcW w:w="1566" w:type="dxa"/>
          </w:tcPr>
          <w:p w14:paraId="05404D68" w14:textId="017EB0D2" w:rsidR="007B6751" w:rsidRDefault="007B6751">
            <w:proofErr w:type="spellStart"/>
            <w:r>
              <w:t>Vanni</w:t>
            </w:r>
            <w:proofErr w:type="spellEnd"/>
          </w:p>
        </w:tc>
        <w:tc>
          <w:tcPr>
            <w:tcW w:w="1750" w:type="dxa"/>
          </w:tcPr>
          <w:p w14:paraId="0EE62FAE" w14:textId="75484983" w:rsidR="007B6751" w:rsidRDefault="007B6751">
            <w:r>
              <w:t>University of Miami Ohio</w:t>
            </w:r>
          </w:p>
        </w:tc>
        <w:tc>
          <w:tcPr>
            <w:tcW w:w="1615" w:type="dxa"/>
          </w:tcPr>
          <w:p w14:paraId="2FBFCFB9" w14:textId="77777777" w:rsidR="007B6751" w:rsidRDefault="007B6751"/>
        </w:tc>
        <w:tc>
          <w:tcPr>
            <w:tcW w:w="1670" w:type="dxa"/>
          </w:tcPr>
          <w:p w14:paraId="6C90B7CF" w14:textId="77777777" w:rsidR="007B6751" w:rsidRDefault="007B6751"/>
        </w:tc>
      </w:tr>
      <w:tr w:rsidR="007B6751" w14:paraId="3238CBC5" w14:textId="77777777" w:rsidTr="00C571B4">
        <w:tc>
          <w:tcPr>
            <w:tcW w:w="1566" w:type="dxa"/>
          </w:tcPr>
          <w:p w14:paraId="04A225DF" w14:textId="4AEC598B" w:rsidR="007B6751" w:rsidRDefault="007B6751">
            <w:r>
              <w:lastRenderedPageBreak/>
              <w:t>Facundo</w:t>
            </w:r>
          </w:p>
        </w:tc>
        <w:tc>
          <w:tcPr>
            <w:tcW w:w="1409" w:type="dxa"/>
          </w:tcPr>
          <w:p w14:paraId="5B939ABA" w14:textId="3D1FB503" w:rsidR="007B6751" w:rsidRDefault="007B6751"/>
        </w:tc>
        <w:tc>
          <w:tcPr>
            <w:tcW w:w="1566" w:type="dxa"/>
          </w:tcPr>
          <w:p w14:paraId="48A3ACAF" w14:textId="04700A09" w:rsidR="007B6751" w:rsidRDefault="007B6751">
            <w:proofErr w:type="spellStart"/>
            <w:r>
              <w:t>Scordo</w:t>
            </w:r>
            <w:proofErr w:type="spellEnd"/>
          </w:p>
        </w:tc>
        <w:tc>
          <w:tcPr>
            <w:tcW w:w="1750" w:type="dxa"/>
          </w:tcPr>
          <w:p w14:paraId="4A248A9E" w14:textId="741C297A" w:rsidR="007B6751" w:rsidRDefault="007B6751">
            <w:r>
              <w:t>University of Nevada, Reno</w:t>
            </w:r>
          </w:p>
        </w:tc>
        <w:tc>
          <w:tcPr>
            <w:tcW w:w="1615" w:type="dxa"/>
          </w:tcPr>
          <w:p w14:paraId="76E6AF74" w14:textId="77777777" w:rsidR="007B6751" w:rsidRDefault="007B6751"/>
        </w:tc>
        <w:tc>
          <w:tcPr>
            <w:tcW w:w="1670" w:type="dxa"/>
          </w:tcPr>
          <w:p w14:paraId="0AE5F01A" w14:textId="77777777" w:rsidR="007B6751" w:rsidRDefault="007B6751"/>
        </w:tc>
      </w:tr>
      <w:tr w:rsidR="007B6751" w14:paraId="02A404C2" w14:textId="77777777" w:rsidTr="00C571B4">
        <w:tc>
          <w:tcPr>
            <w:tcW w:w="1566" w:type="dxa"/>
          </w:tcPr>
          <w:p w14:paraId="076FFE30" w14:textId="5842ACAF" w:rsidR="007B6751" w:rsidRDefault="007B6751">
            <w:r>
              <w:t>Williamson</w:t>
            </w:r>
          </w:p>
        </w:tc>
        <w:tc>
          <w:tcPr>
            <w:tcW w:w="1409" w:type="dxa"/>
          </w:tcPr>
          <w:p w14:paraId="6E7727B0" w14:textId="400141E7" w:rsidR="007B6751" w:rsidRDefault="007B6751"/>
        </w:tc>
        <w:tc>
          <w:tcPr>
            <w:tcW w:w="1566" w:type="dxa"/>
          </w:tcPr>
          <w:p w14:paraId="6C3A8A3D" w14:textId="0B4A155C" w:rsidR="007B6751" w:rsidRDefault="007B6751">
            <w:r>
              <w:t>Tanner</w:t>
            </w:r>
          </w:p>
        </w:tc>
        <w:tc>
          <w:tcPr>
            <w:tcW w:w="1750" w:type="dxa"/>
          </w:tcPr>
          <w:p w14:paraId="1CD63761" w14:textId="411D1697" w:rsidR="007B6751" w:rsidRDefault="007B6751">
            <w:r>
              <w:t>University of Miami Ohio</w:t>
            </w:r>
          </w:p>
        </w:tc>
        <w:tc>
          <w:tcPr>
            <w:tcW w:w="1615" w:type="dxa"/>
          </w:tcPr>
          <w:p w14:paraId="61174965" w14:textId="77777777" w:rsidR="007B6751" w:rsidRDefault="007B6751"/>
        </w:tc>
        <w:tc>
          <w:tcPr>
            <w:tcW w:w="1670" w:type="dxa"/>
          </w:tcPr>
          <w:p w14:paraId="55679AA1" w14:textId="77777777" w:rsidR="007B6751" w:rsidRDefault="007B6751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139"/>
        <w:gridCol w:w="1275"/>
        <w:gridCol w:w="1619"/>
        <w:gridCol w:w="1363"/>
        <w:gridCol w:w="1467"/>
        <w:gridCol w:w="1211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</w:t>
        </w:r>
        <w:r w:rsidR="003F63A4" w:rsidRPr="00254FCC">
          <w:rPr>
            <w:rStyle w:val="Hyperlink"/>
          </w:rPr>
          <w:t>R</w:t>
        </w:r>
        <w:r w:rsidR="003F63A4" w:rsidRPr="00254FCC">
          <w:rPr>
            <w:rStyle w:val="Hyperlink"/>
          </w:rPr>
          <w:t xml:space="preserve">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37"/>
        <w:gridCol w:w="1273"/>
        <w:gridCol w:w="1462"/>
        <w:gridCol w:w="1285"/>
        <w:gridCol w:w="1239"/>
        <w:gridCol w:w="1681"/>
      </w:tblGrid>
      <w:tr w:rsidR="00066114" w:rsidRPr="00090075" w14:paraId="3641C292" w14:textId="77777777" w:rsidTr="00066114">
        <w:tc>
          <w:tcPr>
            <w:tcW w:w="1273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37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273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62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285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39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681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066114" w14:paraId="61FAF043" w14:textId="77777777" w:rsidTr="00066114">
        <w:tc>
          <w:tcPr>
            <w:tcW w:w="1273" w:type="dxa"/>
          </w:tcPr>
          <w:p w14:paraId="13D238A1" w14:textId="78E54B8B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Paul</w:t>
            </w:r>
          </w:p>
        </w:tc>
        <w:tc>
          <w:tcPr>
            <w:tcW w:w="1137" w:type="dxa"/>
          </w:tcPr>
          <w:p w14:paraId="2FF9EB12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02D326F3" w14:textId="5736C05C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Hanson</w:t>
            </w:r>
          </w:p>
        </w:tc>
        <w:tc>
          <w:tcPr>
            <w:tcW w:w="1462" w:type="dxa"/>
          </w:tcPr>
          <w:p w14:paraId="7989DD10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38F2B623" w14:textId="2329AAF5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RCN: Advancing Lake Ecology by Building an International Community to Exploit Innovations in Sensor Network Technology</w:t>
            </w:r>
          </w:p>
        </w:tc>
        <w:tc>
          <w:tcPr>
            <w:tcW w:w="1239" w:type="dxa"/>
          </w:tcPr>
          <w:p w14:paraId="524228EB" w14:textId="6FB9E1C8" w:rsidR="00C571B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5763156D" w14:textId="77777777" w:rsidR="00066114" w:rsidRPr="00066114" w:rsidRDefault="00066114" w:rsidP="00066114">
            <w:pPr>
              <w:pStyle w:val="NormalWeb"/>
              <w:rPr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DBI-0639229 </w:t>
            </w:r>
          </w:p>
          <w:p w14:paraId="4F288ECB" w14:textId="77777777" w:rsidR="00C571B4" w:rsidRPr="00066114" w:rsidRDefault="00C571B4" w:rsidP="001D5488">
            <w:pPr>
              <w:rPr>
                <w:sz w:val="16"/>
                <w:szCs w:val="16"/>
              </w:rPr>
            </w:pPr>
          </w:p>
        </w:tc>
      </w:tr>
      <w:tr w:rsidR="00066114" w14:paraId="295BE6B5" w14:textId="77777777" w:rsidTr="00066114">
        <w:tc>
          <w:tcPr>
            <w:tcW w:w="1273" w:type="dxa"/>
          </w:tcPr>
          <w:p w14:paraId="05E74560" w14:textId="430A7954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</w:t>
            </w:r>
          </w:p>
        </w:tc>
        <w:tc>
          <w:tcPr>
            <w:tcW w:w="1137" w:type="dxa"/>
          </w:tcPr>
          <w:p w14:paraId="145D1B11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52E40E93" w14:textId="4190BCC5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Stanley</w:t>
            </w:r>
          </w:p>
        </w:tc>
        <w:tc>
          <w:tcPr>
            <w:tcW w:w="1462" w:type="dxa"/>
          </w:tcPr>
          <w:p w14:paraId="12100E79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0D07EF1C" w14:textId="18755F69" w:rsidR="0006611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 </w:t>
            </w:r>
            <w:r w:rsidRPr="00066114">
              <w:rPr>
                <w:rFonts w:eastAsiaTheme="majorEastAsia"/>
                <w:sz w:val="16"/>
                <w:szCs w:val="16"/>
              </w:rPr>
              <w:t>LTER: Comparative Study of a Suite of Lakes in Wisconsin</w:t>
            </w:r>
          </w:p>
        </w:tc>
        <w:tc>
          <w:tcPr>
            <w:tcW w:w="1239" w:type="dxa"/>
          </w:tcPr>
          <w:p w14:paraId="046CACAA" w14:textId="56D86948" w:rsidR="00066114" w:rsidRP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3B037484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DEB-0822700 </w:t>
            </w:r>
          </w:p>
          <w:p w14:paraId="58289EAB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438450F8" w14:textId="77777777" w:rsidTr="00066114">
        <w:tc>
          <w:tcPr>
            <w:tcW w:w="1273" w:type="dxa"/>
          </w:tcPr>
          <w:p w14:paraId="6ECC6F98" w14:textId="46B04B1C" w:rsid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Noah</w:t>
            </w:r>
          </w:p>
        </w:tc>
        <w:tc>
          <w:tcPr>
            <w:tcW w:w="1137" w:type="dxa"/>
          </w:tcPr>
          <w:p w14:paraId="33E1FFD3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002000D2" w14:textId="3AEA00D3" w:rsidR="00066114" w:rsidRDefault="00066114" w:rsidP="001D548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Lottig</w:t>
            </w:r>
            <w:proofErr w:type="spellEnd"/>
          </w:p>
        </w:tc>
        <w:tc>
          <w:tcPr>
            <w:tcW w:w="1462" w:type="dxa"/>
          </w:tcPr>
          <w:p w14:paraId="66CC307C" w14:textId="77777777" w:rsidR="00066114" w:rsidRPr="00066114" w:rsidRDefault="00066114" w:rsidP="001D5488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426CE7BB" w14:textId="7E0A6445" w:rsidR="00066114" w:rsidRPr="00066114" w:rsidRDefault="00066114" w:rsidP="001D5488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 xml:space="preserve">Next-generation instrumented buoys for the University of Wisconsin </w:t>
            </w:r>
            <w:r w:rsidRPr="00066114">
              <w:rPr>
                <w:sz w:val="16"/>
                <w:szCs w:val="16"/>
              </w:rPr>
              <w:lastRenderedPageBreak/>
              <w:t>Trout Lake Station</w:t>
            </w:r>
          </w:p>
        </w:tc>
        <w:tc>
          <w:tcPr>
            <w:tcW w:w="1239" w:type="dxa"/>
          </w:tcPr>
          <w:p w14:paraId="6702BB43" w14:textId="69EBC2A5" w:rsidR="00066114" w:rsidRDefault="00066114" w:rsidP="001D54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National Science Foundation</w:t>
            </w:r>
          </w:p>
        </w:tc>
        <w:tc>
          <w:tcPr>
            <w:tcW w:w="1681" w:type="dxa"/>
          </w:tcPr>
          <w:p w14:paraId="521D3F38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DBI-1418698 </w:t>
            </w:r>
          </w:p>
          <w:p w14:paraId="6ED6DA5F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4AB5B2C4" w14:textId="77777777" w:rsidTr="00066114">
        <w:tc>
          <w:tcPr>
            <w:tcW w:w="1273" w:type="dxa"/>
          </w:tcPr>
          <w:p w14:paraId="166CC9A0" w14:textId="4A11D826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Emily</w:t>
            </w:r>
          </w:p>
        </w:tc>
        <w:tc>
          <w:tcPr>
            <w:tcW w:w="1137" w:type="dxa"/>
          </w:tcPr>
          <w:p w14:paraId="667FBEE3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4DCAFA68" w14:textId="299E0E49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Stanley</w:t>
            </w:r>
          </w:p>
        </w:tc>
        <w:tc>
          <w:tcPr>
            <w:tcW w:w="1462" w:type="dxa"/>
          </w:tcPr>
          <w:p w14:paraId="7EF54FDA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240569DD" w14:textId="2F96D040" w:rsidR="00066114" w:rsidRPr="00066114" w:rsidRDefault="00066114" w:rsidP="00066114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 </w:t>
            </w:r>
            <w:r w:rsidRPr="00066114">
              <w:rPr>
                <w:rFonts w:eastAsiaTheme="majorEastAsia"/>
                <w:sz w:val="16"/>
                <w:szCs w:val="16"/>
              </w:rPr>
              <w:t>LTER: Comparative Study of a Suite of Lakes in Wisconsin</w:t>
            </w:r>
          </w:p>
        </w:tc>
        <w:tc>
          <w:tcPr>
            <w:tcW w:w="1239" w:type="dxa"/>
          </w:tcPr>
          <w:p w14:paraId="7EBB0CF0" w14:textId="47BFF6E6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2A6FB29E" w14:textId="2D9DBB9F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>DEB-</w:t>
            </w:r>
            <w:r>
              <w:rPr>
                <w:rFonts w:ascii="SFRM1200" w:hAnsi="SFRM1200"/>
                <w:sz w:val="16"/>
                <w:szCs w:val="16"/>
              </w:rPr>
              <w:t>1440297</w:t>
            </w:r>
          </w:p>
          <w:p w14:paraId="68EC423B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3FBA9F6F" w14:textId="77777777" w:rsidTr="00066114">
        <w:tc>
          <w:tcPr>
            <w:tcW w:w="1273" w:type="dxa"/>
          </w:tcPr>
          <w:p w14:paraId="3797E12B" w14:textId="07628F5B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</w:t>
            </w:r>
          </w:p>
        </w:tc>
        <w:tc>
          <w:tcPr>
            <w:tcW w:w="1137" w:type="dxa"/>
          </w:tcPr>
          <w:p w14:paraId="58A611E6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7609983E" w14:textId="7C0A2CC3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Solomon</w:t>
            </w:r>
          </w:p>
        </w:tc>
        <w:tc>
          <w:tcPr>
            <w:tcW w:w="1462" w:type="dxa"/>
          </w:tcPr>
          <w:p w14:paraId="69226DBE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68D90F87" w14:textId="6E304227" w:rsidR="00066114" w:rsidRPr="00066114" w:rsidRDefault="00066114" w:rsidP="00066114">
            <w:pPr>
              <w:rPr>
                <w:sz w:val="16"/>
                <w:szCs w:val="16"/>
              </w:rPr>
            </w:pPr>
            <w:r w:rsidRPr="00066114">
              <w:rPr>
                <w:sz w:val="16"/>
                <w:szCs w:val="16"/>
              </w:rPr>
              <w:t>Collaborative research: Regulation of lake productivity by terrestrial dissolved organic matter</w:t>
            </w:r>
          </w:p>
        </w:tc>
        <w:tc>
          <w:tcPr>
            <w:tcW w:w="1239" w:type="dxa"/>
          </w:tcPr>
          <w:p w14:paraId="6A359165" w14:textId="208D0349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Science Foundation</w:t>
            </w:r>
          </w:p>
        </w:tc>
        <w:tc>
          <w:tcPr>
            <w:tcW w:w="1681" w:type="dxa"/>
          </w:tcPr>
          <w:p w14:paraId="728C914F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 w:rsidRPr="00066114">
              <w:rPr>
                <w:rFonts w:ascii="SFRM1200" w:hAnsi="SFRM1200"/>
                <w:sz w:val="16"/>
                <w:szCs w:val="16"/>
              </w:rPr>
              <w:t xml:space="preserve">DEB-1754363 </w:t>
            </w:r>
          </w:p>
          <w:p w14:paraId="2417CA5A" w14:textId="77777777" w:rsidR="00066114" w:rsidRPr="00066114" w:rsidRDefault="00066114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</w:p>
        </w:tc>
      </w:tr>
      <w:tr w:rsidR="00066114" w14:paraId="7C093A1F" w14:textId="77777777" w:rsidTr="00066114">
        <w:tc>
          <w:tcPr>
            <w:tcW w:w="1273" w:type="dxa"/>
          </w:tcPr>
          <w:p w14:paraId="75833CC3" w14:textId="5C8B6837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</w:t>
            </w:r>
          </w:p>
        </w:tc>
        <w:tc>
          <w:tcPr>
            <w:tcW w:w="1137" w:type="dxa"/>
          </w:tcPr>
          <w:p w14:paraId="46BF0411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290BEA80" w14:textId="2B836F48" w:rsidR="00066114" w:rsidRDefault="00066114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Hanson</w:t>
            </w:r>
          </w:p>
        </w:tc>
        <w:tc>
          <w:tcPr>
            <w:tcW w:w="1462" w:type="dxa"/>
          </w:tcPr>
          <w:p w14:paraId="493000AC" w14:textId="77777777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85" w:type="dxa"/>
          </w:tcPr>
          <w:p w14:paraId="5196ADF6" w14:textId="44F3D0F1" w:rsidR="00066114" w:rsidRPr="00066114" w:rsidRDefault="00066114" w:rsidP="00066114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14:paraId="1C9C8A4A" w14:textId="02A624C7" w:rsidR="00066114" w:rsidRDefault="0044143B" w:rsidP="00066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Gordon and Betty Moore Foundation</w:t>
            </w:r>
          </w:p>
        </w:tc>
        <w:tc>
          <w:tcPr>
            <w:tcW w:w="1681" w:type="dxa"/>
          </w:tcPr>
          <w:p w14:paraId="3C71FD25" w14:textId="374EA73C" w:rsidR="00066114" w:rsidRPr="00066114" w:rsidRDefault="0044143B" w:rsidP="00066114">
            <w:pPr>
              <w:pStyle w:val="NormalWeb"/>
              <w:rPr>
                <w:rFonts w:ascii="SFRM1200" w:hAnsi="SFRM1200"/>
                <w:sz w:val="16"/>
                <w:szCs w:val="16"/>
              </w:rPr>
            </w:pPr>
            <w:r>
              <w:rPr>
                <w:rFonts w:ascii="SFRM1200" w:hAnsi="SFRM1200"/>
                <w:sz w:val="16"/>
                <w:szCs w:val="16"/>
              </w:rPr>
              <w:t>1182</w:t>
            </w:r>
          </w:p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62A0BE6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  <w:r w:rsidR="007272D8">
        <w:t>: 2007</w:t>
      </w:r>
    </w:p>
    <w:p w14:paraId="7FA5FFDE" w14:textId="71D63D2A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7272D8">
        <w:t>: 2017</w:t>
      </w:r>
    </w:p>
    <w:p w14:paraId="1E55F2F1" w14:textId="7807C941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  <w:r w:rsidR="007272D8">
        <w:t>: 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329C00E4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  <w:r w:rsidR="007272D8">
        <w:t xml:space="preserve"> Wisconsin, Ohio, California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3975"/>
        <w:gridCol w:w="1680"/>
        <w:gridCol w:w="1141"/>
      </w:tblGrid>
      <w:tr w:rsidR="00B50088" w14:paraId="26C183D4" w14:textId="77777777" w:rsidTr="00B50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975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8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141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B50088" w14:paraId="1BE6637E" w14:textId="77777777" w:rsidTr="00B5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8EB35DA" w14:textId="7CE750BA" w:rsidR="0084322F" w:rsidRDefault="007272D8">
            <w:r>
              <w:t>lake</w:t>
            </w:r>
          </w:p>
        </w:tc>
        <w:tc>
          <w:tcPr>
            <w:tcW w:w="3975" w:type="dxa"/>
          </w:tcPr>
          <w:p w14:paraId="227DE43C" w14:textId="2CC4864D" w:rsidR="0084322F" w:rsidRDefault="00727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lake</w:t>
            </w:r>
          </w:p>
        </w:tc>
        <w:tc>
          <w:tcPr>
            <w:tcW w:w="1680" w:type="dxa"/>
          </w:tcPr>
          <w:p w14:paraId="52A984D2" w14:textId="6DCB83FF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41" w:type="dxa"/>
          </w:tcPr>
          <w:p w14:paraId="4C5960E1" w14:textId="44AEEC7F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76E1127F" w14:textId="77777777" w:rsidTr="00B50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083A4C0" w14:textId="1D7E188C" w:rsidR="0084322F" w:rsidRDefault="007254D8">
            <w:r>
              <w:t>year</w:t>
            </w:r>
          </w:p>
        </w:tc>
        <w:tc>
          <w:tcPr>
            <w:tcW w:w="3975" w:type="dxa"/>
          </w:tcPr>
          <w:p w14:paraId="05543AA3" w14:textId="49997318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680" w:type="dxa"/>
          </w:tcPr>
          <w:p w14:paraId="0B5A2D73" w14:textId="6B9CBC06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1D8E4B07" w14:textId="7619BA04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4FCA4CB7" w14:textId="77777777" w:rsidTr="00B5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38F92DD" w14:textId="481095BF" w:rsidR="0084322F" w:rsidRDefault="007254D8">
            <w:proofErr w:type="spellStart"/>
            <w:r>
              <w:t>yday</w:t>
            </w:r>
            <w:proofErr w:type="spellEnd"/>
          </w:p>
        </w:tc>
        <w:tc>
          <w:tcPr>
            <w:tcW w:w="3975" w:type="dxa"/>
          </w:tcPr>
          <w:p w14:paraId="26020486" w14:textId="52E8664C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of Year</w:t>
            </w:r>
          </w:p>
        </w:tc>
        <w:tc>
          <w:tcPr>
            <w:tcW w:w="1680" w:type="dxa"/>
          </w:tcPr>
          <w:p w14:paraId="36745329" w14:textId="257E30BA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41" w:type="dxa"/>
          </w:tcPr>
          <w:p w14:paraId="27A71480" w14:textId="6C12A7A3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2FD5D415" w14:textId="77777777" w:rsidTr="00B50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EEDD6A2" w14:textId="222C0D5F" w:rsidR="0084322F" w:rsidRDefault="007254D8">
            <w:r>
              <w:t>date</w:t>
            </w:r>
          </w:p>
        </w:tc>
        <w:tc>
          <w:tcPr>
            <w:tcW w:w="3975" w:type="dxa"/>
          </w:tcPr>
          <w:p w14:paraId="254FC9A3" w14:textId="6794B97B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80" w:type="dxa"/>
          </w:tcPr>
          <w:p w14:paraId="00F74251" w14:textId="5B282C41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141" w:type="dxa"/>
          </w:tcPr>
          <w:p w14:paraId="28B7D792" w14:textId="5AE924A4" w:rsidR="0084322F" w:rsidRDefault="00725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:rsidRPr="00090075" w14:paraId="165044B7" w14:textId="77777777" w:rsidTr="00B5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935F904" w14:textId="2B1D5F34" w:rsidR="0084322F" w:rsidRDefault="007254D8">
            <w:r>
              <w:t>o2_pp_mmolcm3d</w:t>
            </w:r>
          </w:p>
        </w:tc>
        <w:tc>
          <w:tcPr>
            <w:tcW w:w="3975" w:type="dxa"/>
          </w:tcPr>
          <w:p w14:paraId="669EE64E" w14:textId="2633A796" w:rsidR="0084322F" w:rsidRDefault="00725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(</w:t>
            </w:r>
            <w:proofErr w:type="spellStart"/>
            <w:r w:rsidR="00E2069F">
              <w:t>millimolscarbonpercubicmeterperday</w:t>
            </w:r>
            <w:proofErr w:type="spellEnd"/>
            <w:r>
              <w:t>) estimated from high frequency dissolved oxygen time series.</w:t>
            </w:r>
          </w:p>
        </w:tc>
        <w:tc>
          <w:tcPr>
            <w:tcW w:w="1680" w:type="dxa"/>
          </w:tcPr>
          <w:p w14:paraId="78F62A61" w14:textId="285F7B2D" w:rsidR="0084322F" w:rsidRDefault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41" w:type="dxa"/>
          </w:tcPr>
          <w:p w14:paraId="16C4C899" w14:textId="4CEDEC1D" w:rsidR="0084322F" w:rsidRDefault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0B633310" w14:textId="77777777" w:rsidTr="00B50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68DDA0" w14:textId="038AF039" w:rsidR="0084322F" w:rsidRPr="00E2069F" w:rsidRDefault="00E2069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o2_pp_025_ci</w:t>
            </w:r>
          </w:p>
        </w:tc>
        <w:tc>
          <w:tcPr>
            <w:tcW w:w="3975" w:type="dxa"/>
          </w:tcPr>
          <w:p w14:paraId="720AFEFD" w14:textId="22C84E01" w:rsidR="0084322F" w:rsidRDefault="00E20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Lower credible interval (0.025 percent) of production </w:t>
            </w:r>
            <w:r>
              <w:t>(</w:t>
            </w:r>
            <w:proofErr w:type="spellStart"/>
            <w:r>
              <w:t>millimolscarbonpercubicmeterperday</w:t>
            </w:r>
            <w:proofErr w:type="spellEnd"/>
            <w:r>
              <w:t>) estimated from high frequency dissolved oxygen time series.</w:t>
            </w:r>
          </w:p>
        </w:tc>
        <w:tc>
          <w:tcPr>
            <w:tcW w:w="1680" w:type="dxa"/>
          </w:tcPr>
          <w:p w14:paraId="2AE53522" w14:textId="5ABAB1BA" w:rsidR="0084322F" w:rsidRDefault="00B5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41" w:type="dxa"/>
          </w:tcPr>
          <w:p w14:paraId="363431B1" w14:textId="1F52303D" w:rsidR="0084322F" w:rsidRDefault="00B5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6759D517" w14:textId="77777777" w:rsidTr="00B5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AAA588" w14:textId="35CDCCFA" w:rsidR="0084322F" w:rsidRPr="00B50088" w:rsidRDefault="00B500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o2_pp_975_ci</w:t>
            </w:r>
          </w:p>
        </w:tc>
        <w:tc>
          <w:tcPr>
            <w:tcW w:w="3975" w:type="dxa"/>
          </w:tcPr>
          <w:p w14:paraId="689D3F80" w14:textId="020435D5" w:rsidR="0084322F" w:rsidRDefault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Upper</w:t>
            </w:r>
            <w:r>
              <w:t xml:space="preserve"> credible interval (0.</w:t>
            </w:r>
            <w:r>
              <w:t>975</w:t>
            </w:r>
            <w:r>
              <w:t xml:space="preserve"> percent) of production (</w:t>
            </w:r>
            <w:proofErr w:type="spellStart"/>
            <w:r>
              <w:t>millimolscarbonpercubicmeterperday</w:t>
            </w:r>
            <w:proofErr w:type="spellEnd"/>
            <w:r>
              <w:t>) estimated from high frequency dissolved oxygen time series.</w:t>
            </w:r>
          </w:p>
        </w:tc>
        <w:tc>
          <w:tcPr>
            <w:tcW w:w="1680" w:type="dxa"/>
          </w:tcPr>
          <w:p w14:paraId="7399FD52" w14:textId="3CCDD9CA" w:rsidR="0084322F" w:rsidRDefault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41" w:type="dxa"/>
          </w:tcPr>
          <w:p w14:paraId="75981B3C" w14:textId="49121A8E" w:rsidR="0084322F" w:rsidRDefault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2C65A279" w14:textId="77777777" w:rsidTr="00B50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650D7EB" w14:textId="1952B48D" w:rsidR="00B50088" w:rsidRDefault="00B50088" w:rsidP="00B500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c14_pp_mmolcm3d</w:t>
            </w:r>
          </w:p>
        </w:tc>
        <w:tc>
          <w:tcPr>
            <w:tcW w:w="3975" w:type="dxa"/>
          </w:tcPr>
          <w:p w14:paraId="16785593" w14:textId="62146090" w:rsidR="00B50088" w:rsidRDefault="00B50088" w:rsidP="00B5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 (</w:t>
            </w:r>
            <w:proofErr w:type="spellStart"/>
            <w:r>
              <w:t>millimolscarbonpercubicmeterperday</w:t>
            </w:r>
            <w:proofErr w:type="spellEnd"/>
            <w:r>
              <w:t xml:space="preserve">) estimated from </w:t>
            </w:r>
            <w:r>
              <w:t>14C radio isotope incubations</w:t>
            </w:r>
          </w:p>
        </w:tc>
        <w:tc>
          <w:tcPr>
            <w:tcW w:w="1680" w:type="dxa"/>
          </w:tcPr>
          <w:p w14:paraId="21779DFA" w14:textId="387D8552" w:rsidR="00B50088" w:rsidRDefault="00B50088" w:rsidP="00B5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41" w:type="dxa"/>
          </w:tcPr>
          <w:p w14:paraId="04F454CB" w14:textId="27EEA3FF" w:rsidR="00B50088" w:rsidRDefault="00B50088" w:rsidP="00B50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50088" w14:paraId="31114FB6" w14:textId="77777777" w:rsidTr="00B50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216D4AC" w14:textId="3A6456F3" w:rsidR="00B50088" w:rsidRDefault="00B50088" w:rsidP="00B5008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avg_o2_pp_mmolcm3d</w:t>
            </w:r>
          </w:p>
        </w:tc>
        <w:tc>
          <w:tcPr>
            <w:tcW w:w="3975" w:type="dxa"/>
          </w:tcPr>
          <w:p w14:paraId="50E9A6B8" w14:textId="6B958E30" w:rsidR="00B50088" w:rsidRDefault="00B50088" w:rsidP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(median value) p</w:t>
            </w:r>
            <w:r>
              <w:t>roduction (</w:t>
            </w:r>
            <w:proofErr w:type="spellStart"/>
            <w:r>
              <w:t>millimolscarbonpercubicmeterperday</w:t>
            </w:r>
            <w:proofErr w:type="spellEnd"/>
            <w:r>
              <w:t>)</w:t>
            </w:r>
            <w:r>
              <w:t xml:space="preserve"> over a 7 day time period centered on the day of observation</w:t>
            </w:r>
            <w:r>
              <w:t xml:space="preserve"> estimated from high frequency dissolved oxygen time </w:t>
            </w:r>
            <w:proofErr w:type="gramStart"/>
            <w:r>
              <w:t>series</w:t>
            </w:r>
            <w:r>
              <w:t xml:space="preserve"> .</w:t>
            </w:r>
            <w:proofErr w:type="gramEnd"/>
          </w:p>
        </w:tc>
        <w:tc>
          <w:tcPr>
            <w:tcW w:w="1680" w:type="dxa"/>
          </w:tcPr>
          <w:p w14:paraId="2EADD1B0" w14:textId="175E267D" w:rsidR="00B50088" w:rsidRDefault="0093192A" w:rsidP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141" w:type="dxa"/>
          </w:tcPr>
          <w:p w14:paraId="5D52158B" w14:textId="546C07B2" w:rsidR="00B50088" w:rsidRDefault="0093192A" w:rsidP="00B50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606"/>
        <w:gridCol w:w="3593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lastRenderedPageBreak/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37590" w14:textId="77777777" w:rsidR="00FE708D" w:rsidRDefault="00FE708D" w:rsidP="007D556B">
      <w:r>
        <w:separator/>
      </w:r>
    </w:p>
  </w:endnote>
  <w:endnote w:type="continuationSeparator" w:id="0">
    <w:p w14:paraId="2EDB185F" w14:textId="77777777" w:rsidR="00FE708D" w:rsidRDefault="00FE708D" w:rsidP="007D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5E3DC" w14:textId="77777777" w:rsidR="00FE708D" w:rsidRDefault="00FE708D" w:rsidP="007D556B">
      <w:r>
        <w:separator/>
      </w:r>
    </w:p>
  </w:footnote>
  <w:footnote w:type="continuationSeparator" w:id="0">
    <w:p w14:paraId="412EB605" w14:textId="77777777" w:rsidR="00FE708D" w:rsidRDefault="00FE708D" w:rsidP="007D556B"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7C1B"/>
    <w:multiLevelType w:val="multilevel"/>
    <w:tmpl w:val="D042100C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62E75"/>
    <w:multiLevelType w:val="multilevel"/>
    <w:tmpl w:val="F73EA3B4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30ACC"/>
    <w:multiLevelType w:val="multilevel"/>
    <w:tmpl w:val="B7D84B66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6748E"/>
    <w:multiLevelType w:val="multilevel"/>
    <w:tmpl w:val="609E17CE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66114"/>
    <w:rsid w:val="00081799"/>
    <w:rsid w:val="00090075"/>
    <w:rsid w:val="00096337"/>
    <w:rsid w:val="000972B6"/>
    <w:rsid w:val="000A7D7C"/>
    <w:rsid w:val="000F06E9"/>
    <w:rsid w:val="000F1346"/>
    <w:rsid w:val="0016672A"/>
    <w:rsid w:val="00216126"/>
    <w:rsid w:val="00227A01"/>
    <w:rsid w:val="00235150"/>
    <w:rsid w:val="00254FCC"/>
    <w:rsid w:val="00313223"/>
    <w:rsid w:val="003529B9"/>
    <w:rsid w:val="003827D6"/>
    <w:rsid w:val="003F63A4"/>
    <w:rsid w:val="0044143B"/>
    <w:rsid w:val="00451FAE"/>
    <w:rsid w:val="004B6751"/>
    <w:rsid w:val="004D1B17"/>
    <w:rsid w:val="006467BA"/>
    <w:rsid w:val="00723B8F"/>
    <w:rsid w:val="007254D8"/>
    <w:rsid w:val="007272D8"/>
    <w:rsid w:val="007304AC"/>
    <w:rsid w:val="007452FB"/>
    <w:rsid w:val="00756381"/>
    <w:rsid w:val="007977AD"/>
    <w:rsid w:val="007B6751"/>
    <w:rsid w:val="007D556B"/>
    <w:rsid w:val="00806DF1"/>
    <w:rsid w:val="0084322F"/>
    <w:rsid w:val="00902312"/>
    <w:rsid w:val="00904964"/>
    <w:rsid w:val="0093192A"/>
    <w:rsid w:val="009E37A8"/>
    <w:rsid w:val="00B50088"/>
    <w:rsid w:val="00B922BD"/>
    <w:rsid w:val="00BB7798"/>
    <w:rsid w:val="00BD00DF"/>
    <w:rsid w:val="00BD0491"/>
    <w:rsid w:val="00C571B4"/>
    <w:rsid w:val="00DF01BD"/>
    <w:rsid w:val="00E2069F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611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A7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FF45-7127-4305-A76D-01DF52B6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NOAH R LOTTIG</cp:lastModifiedBy>
  <cp:revision>9</cp:revision>
  <dcterms:created xsi:type="dcterms:W3CDTF">2021-01-28T15:09:00Z</dcterms:created>
  <dcterms:modified xsi:type="dcterms:W3CDTF">2021-01-28T20:47:00Z</dcterms:modified>
</cp:coreProperties>
</file>