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80"/>
      </w:pPr>
      <w:r>
        <w:rPr>
          <w:rFonts w:ascii="Calibri" w:hAnsi="Calibri"/>
          <w:b/>
          <w:color w:val="E65067"/>
          <w:sz w:val="26"/>
        </w:rPr>
        <w:t>FIGHT IQ</w:t>
      </w:r>
      <w:r>
        <w:rPr>
          <w:rFonts w:ascii="Calibri" w:hAnsi="Calibri"/>
          <w:color w:val="66758A"/>
          <w:sz w:val="18"/>
        </w:rPr>
        <w:t xml:space="preserve">   /   DEVELOPER DOCUMENTATION</w:t>
      </w:r>
    </w:p>
    <w:p>
      <w:pPr>
        <w:spacing w:after="240" w:line="228" w:lineRule="auto"/>
      </w:pPr>
      <w:r>
        <w:rPr>
          <w:rFonts w:ascii="Calibri" w:hAnsi="Calibri"/>
          <w:b/>
          <w:color w:val="12233F"/>
          <w:sz w:val="60"/>
        </w:rPr>
        <w:t>FightIQ Research Implementation Gameplan and Risk Register</w:t>
      </w:r>
    </w:p>
    <w:tbl>
      <w:tblPr>
        <w:tblW w:type="auto" w:w="0"/>
        <w:jc w:val="left"/>
        <w:tblLayout w:type="fixed"/>
        <w:tblLook w:firstColumn="1" w:firstRow="1" w:lastColumn="0" w:lastRow="0" w:noHBand="0" w:noVBand="1" w:val="04A0"/>
      </w:tblPr>
      <w:tblGrid>
        <w:gridCol w:w="4680"/>
        <w:gridCol w:w="4680"/>
      </w:tblGrid>
      <w:tr>
        <w:tc>
          <w:tcPr>
            <w:tcW w:type="dxa" w:w="1000"/>
            <w:shd w:fill="E65067"/>
            <w:tcMar>
              <w:top w:w="0" w:type="dxa"/>
              <w:start w:w="0" w:type="dxa"/>
              <w:bottom w:w="0" w:type="dxa"/>
              <w:end w:w="0" w:type="dxa"/>
            </w:tcMar>
          </w:tcPr>
          <w:p/>
        </w:tc>
        <w:tc>
          <w:tcPr>
            <w:tcW w:type="dxa" w:w="8360"/>
            <w:shd w:fill="2E74B5"/>
            <w:tcMar>
              <w:top w:w="0" w:type="dxa"/>
              <w:start w:w="0" w:type="dxa"/>
              <w:bottom w:w="0" w:type="dxa"/>
              <w:end w:w="0" w:type="dxa"/>
            </w:tcMar>
          </w:tcPr>
          <w:p/>
        </w:tc>
      </w:tr>
    </w:tbl>
    <w:p>
      <w:pPr>
        <w:spacing w:before="400" w:after="760"/>
      </w:pPr>
      <w:r>
        <w:rPr>
          <w:rFonts w:ascii="Calibri" w:hAnsi="Calibri"/>
          <w:color w:val="66758A"/>
          <w:sz w:val="30"/>
        </w:rPr>
        <w:t>Evidence-based sequencing for duration modeling, market comparison, and release safety</w:t>
      </w: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680"/>
        <w:gridCol w:w="4680"/>
      </w:tblGrid>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AUDITED REPOSITORY</w:t>
            </w:r>
          </w:p>
        </w:tc>
        <w:tc>
          <w:tcPr>
            <w:tcW w:type="dxa" w:w="7060"/>
            <w:shd w:fill="EEF5FB"/>
            <w:tcMar>
              <w:top w:w="100" w:type="dxa"/>
              <w:start w:w="140" w:type="dxa"/>
              <w:bottom w:w="100" w:type="dxa"/>
              <w:end w:w="140" w:type="dxa"/>
            </w:tcMar>
            <w:vAlign w:val="center"/>
          </w:tcPr>
          <w:p>
            <w:pPr>
              <w:spacing w:after="0"/>
            </w:pPr>
            <w:r>
              <w:rPr>
                <w:rFonts w:ascii="Calibri" w:hAnsi="Calibri"/>
                <w:color w:val="202A35"/>
                <w:sz w:val="19"/>
              </w:rPr>
              <w:t>C:\Users\nrmcn\predictor\threejs</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GIT BASELINE</w:t>
            </w:r>
          </w:p>
        </w:tc>
        <w:tc>
          <w:tcPr>
            <w:tcW w:type="dxa" w:w="7060"/>
            <w:shd w:fill="FFFFFF"/>
            <w:tcMar>
              <w:top w:w="100" w:type="dxa"/>
              <w:start w:w="140" w:type="dxa"/>
              <w:bottom w:w="100" w:type="dxa"/>
              <w:end w:w="140" w:type="dxa"/>
            </w:tcMar>
            <w:vAlign w:val="center"/>
          </w:tcPr>
          <w:p>
            <w:pPr>
              <w:spacing w:after="0"/>
            </w:pPr>
            <w:r>
              <w:rPr>
                <w:rFonts w:ascii="Calibri" w:hAnsi="Calibri"/>
                <w:color w:val="202A35"/>
                <w:sz w:val="19"/>
              </w:rPr>
              <w:t>threejs-playground  •  commit 14bf2d4</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AUDIT DATE</w:t>
            </w:r>
          </w:p>
        </w:tc>
        <w:tc>
          <w:tcPr>
            <w:tcW w:type="dxa" w:w="7060"/>
            <w:shd w:fill="EEF5FB"/>
            <w:tcMar>
              <w:top w:w="100" w:type="dxa"/>
              <w:start w:w="140" w:type="dxa"/>
              <w:bottom w:w="100" w:type="dxa"/>
              <w:end w:w="140" w:type="dxa"/>
            </w:tcMar>
            <w:vAlign w:val="center"/>
          </w:tcPr>
          <w:p>
            <w:pPr>
              <w:spacing w:after="0"/>
            </w:pPr>
            <w:r>
              <w:rPr>
                <w:rFonts w:ascii="Calibri" w:hAnsi="Calibri"/>
                <w:color w:val="202A35"/>
                <w:sz w:val="19"/>
              </w:rPr>
              <w:t>July 13, 2026</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DOCUMENT STATUS</w:t>
            </w:r>
          </w:p>
        </w:tc>
        <w:tc>
          <w:tcPr>
            <w:tcW w:type="dxa" w:w="7060"/>
            <w:shd w:fill="FFFFFF"/>
            <w:tcMar>
              <w:top w:w="100" w:type="dxa"/>
              <w:start w:w="140" w:type="dxa"/>
              <w:bottom w:w="100" w:type="dxa"/>
              <w:end w:w="140" w:type="dxa"/>
            </w:tcMar>
            <w:vAlign w:val="center"/>
          </w:tcPr>
          <w:p>
            <w:pPr>
              <w:spacing w:after="0"/>
            </w:pPr>
            <w:r>
              <w:rPr>
                <w:rFonts w:ascii="Calibri" w:hAnsi="Calibri"/>
                <w:color w:val="202A35"/>
                <w:sz w:val="19"/>
              </w:rPr>
              <w:t>Standalone, implementation-verified baseline</w:t>
            </w:r>
          </w:p>
        </w:tc>
      </w:tr>
    </w:tbl>
    <w:p>
      <w:pPr>
        <w:spacing w:before="560" w:after="0"/>
      </w:pPr>
      <w:r>
        <w:rPr>
          <w:b/>
          <w:color w:val="E65067"/>
          <w:sz w:val="18"/>
        </w:rPr>
        <w:t>EVIDENCE RULE</w:t>
      </w:r>
      <w:r>
        <w:rPr>
          <w:color w:val="66758A"/>
        </w:rPr>
        <w:t xml:space="preserve">  Current behavior is separated from proposed, experimental, legacy, and uncertain material.</w:t>
      </w:r>
    </w:p>
    <w:p>
      <w:r>
        <w:br w:type="page"/>
      </w:r>
    </w:p>
    <w:p>
      <w:pPr>
        <w:pStyle w:val="Heading2"/>
      </w:pPr>
      <w:r>
        <w:rPr>
          <w:rFonts w:ascii="Calibri" w:hAnsi="Calibri"/>
        </w:rPr>
        <w:t>Document control and decision rules</w:t>
      </w:r>
    </w:p>
    <w:p>
      <w:r>
        <w:rPr>
          <w:rFonts w:ascii="Calibri" w:hAnsi="Calibri"/>
        </w:rPr>
        <w:t>This plan is derived from the implementation, generated artifacts, local data, experiment records, and current tests in the audited checkout. It is deliberately self-contained.</w:t>
      </w:r>
    </w:p>
    <w:p>
      <w:r>
        <w:rPr>
          <w:rFonts w:ascii="Calibri" w:hAnsi="Calibri"/>
        </w:rPr>
        <w:t>Evidence is ranked in this order:</w:t>
      </w:r>
    </w:p>
    <w:p>
      <w:pPr>
        <w:pStyle w:val="ListNumber"/>
        <w:numPr>
          <w:ilvl w:val="0"/>
          <w:numId w:val="10"/>
        </w:numPr>
      </w:pPr>
      <w:r>
        <w:rPr>
          <w:rFonts w:ascii="Calibri" w:hAnsi="Calibri"/>
        </w:rPr>
        <w:t>Reproducible, leakage-safe experiments recorded in this repository.</w:t>
      </w:r>
    </w:p>
    <w:p>
      <w:pPr>
        <w:pStyle w:val="ListNumber"/>
        <w:numPr>
          <w:ilvl w:val="0"/>
          <w:numId w:val="10"/>
        </w:numPr>
      </w:pPr>
      <w:r>
        <w:rPr>
          <w:rFonts w:ascii="Calibri" w:hAnsi="Calibri"/>
        </w:rPr>
        <w:t>Current local artifact metadata and database/file schemas.</w:t>
      </w:r>
    </w:p>
    <w:p>
      <w:pPr>
        <w:pStyle w:val="ListNumber"/>
        <w:numPr>
          <w:ilvl w:val="0"/>
          <w:numId w:val="10"/>
        </w:numPr>
      </w:pPr>
      <w:r>
        <w:rPr>
          <w:rFonts w:ascii="Calibri" w:hAnsi="Calibri"/>
        </w:rPr>
        <w:t>Executable source code and tests.</w:t>
      </w:r>
    </w:p>
    <w:p>
      <w:pPr>
        <w:pStyle w:val="ListNumber"/>
        <w:numPr>
          <w:ilvl w:val="0"/>
          <w:numId w:val="10"/>
        </w:numPr>
      </w:pPr>
      <w:r>
        <w:rPr>
          <w:rFonts w:ascii="Calibri" w:hAnsi="Calibri"/>
        </w:rPr>
        <w:t>Repository documentation that agrees with the implementation.</w:t>
      </w:r>
    </w:p>
    <w:p>
      <w:pPr>
        <w:pStyle w:val="ListNumber"/>
        <w:numPr>
          <w:ilvl w:val="0"/>
          <w:numId w:val="10"/>
        </w:numPr>
      </w:pPr>
      <w:r>
        <w:rPr>
          <w:rFonts w:ascii="Calibri" w:hAnsi="Calibri"/>
        </w:rPr>
        <w:t>External or conceptual research claims that have not yet been reproduced here.</w:t>
      </w:r>
    </w:p>
    <w:p>
      <w:r>
        <w:rPr>
          <w:rFonts w:ascii="Calibri" w:hAnsi="Calibri"/>
        </w:rPr>
        <w:t xml:space="preserve">The label </w:t>
      </w:r>
      <w:r>
        <w:rPr>
          <w:rFonts w:ascii="Calibri" w:hAnsi="Calibri"/>
          <w:b/>
        </w:rPr>
        <w:t>Current</w:t>
      </w:r>
      <w:r>
        <w:rPr>
          <w:rFonts w:ascii="Calibri" w:hAnsi="Calibri"/>
        </w:rPr>
        <w:t xml:space="preserve"> means implemented at the audited commit. </w:t>
      </w:r>
      <w:r>
        <w:rPr>
          <w:rFonts w:ascii="Calibri" w:hAnsi="Calibri"/>
          <w:b/>
        </w:rPr>
        <w:t>Proposed</w:t>
      </w:r>
      <w:r>
        <w:rPr>
          <w:rFonts w:ascii="Calibri" w:hAnsi="Calibri"/>
        </w:rPr>
        <w:t xml:space="preserve"> means recommended work. </w:t>
      </w:r>
      <w:r>
        <w:rPr>
          <w:rFonts w:ascii="Calibri" w:hAnsi="Calibri"/>
          <w:b/>
        </w:rPr>
        <w:t>Experimental</w:t>
      </w:r>
      <w:r>
        <w:rPr>
          <w:rFonts w:ascii="Calibri" w:hAnsi="Calibri"/>
        </w:rPr>
        <w:t xml:space="preserve"> means present but not production-serving. </w:t>
      </w:r>
      <w:r>
        <w:rPr>
          <w:rFonts w:ascii="Calibri" w:hAnsi="Calibri"/>
          <w:b/>
        </w:rPr>
        <w:t>Legacy/stale</w:t>
      </w:r>
      <w:r>
        <w:rPr>
          <w:rFonts w:ascii="Calibri" w:hAnsi="Calibri"/>
        </w:rPr>
        <w:t xml:space="preserve"> means superseded or contradicted by newer repository evidence. Every numerical acceptance threshold in this document is marked as either an existing baseline or a proposed gate.</w:t>
      </w:r>
    </w:p>
    <w:p>
      <w:pPr>
        <w:pStyle w:val="Heading2"/>
      </w:pPr>
      <w:r>
        <w:rPr>
          <w:rFonts w:ascii="Calibri" w:hAnsi="Calibri"/>
        </w:rPr>
        <w:t>Table of contents</w:t>
      </w:r>
    </w:p>
    <w:p>
      <w:pPr>
        <w:pStyle w:val="ListNumber"/>
        <w:numPr>
          <w:ilvl w:val="0"/>
          <w:numId w:val="11"/>
        </w:numPr>
      </w:pPr>
      <w:r>
        <w:rPr>
          <w:rFonts w:ascii="Calibri" w:hAnsi="Calibri"/>
        </w:rPr>
        <w:t>Executive decision summary</w:t>
      </w:r>
    </w:p>
    <w:p>
      <w:pPr>
        <w:pStyle w:val="ListNumber"/>
        <w:numPr>
          <w:ilvl w:val="0"/>
          <w:numId w:val="11"/>
        </w:numPr>
      </w:pPr>
      <w:r>
        <w:rPr>
          <w:rFonts w:ascii="Calibri" w:hAnsi="Calibri"/>
        </w:rPr>
        <w:t>Verified baseline</w:t>
      </w:r>
    </w:p>
    <w:p>
      <w:pPr>
        <w:pStyle w:val="ListNumber"/>
        <w:numPr>
          <w:ilvl w:val="0"/>
          <w:numId w:val="11"/>
        </w:numPr>
      </w:pPr>
      <w:r>
        <w:rPr>
          <w:rFonts w:ascii="Calibri" w:hAnsi="Calibri"/>
        </w:rPr>
        <w:t>Research reconciliation</w:t>
      </w:r>
    </w:p>
    <w:p>
      <w:pPr>
        <w:pStyle w:val="ListNumber"/>
        <w:numPr>
          <w:ilvl w:val="0"/>
          <w:numId w:val="11"/>
        </w:numPr>
      </w:pPr>
      <w:r>
        <w:rPr>
          <w:rFonts w:ascii="Calibri" w:hAnsi="Calibri"/>
        </w:rPr>
        <w:t>Target architecture</w:t>
      </w:r>
    </w:p>
    <w:p>
      <w:pPr>
        <w:pStyle w:val="ListNumber"/>
        <w:numPr>
          <w:ilvl w:val="0"/>
          <w:numId w:val="11"/>
        </w:numPr>
      </w:pPr>
      <w:r>
        <w:rPr>
          <w:rFonts w:ascii="Calibri" w:hAnsi="Calibri"/>
        </w:rPr>
        <w:t>Phased implementation roadmap</w:t>
      </w:r>
    </w:p>
    <w:p>
      <w:pPr>
        <w:pStyle w:val="ListNumber"/>
        <w:numPr>
          <w:ilvl w:val="0"/>
          <w:numId w:val="11"/>
        </w:numPr>
      </w:pPr>
      <w:r>
        <w:rPr>
          <w:rFonts w:ascii="Calibri" w:hAnsi="Calibri"/>
        </w:rPr>
        <w:t>Fight-duration and totals implementation specification</w:t>
      </w:r>
    </w:p>
    <w:p>
      <w:pPr>
        <w:pStyle w:val="ListNumber"/>
        <w:numPr>
          <w:ilvl w:val="0"/>
          <w:numId w:val="11"/>
        </w:numPr>
      </w:pPr>
      <w:r>
        <w:rPr>
          <w:rFonts w:ascii="Calibri" w:hAnsi="Calibri"/>
        </w:rPr>
        <w:t>Model and data research tracks</w:t>
      </w:r>
    </w:p>
    <w:p>
      <w:pPr>
        <w:pStyle w:val="ListNumber"/>
        <w:numPr>
          <w:ilvl w:val="0"/>
          <w:numId w:val="11"/>
        </w:numPr>
      </w:pPr>
      <w:r>
        <w:rPr>
          <w:rFonts w:ascii="Calibri" w:hAnsi="Calibri"/>
        </w:rPr>
        <w:t>Reliability and release engineering</w:t>
      </w:r>
    </w:p>
    <w:p>
      <w:pPr>
        <w:pStyle w:val="ListNumber"/>
        <w:numPr>
          <w:ilvl w:val="0"/>
          <w:numId w:val="11"/>
        </w:numPr>
      </w:pPr>
      <w:r>
        <w:rPr>
          <w:rFonts w:ascii="Calibri" w:hAnsi="Calibri"/>
        </w:rPr>
        <w:t>Measurement and acceptance gates</w:t>
      </w:r>
    </w:p>
    <w:p>
      <w:pPr>
        <w:pStyle w:val="ListNumber"/>
        <w:numPr>
          <w:ilvl w:val="0"/>
          <w:numId w:val="11"/>
        </w:numPr>
      </w:pPr>
      <w:r>
        <w:rPr>
          <w:rFonts w:ascii="Calibri" w:hAnsi="Calibri"/>
        </w:rPr>
        <w:t>Risk and concern register</w:t>
      </w:r>
    </w:p>
    <w:p>
      <w:pPr>
        <w:pStyle w:val="ListNumber"/>
        <w:numPr>
          <w:ilvl w:val="0"/>
          <w:numId w:val="11"/>
        </w:numPr>
      </w:pPr>
      <w:r>
        <w:rPr>
          <w:rFonts w:ascii="Calibri" w:hAnsi="Calibri"/>
        </w:rPr>
        <w:t>Dependencies, sequencing, and rollback</w:t>
      </w:r>
    </w:p>
    <w:p>
      <w:pPr>
        <w:pStyle w:val="ListNumber"/>
        <w:numPr>
          <w:ilvl w:val="0"/>
          <w:numId w:val="11"/>
        </w:numPr>
      </w:pPr>
      <w:r>
        <w:rPr>
          <w:rFonts w:ascii="Calibri" w:hAnsi="Calibri"/>
        </w:rPr>
        <w:t>Recommended next work session</w:t>
      </w:r>
    </w:p>
    <w:p>
      <w:pPr>
        <w:pStyle w:val="ListNumber"/>
        <w:numPr>
          <w:ilvl w:val="0"/>
          <w:numId w:val="11"/>
        </w:numPr>
      </w:pPr>
      <w:r>
        <w:rPr>
          <w:rFonts w:ascii="Calibri" w:hAnsi="Calibri"/>
        </w:rPr>
        <w:t>Practical kickoff checklist</w:t>
      </w:r>
    </w:p>
    <w:p>
      <w:r>
        <w:br w:type="page"/>
      </w:r>
    </w:p>
    <w:p>
      <w:pPr>
        <w:pStyle w:val="Heading1"/>
      </w:pPr>
      <w:r>
        <w:rPr>
          <w:rFonts w:ascii="Calibri" w:hAnsi="Calibri"/>
        </w:rPr>
        <w:t>1. Executive decision summary</w:t>
      </w:r>
    </w:p>
    <w:p>
      <w:r>
        <w:rPr>
          <w:rFonts w:ascii="Calibri" w:hAnsi="Calibri"/>
        </w:rPr>
        <w:t xml:space="preserve">FightIQ should not treat the current </w:t>
      </w:r>
      <w:r>
        <w:rPr>
          <w:rFonts w:ascii="Consolas" w:hAnsi="Consolas"/>
          <w:color w:val="2E74B5"/>
          <w:sz w:val="19"/>
        </w:rPr>
        <w:t>Model distance</w:t>
      </w:r>
      <w:r>
        <w:rPr>
          <w:rFonts w:ascii="Calibri" w:hAnsi="Calibri"/>
        </w:rPr>
        <w:t xml:space="preserve"> percentage as a finished over/under model. </w:t>
      </w:r>
      <w:r>
        <w:rPr>
          <w:rFonts w:ascii="Calibri" w:hAnsi="Calibri"/>
          <w:b/>
        </w:rPr>
        <w:t>Current:</w:t>
      </w:r>
      <w:r>
        <w:rPr>
          <w:rFonts w:ascii="Calibri" w:hAnsi="Calibri"/>
        </w:rPr>
        <w:t xml:space="preserve"> it is the broad method model's calibrated probability of the </w:t>
      </w:r>
      <w:r>
        <w:rPr>
          <w:rFonts w:ascii="Consolas" w:hAnsi="Consolas"/>
          <w:color w:val="2E74B5"/>
          <w:sz w:val="19"/>
        </w:rPr>
        <w:t>Decision</w:t>
      </w:r>
      <w:r>
        <w:rPr>
          <w:rFonts w:ascii="Calibri" w:hAnsi="Calibri"/>
        </w:rPr>
        <w:t xml:space="preserve"> class. That is useful context, but it does not estimate the probability that a fight lasts beyond a quoted sportsbook line such as 2.5 or 4.5 rounds. A fight can finish after the line and still settle Over, so </w:t>
      </w:r>
      <w:r>
        <w:rPr>
          <w:rFonts w:ascii="Consolas" w:hAnsi="Consolas"/>
          <w:color w:val="2E74B5"/>
          <w:sz w:val="19"/>
        </w:rPr>
        <w:t>P(Decision)</w:t>
      </w:r>
      <w:r>
        <w:rPr>
          <w:rFonts w:ascii="Calibri" w:hAnsi="Calibri"/>
        </w:rPr>
        <w:t xml:space="preserve"> systematically answers a different question.</w:t>
      </w:r>
    </w:p>
    <w:p>
      <w:r>
        <w:rPr>
          <w:rFonts w:ascii="Calibri" w:hAnsi="Calibri"/>
        </w:rPr>
        <w:t>The recommended sequence is:</w:t>
      </w:r>
    </w:p>
    <w:p>
      <w:pPr>
        <w:pStyle w:val="ListNumber"/>
        <w:numPr>
          <w:ilvl w:val="0"/>
          <w:numId w:val="12"/>
        </w:numPr>
      </w:pPr>
      <w:r>
        <w:rPr>
          <w:rFonts w:ascii="Calibri" w:hAnsi="Calibri"/>
        </w:rPr>
        <w:t>Stabilize provenance, refresh observability, pipeline parity, and fighter identity boundaries.</w:t>
      </w:r>
    </w:p>
    <w:p>
      <w:pPr>
        <w:pStyle w:val="ListNumber"/>
        <w:numPr>
          <w:ilvl w:val="0"/>
          <w:numId w:val="12"/>
        </w:numPr>
      </w:pPr>
      <w:r>
        <w:rPr>
          <w:rFonts w:ascii="Calibri" w:hAnsi="Calibri"/>
        </w:rPr>
        <w:t>Establish reliable totals-line ingestion and coverage reporting.</w:t>
      </w:r>
    </w:p>
    <w:p>
      <w:pPr>
        <w:pStyle w:val="ListNumber"/>
        <w:numPr>
          <w:ilvl w:val="0"/>
          <w:numId w:val="12"/>
        </w:numPr>
      </w:pPr>
      <w:r>
        <w:rPr>
          <w:rFonts w:ascii="Calibri" w:hAnsi="Calibri"/>
        </w:rPr>
        <w:t xml:space="preserve">Build a dedicated calibrated duration/survival model that predicts </w:t>
      </w:r>
      <w:r>
        <w:rPr>
          <w:rFonts w:ascii="Consolas" w:hAnsi="Consolas"/>
          <w:color w:val="2E74B5"/>
          <w:sz w:val="19"/>
        </w:rPr>
        <w:t>P(T &gt; quoted threshold)</w:t>
      </w:r>
      <w:r>
        <w:rPr>
          <w:rFonts w:ascii="Calibri" w:hAnsi="Calibri"/>
        </w:rPr>
        <w:t>.</w:t>
      </w:r>
    </w:p>
    <w:p>
      <w:pPr>
        <w:pStyle w:val="ListNumber"/>
        <w:numPr>
          <w:ilvl w:val="0"/>
          <w:numId w:val="12"/>
        </w:numPr>
      </w:pPr>
      <w:r>
        <w:rPr>
          <w:rFonts w:ascii="Calibri" w:hAnsi="Calibri"/>
        </w:rPr>
        <w:t>Ship it in shadow/admin mode, then as a clearly labeled model-versus-market comparison.</w:t>
      </w:r>
    </w:p>
    <w:p>
      <w:pPr>
        <w:pStyle w:val="ListNumber"/>
        <w:numPr>
          <w:ilvl w:val="0"/>
          <w:numId w:val="12"/>
        </w:numPr>
      </w:pPr>
      <w:r>
        <w:rPr>
          <w:rFonts w:ascii="Calibri" w:hAnsi="Calibri"/>
        </w:rPr>
        <w:t>Accumulate prospective line-matched outcomes before displaying any edge or performance claim.</w:t>
      </w:r>
    </w:p>
    <w:p>
      <w:pPr>
        <w:pStyle w:val="ListNumber"/>
        <w:numPr>
          <w:ilvl w:val="0"/>
          <w:numId w:val="12"/>
        </w:numPr>
      </w:pPr>
      <w:r>
        <w:rPr>
          <w:rFonts w:ascii="Calibri" w:hAnsi="Calibri"/>
        </w:rPr>
        <w:t>Pursue additional model research only through chronological, unique-fight, leakage-safe gates.</w:t>
      </w:r>
    </w:p>
    <w:p>
      <w:r>
        <w:rPr>
          <w:rFonts w:ascii="Calibri" w:hAnsi="Calibri"/>
        </w:rPr>
        <w:t>The six existing matchup interaction terms should not simply be wired into production. They were already evaluated across logistic regression, histogram gradient boosting, and XGBoost and were neutral to negative in recorded walk-forward experiments. They become worth revisiting only if new orthogonal inputs—such as reliable style annotations—change what the interactions represent.</w:t>
      </w:r>
    </w:p>
    <w:p>
      <w:pPr>
        <w:pStyle w:val="Heading2"/>
      </w:pPr>
      <w:r>
        <w:rPr>
          <w:rFonts w:ascii="Calibri" w:hAnsi="Calibri"/>
        </w:rPr>
        <w:t>Priority map</w:t>
      </w:r>
    </w:p>
    <w:p>
      <w:pPr>
        <w:spacing w:before="120" w:after="0"/>
        <w:jc w:val="center"/>
      </w:pPr>
      <w:r>
        <w:drawing>
          <wp:inline xmlns:a="http://schemas.openxmlformats.org/drawingml/2006/main" xmlns:pic="http://schemas.openxmlformats.org/drawingml/2006/picture">
            <wp:extent cx="5806440" cy="2645156"/>
            <wp:docPr id="1" name="Picture 1"/>
            <wp:cNvGraphicFramePr>
              <a:graphicFrameLocks noChangeAspect="1"/>
            </wp:cNvGraphicFramePr>
            <a:graphic>
              <a:graphicData uri="http://schemas.openxmlformats.org/drawingml/2006/picture">
                <pic:pic>
                  <pic:nvPicPr>
                    <pic:cNvPr id="0" name="gameplan_1.png"/>
                    <pic:cNvPicPr/>
                  </pic:nvPicPr>
                  <pic:blipFill>
                    <a:blip r:embed="rId11"/>
                    <a:stretch>
                      <a:fillRect/>
                    </a:stretch>
                  </pic:blipFill>
                  <pic:spPr>
                    <a:xfrm>
                      <a:off x="0" y="0"/>
                      <a:ext cx="5806440" cy="2645156"/>
                    </a:xfrm>
                    <a:prstGeom prst="rect"/>
                  </pic:spPr>
                </pic:pic>
              </a:graphicData>
            </a:graphic>
          </wp:inline>
        </w:drawing>
      </w:r>
    </w:p>
    <w:p>
      <w:pPr>
        <w:pStyle w:val="CaptionFI"/>
      </w:pPr>
      <w:r>
        <w:t>Figure 1. Recommended priority and promotion sequence</w:t>
      </w:r>
    </w:p>
    <w:p>
      <w:pPr>
        <w:pStyle w:val="Heading1"/>
      </w:pPr>
      <w:r>
        <w:rPr>
          <w:rFonts w:ascii="Calibri" w:hAnsi="Calibri"/>
        </w:rPr>
        <w:t>2. Verified baseline</w:t>
      </w:r>
    </w:p>
    <w:p>
      <w:pPr>
        <w:pStyle w:val="Heading2"/>
      </w:pPr>
      <w:r>
        <w:rPr>
          <w:rFonts w:ascii="Calibri" w:hAnsi="Calibri"/>
        </w:rPr>
        <w:t>2.1 Product and runtime</w:t>
      </w:r>
    </w:p>
    <w:p>
      <w:r>
        <w:rPr>
          <w:rFonts w:ascii="Calibri" w:hAnsi="Calibri"/>
        </w:rPr>
        <w:t>The application is a FastAPI backend plus React/Vite frontend. It supports winner predictions, method-derived context, upcoming cards, market odds, saved card snapshots, social picks, leaderboards, evaluation views, fighter profiles, and an optional Three.js scene. SQLite is the live transactional store. CSV, JSON, and joblib artifacts support scraping, feature construction, training, and serving. Docker/Fly deployment packages a frontend build, backend, database, and selected model/data artifacts.</w:t>
      </w:r>
    </w:p>
    <w:p>
      <w:pPr>
        <w:pStyle w:val="Heading2"/>
      </w:pPr>
      <w:r>
        <w:rPr>
          <w:rFonts w:ascii="Calibri" w:hAnsi="Calibri"/>
        </w:rPr>
        <w:t>2.2 Model baseline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4485"/>
            <w:tcMar>
              <w:top w:w="80" w:type="dxa"/>
              <w:start w:w="120" w:type="dxa"/>
              <w:bottom w:w="80" w:type="dxa"/>
              <w:end w:w="120" w:type="dxa"/>
            </w:tcMar>
            <w:vAlign w:val="center"/>
            <w:shd w:fill="12233F"/>
          </w:tcPr>
          <w:p>
            <w:pPr>
              <w:spacing w:after="0" w:line="252" w:lineRule="auto"/>
            </w:pPr>
            <w:r>
              <w:rPr>
                <w:rFonts w:ascii="Calibri" w:hAnsi="Calibri"/>
                <w:b/>
                <w:color w:val="FFFFFF"/>
                <w:sz w:val="18"/>
              </w:rPr>
              <w:t>Item</w:t>
            </w:r>
          </w:p>
        </w:tc>
        <w:tc>
          <w:tcPr>
            <w:tcW w:type="dxa" w:w="4875"/>
            <w:tcMar>
              <w:top w:w="80" w:type="dxa"/>
              <w:start w:w="120" w:type="dxa"/>
              <w:bottom w:w="80" w:type="dxa"/>
              <w:end w:w="120" w:type="dxa"/>
            </w:tcMar>
            <w:vAlign w:val="center"/>
            <w:shd w:fill="12233F"/>
          </w:tcPr>
          <w:p>
            <w:pPr>
              <w:spacing w:after="0" w:line="252" w:lineRule="auto"/>
            </w:pPr>
            <w:r>
              <w:rPr>
                <w:rFonts w:ascii="Calibri" w:hAnsi="Calibri"/>
                <w:b/>
                <w:color w:val="FFFFFF"/>
                <w:sz w:val="18"/>
              </w:rPr>
              <w:t>Verified current state</w:t>
            </w:r>
          </w:p>
        </w:tc>
      </w:tr>
      <w:tr>
        <w:trPr>
          <w:cantSplit/>
        </w:trPr>
        <w:tc>
          <w:tcPr>
            <w:tcW w:type="dxa" w:w="4485"/>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recipe</w:t>
            </w:r>
          </w:p>
        </w:tc>
        <w:tc>
          <w:tcPr>
            <w:tcW w:type="dxa" w:w="4875"/>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backend/app/models/model_version.py</w:t>
            </w:r>
            <w:r>
              <w:rPr>
                <w:rFonts w:ascii="Calibri" w:hAnsi="Calibri"/>
                <w:color w:val="202A35"/>
                <w:sz w:val="18"/>
              </w:rPr>
              <w:t xml:space="preserve">, version 1.2, recipe hash </w:t>
            </w:r>
            <w:r>
              <w:rPr>
                <w:rFonts w:ascii="Consolas" w:hAnsi="Consolas"/>
                <w:color w:val="202A35"/>
                <w:sz w:val="18"/>
              </w:rPr>
              <w:t>d15652b351</w:t>
            </w:r>
          </w:p>
        </w:tc>
      </w:tr>
      <w:tr>
        <w:trPr>
          <w:cantSplit/>
        </w:trPr>
        <w:tc>
          <w:tcPr>
            <w:tcW w:type="dxa" w:w="4485"/>
            <w:tcMar>
              <w:top w:w="80" w:type="dxa"/>
              <w:start w:w="120" w:type="dxa"/>
              <w:bottom w:w="80" w:type="dxa"/>
              <w:end w:w="120" w:type="dxa"/>
            </w:tcMar>
            <w:vAlign w:val="center"/>
            <w:shd w:fill="FFFFFF"/>
          </w:tcPr>
          <w:p>
            <w:pPr>
              <w:spacing w:after="0" w:line="252" w:lineRule="auto"/>
            </w:pPr>
            <w:r>
              <w:rPr>
                <w:rFonts w:ascii="Calibri" w:hAnsi="Calibri"/>
                <w:color w:val="202A35"/>
                <w:sz w:val="18"/>
              </w:rPr>
              <w:t>Serving model</w:t>
            </w:r>
          </w:p>
        </w:tc>
        <w:tc>
          <w:tcPr>
            <w:tcW w:type="dxa" w:w="4875"/>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Calibrated logistic winner model with 126 numeric inputs plus categorical </w:t>
            </w:r>
            <w:r>
              <w:rPr>
                <w:rFonts w:ascii="Consolas" w:hAnsi="Consolas"/>
                <w:color w:val="202A35"/>
                <w:sz w:val="18"/>
              </w:rPr>
              <w:t>weight_class</w:t>
            </w:r>
          </w:p>
        </w:tc>
      </w:tr>
      <w:tr>
        <w:trPr>
          <w:cantSplit/>
        </w:trPr>
        <w:tc>
          <w:tcPr>
            <w:tcW w:type="dxa" w:w="4485"/>
            <w:tcMar>
              <w:top w:w="80" w:type="dxa"/>
              <w:start w:w="120" w:type="dxa"/>
              <w:bottom w:w="80" w:type="dxa"/>
              <w:end w:w="120" w:type="dxa"/>
            </w:tcMar>
            <w:vAlign w:val="center"/>
            <w:shd w:fill="EEF5FB"/>
          </w:tcPr>
          <w:p>
            <w:pPr>
              <w:spacing w:after="0" w:line="252" w:lineRule="auto"/>
            </w:pPr>
            <w:r>
              <w:rPr>
                <w:rFonts w:ascii="Calibri" w:hAnsi="Calibri"/>
                <w:color w:val="202A35"/>
                <w:sz w:val="18"/>
              </w:rPr>
              <w:t>Latest recorded winner metrics</w:t>
            </w:r>
          </w:p>
        </w:tc>
        <w:tc>
          <w:tcPr>
            <w:tcW w:type="dxa" w:w="4875"/>
            <w:tcMar>
              <w:top w:w="80" w:type="dxa"/>
              <w:start w:w="120" w:type="dxa"/>
              <w:bottom w:w="80" w:type="dxa"/>
              <w:end w:w="120" w:type="dxa"/>
            </w:tcMar>
            <w:vAlign w:val="center"/>
            <w:shd w:fill="EEF5FB"/>
          </w:tcPr>
          <w:p>
            <w:pPr>
              <w:spacing w:after="0" w:line="252" w:lineRule="auto"/>
            </w:pPr>
            <w:r>
              <w:rPr>
                <w:rFonts w:ascii="Calibri" w:hAnsi="Calibri"/>
                <w:color w:val="202A35"/>
                <w:sz w:val="18"/>
              </w:rPr>
              <w:t>Accuracy 0.6315; Brier 0.2280; log loss 0.6490; AUC 0.6739</w:t>
            </w:r>
          </w:p>
        </w:tc>
      </w:tr>
      <w:tr>
        <w:trPr>
          <w:cantSplit/>
        </w:trPr>
        <w:tc>
          <w:tcPr>
            <w:tcW w:type="dxa" w:w="4485"/>
            <w:tcMar>
              <w:top w:w="80" w:type="dxa"/>
              <w:start w:w="120" w:type="dxa"/>
              <w:bottom w:w="80" w:type="dxa"/>
              <w:end w:w="120" w:type="dxa"/>
            </w:tcMar>
            <w:vAlign w:val="center"/>
            <w:shd w:fill="FFFFFF"/>
          </w:tcPr>
          <w:p>
            <w:pPr>
              <w:spacing w:after="0" w:line="252" w:lineRule="auto"/>
            </w:pPr>
            <w:r>
              <w:rPr>
                <w:rFonts w:ascii="Calibri" w:hAnsi="Calibri"/>
                <w:color w:val="202A35"/>
                <w:sz w:val="18"/>
              </w:rPr>
              <w:t>Chronological split</w:t>
            </w:r>
          </w:p>
        </w:tc>
        <w:tc>
          <w:tcPr>
            <w:tcW w:type="dxa" w:w="4875"/>
            <w:tcMar>
              <w:top w:w="80" w:type="dxa"/>
              <w:start w:w="120" w:type="dxa"/>
              <w:bottom w:w="80" w:type="dxa"/>
              <w:end w:w="120" w:type="dxa"/>
            </w:tcMar>
            <w:vAlign w:val="center"/>
            <w:shd w:fill="FFFFFF"/>
          </w:tcPr>
          <w:p>
            <w:pPr>
              <w:spacing w:after="0" w:line="252" w:lineRule="auto"/>
            </w:pPr>
            <w:r>
              <w:rPr>
                <w:rFonts w:ascii="Calibri" w:hAnsi="Calibri"/>
                <w:color w:val="202A35"/>
                <w:sz w:val="18"/>
              </w:rPr>
              <w:t>6,010 training fights; 859 calibration fights; 1,718 test fights</w:t>
            </w:r>
          </w:p>
        </w:tc>
      </w:tr>
      <w:tr>
        <w:trPr>
          <w:cantSplit/>
        </w:trPr>
        <w:tc>
          <w:tcPr>
            <w:tcW w:type="dxa" w:w="4485"/>
            <w:tcMar>
              <w:top w:w="80" w:type="dxa"/>
              <w:start w:w="120" w:type="dxa"/>
              <w:bottom w:w="80" w:type="dxa"/>
              <w:end w:w="120" w:type="dxa"/>
            </w:tcMar>
            <w:vAlign w:val="center"/>
            <w:shd w:fill="EEF5FB"/>
          </w:tcPr>
          <w:p>
            <w:pPr>
              <w:spacing w:after="0" w:line="252" w:lineRule="auto"/>
            </w:pPr>
            <w:r>
              <w:rPr>
                <w:rFonts w:ascii="Calibri" w:hAnsi="Calibri"/>
                <w:color w:val="202A35"/>
                <w:sz w:val="18"/>
              </w:rPr>
              <w:t>Training coverage</w:t>
            </w:r>
          </w:p>
        </w:tc>
        <w:tc>
          <w:tcPr>
            <w:tcW w:type="dxa" w:w="4875"/>
            <w:tcMar>
              <w:top w:w="80" w:type="dxa"/>
              <w:start w:w="120" w:type="dxa"/>
              <w:bottom w:w="80" w:type="dxa"/>
              <w:end w:w="120" w:type="dxa"/>
            </w:tcMar>
            <w:vAlign w:val="center"/>
            <w:shd w:fill="EEF5FB"/>
          </w:tcPr>
          <w:p>
            <w:pPr>
              <w:spacing w:after="0" w:line="252" w:lineRule="auto"/>
            </w:pPr>
            <w:r>
              <w:rPr>
                <w:rFonts w:ascii="Calibri" w:hAnsi="Calibri"/>
                <w:color w:val="202A35"/>
                <w:sz w:val="18"/>
              </w:rPr>
              <w:t>March 11, 1994 through July 11, 2026</w:t>
            </w:r>
          </w:p>
        </w:tc>
      </w:tr>
      <w:tr>
        <w:trPr>
          <w:cantSplit/>
        </w:trPr>
        <w:tc>
          <w:tcPr>
            <w:tcW w:type="dxa" w:w="4485"/>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model</w:t>
            </w:r>
          </w:p>
        </w:tc>
        <w:tc>
          <w:tcPr>
            <w:tcW w:type="dxa" w:w="4875"/>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Broad and detailed method models; 496 numeric inputs plus categorical </w:t>
            </w:r>
            <w:r>
              <w:rPr>
                <w:rFonts w:ascii="Consolas" w:hAnsi="Consolas"/>
                <w:color w:val="202A35"/>
                <w:sz w:val="18"/>
              </w:rPr>
              <w:t>weight_class</w:t>
            </w:r>
          </w:p>
        </w:tc>
      </w:tr>
      <w:tr>
        <w:trPr>
          <w:cantSplit/>
        </w:trPr>
        <w:tc>
          <w:tcPr>
            <w:tcW w:type="dxa" w:w="4485"/>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Current </w:t>
            </w:r>
            <w:r>
              <w:rPr>
                <w:rFonts w:ascii="Consolas" w:hAnsi="Consolas"/>
                <w:color w:val="202A35"/>
                <w:sz w:val="18"/>
              </w:rPr>
              <w:t>Model distance</w:t>
            </w:r>
          </w:p>
        </w:tc>
        <w:tc>
          <w:tcPr>
            <w:tcW w:type="dxa" w:w="4875"/>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Broad method model probability assigned to </w:t>
            </w:r>
            <w:r>
              <w:rPr>
                <w:rFonts w:ascii="Consolas" w:hAnsi="Consolas"/>
                <w:color w:val="202A35"/>
                <w:sz w:val="18"/>
              </w:rPr>
              <w:t>Decision</w:t>
            </w:r>
          </w:p>
        </w:tc>
      </w:tr>
      <w:tr>
        <w:trPr>
          <w:cantSplit/>
        </w:trPr>
        <w:tc>
          <w:tcPr>
            <w:tcW w:type="dxa" w:w="4485"/>
            <w:tcMar>
              <w:top w:w="80" w:type="dxa"/>
              <w:start w:w="120" w:type="dxa"/>
              <w:bottom w:w="80" w:type="dxa"/>
              <w:end w:w="120" w:type="dxa"/>
            </w:tcMar>
            <w:vAlign w:val="center"/>
            <w:shd w:fill="FFFFFF"/>
          </w:tcPr>
          <w:p>
            <w:pPr>
              <w:spacing w:after="0" w:line="252" w:lineRule="auto"/>
            </w:pPr>
            <w:r>
              <w:rPr>
                <w:rFonts w:ascii="Calibri" w:hAnsi="Calibri"/>
                <w:color w:val="202A35"/>
                <w:sz w:val="18"/>
              </w:rPr>
              <w:t>Provenance</w:t>
            </w:r>
          </w:p>
        </w:tc>
        <w:tc>
          <w:tcPr>
            <w:tcW w:type="dxa" w:w="4875"/>
            <w:tcMar>
              <w:top w:w="80" w:type="dxa"/>
              <w:start w:w="120" w:type="dxa"/>
              <w:bottom w:w="80" w:type="dxa"/>
              <w:end w:w="120" w:type="dxa"/>
            </w:tcMar>
            <w:vAlign w:val="center"/>
            <w:shd w:fill="FFFFFF"/>
          </w:tcPr>
          <w:p>
            <w:pPr>
              <w:spacing w:after="0" w:line="252" w:lineRule="auto"/>
            </w:pPr>
            <w:r>
              <w:rPr>
                <w:rFonts w:ascii="Calibri" w:hAnsi="Calibri"/>
                <w:color w:val="202A35"/>
                <w:sz w:val="18"/>
              </w:rPr>
              <w:t>Metrics include trained time, recipe hash, training-data hash, Git commit, and dirty-worktree flag</w:t>
            </w:r>
          </w:p>
        </w:tc>
      </w:tr>
    </w:tbl>
    <w:p>
      <w:pPr>
        <w:spacing w:after="0"/>
      </w:pPr>
    </w:p>
    <w:p>
      <w:r>
        <w:rPr>
          <w:rFonts w:ascii="Calibri" w:hAnsi="Calibri"/>
        </w:rPr>
        <w:t>The latest winner artifact was trained from a dirty worktree. That does not prove the artifact is invalid, but it prevents the Git commit alone from reproducing the exact source state. Before evaluating new ideas, establish a clean and immutable comparison baseline.</w:t>
      </w:r>
    </w:p>
    <w:p>
      <w:pPr>
        <w:pStyle w:val="Heading2"/>
      </w:pPr>
      <w:r>
        <w:rPr>
          <w:rFonts w:ascii="Calibri" w:hAnsi="Calibri"/>
        </w:rPr>
        <w:t>2.3 Data and market baseline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670"/>
            <w:tcMar>
              <w:top w:w="80" w:type="dxa"/>
              <w:start w:w="120" w:type="dxa"/>
              <w:bottom w:w="80" w:type="dxa"/>
              <w:end w:w="120" w:type="dxa"/>
            </w:tcMar>
            <w:vAlign w:val="center"/>
            <w:shd w:fill="12233F"/>
          </w:tcPr>
          <w:p>
            <w:pPr>
              <w:spacing w:after="0" w:line="252" w:lineRule="auto"/>
            </w:pPr>
            <w:r>
              <w:rPr>
                <w:rFonts w:ascii="Calibri" w:hAnsi="Calibri"/>
                <w:b/>
                <w:color w:val="FFFFFF"/>
                <w:sz w:val="18"/>
              </w:rPr>
              <w:t>Area</w:t>
            </w:r>
          </w:p>
        </w:tc>
        <w:tc>
          <w:tcPr>
            <w:tcW w:type="dxa" w:w="3345"/>
            <w:tcMar>
              <w:top w:w="80" w:type="dxa"/>
              <w:start w:w="120" w:type="dxa"/>
              <w:bottom w:w="80" w:type="dxa"/>
              <w:end w:w="120" w:type="dxa"/>
            </w:tcMar>
            <w:vAlign w:val="center"/>
            <w:shd w:fill="12233F"/>
          </w:tcPr>
          <w:p>
            <w:pPr>
              <w:spacing w:after="0" w:line="252" w:lineRule="auto"/>
            </w:pPr>
            <w:r>
              <w:rPr>
                <w:rFonts w:ascii="Calibri" w:hAnsi="Calibri"/>
                <w:b/>
                <w:color w:val="FFFFFF"/>
                <w:sz w:val="18"/>
              </w:rPr>
              <w:t>Verified current state</w:t>
            </w:r>
          </w:p>
        </w:tc>
        <w:tc>
          <w:tcPr>
            <w:tcW w:type="dxa" w:w="3345"/>
            <w:tcMar>
              <w:top w:w="80" w:type="dxa"/>
              <w:start w:w="120" w:type="dxa"/>
              <w:bottom w:w="80" w:type="dxa"/>
              <w:end w:w="120" w:type="dxa"/>
            </w:tcMar>
            <w:vAlign w:val="center"/>
            <w:shd w:fill="12233F"/>
          </w:tcPr>
          <w:p>
            <w:pPr>
              <w:spacing w:after="0" w:line="252" w:lineRule="auto"/>
            </w:pPr>
            <w:r>
              <w:rPr>
                <w:rFonts w:ascii="Calibri" w:hAnsi="Calibri"/>
                <w:b/>
                <w:color w:val="FFFFFF"/>
                <w:sz w:val="18"/>
              </w:rPr>
              <w:t>Planning consequence</w:t>
            </w:r>
          </w:p>
        </w:tc>
      </w:tr>
      <w:tr>
        <w:trPr>
          <w:cantSplit/>
        </w:trPr>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fights</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8,772 </w:t>
            </w:r>
            <w:r>
              <w:rPr>
                <w:rFonts w:ascii="Consolas" w:hAnsi="Consolas"/>
                <w:color w:val="202A35"/>
                <w:sz w:val="18"/>
              </w:rPr>
              <w:t>event_fights</w:t>
            </w:r>
            <w:r>
              <w:rPr>
                <w:rFonts w:ascii="Calibri" w:hAnsi="Calibri"/>
                <w:color w:val="202A35"/>
                <w:sz w:val="18"/>
              </w:rPr>
              <w:t xml:space="preserve"> rows in SQLite; exported raw CSV has 8,758</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and compatibility CSVs can diverge; define authoritative reads</w:t>
            </w:r>
          </w:p>
        </w:tc>
      </w:tr>
      <w:tr>
        <w:trPr>
          <w:cantSplit/>
        </w:trPr>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Training matchups</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17,174 mirrored rows representing 8,587 unique fights</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Split and score by unique fight, never by mirrored row</w:t>
            </w:r>
          </w:p>
        </w:tc>
      </w:tr>
      <w:tr>
        <w:trPr>
          <w:cantSplit/>
        </w:trPr>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fighter features</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2,694 rows and 134 columns</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Duration work can reuse only pre-fight-safe columns</w:t>
            </w:r>
          </w:p>
        </w:tc>
      </w:tr>
      <w:tr>
        <w:trPr>
          <w:cantSplit/>
        </w:trPr>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Upcoming schedule</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8 events/56 fights in SQLite versus 6/51 in CSV</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UI freshness must use SQLite or explicit regenerated exports</w:t>
            </w:r>
          </w:p>
        </w:tc>
      </w:tr>
      <w:tr>
        <w:trPr>
          <w:cantSplit/>
        </w:trPr>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Moneyline odds</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Implemented and persisted</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Distinguish moneyline availability from totals availability</w:t>
            </w:r>
          </w:p>
        </w:tc>
      </w:tr>
      <w:tr>
        <w:trPr>
          <w:cantSplit/>
        </w:trPr>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Totals fields</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Schema and ingestion code exist</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Implementation presence is not coverage</w:t>
            </w:r>
          </w:p>
        </w:tc>
      </w:tr>
      <w:tr>
        <w:trPr>
          <w:cantSplit/>
        </w:trPr>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Totals coverage</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0 of 58 current </w:t>
            </w:r>
            <w:r>
              <w:rPr>
                <w:rFonts w:ascii="Consolas" w:hAnsi="Consolas"/>
                <w:color w:val="202A35"/>
                <w:sz w:val="18"/>
              </w:rPr>
              <w:t>future_fight_odds</w:t>
            </w:r>
            <w:r>
              <w:rPr>
                <w:rFonts w:ascii="Calibri" w:hAnsi="Calibri"/>
                <w:color w:val="202A35"/>
                <w:sz w:val="18"/>
              </w:rPr>
              <w:t xml:space="preserve"> rows have a non-null total</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Duration UI must show unavailable state until data arrives</w:t>
            </w:r>
          </w:p>
        </w:tc>
      </w:tr>
      <w:tr>
        <w:trPr>
          <w:cantSplit/>
        </w:trPr>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Odds history</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24 SQLite rows versus 19 CSV rows</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Use database-backed evaluation; exports are compatibility outputs</w:t>
            </w:r>
          </w:p>
        </w:tc>
      </w:tr>
    </w:tbl>
    <w:p>
      <w:pPr>
        <w:spacing w:after="0"/>
      </w:pPr>
    </w:p>
    <w:p>
      <w:pPr>
        <w:pStyle w:val="Heading2"/>
      </w:pPr>
      <w:r>
        <w:rPr>
          <w:rFonts w:ascii="Calibri" w:hAnsi="Calibri"/>
        </w:rPr>
        <w:t>2.4 Validation baseline</w:t>
      </w:r>
    </w:p>
    <w:p>
      <w:r>
        <w:rPr>
          <w:rFonts w:ascii="Calibri" w:hAnsi="Calibri"/>
        </w:rPr>
        <w:t>At the audited state, local validation passed:</w:t>
      </w:r>
    </w:p>
    <w:p>
      <w:pPr>
        <w:pStyle w:val="ListBullet"/>
      </w:pPr>
      <w:r>
        <w:rPr>
          <w:rFonts w:ascii="Calibri" w:hAnsi="Calibri"/>
        </w:rPr>
        <w:t>Backend: 177 tests passed.</w:t>
      </w:r>
    </w:p>
    <w:p>
      <w:pPr>
        <w:pStyle w:val="ListBullet"/>
      </w:pPr>
      <w:r>
        <w:rPr>
          <w:rFonts w:ascii="Calibri" w:hAnsi="Calibri"/>
        </w:rPr>
        <w:t>Frontend: lint passed; 32 tests in 9 files passed; production build passed.</w:t>
      </w:r>
    </w:p>
    <w:p>
      <w:pPr>
        <w:pStyle w:val="ListBullet"/>
      </w:pPr>
      <w:r>
        <w:rPr>
          <w:rFonts w:ascii="Calibri" w:hAnsi="Calibri"/>
        </w:rPr>
        <w:t xml:space="preserve">Build warning: the lazy </w:t>
      </w:r>
      <w:r>
        <w:rPr>
          <w:rFonts w:ascii="Consolas" w:hAnsi="Consolas"/>
          <w:color w:val="2E74B5"/>
          <w:sz w:val="19"/>
        </w:rPr>
        <w:t>OctagonScene</w:t>
      </w:r>
      <w:r>
        <w:rPr>
          <w:rFonts w:ascii="Calibri" w:hAnsi="Calibri"/>
        </w:rPr>
        <w:t xml:space="preserve"> bundle is approximately 534 kB minified, above Vite's default 500 kB warning threshold.</w:t>
      </w:r>
    </w:p>
    <w:p>
      <w:pPr>
        <w:pStyle w:val="ListBullet"/>
      </w:pPr>
      <w:r>
        <w:rPr>
          <w:rFonts w:ascii="Calibri" w:hAnsi="Calibri"/>
        </w:rPr>
        <w:t>Backend warnings: FastAPI startup event deprecation and a pandas DataFrame fragmentation warning.</w:t>
      </w:r>
    </w:p>
    <w:p>
      <w:r>
        <w:rPr>
          <w:rFonts w:ascii="Calibri" w:hAnsi="Calibri"/>
        </w:rPr>
        <w:t>These results are a baseline, not proof that the unattended Windows scheduler, hosted upload, or real external odds and UFCStats integrations work continuously.</w:t>
      </w:r>
    </w:p>
    <w:p>
      <w:pPr>
        <w:pStyle w:val="Heading1"/>
      </w:pPr>
      <w:r>
        <w:rPr>
          <w:rFonts w:ascii="Calibri" w:hAnsi="Calibri"/>
        </w:rPr>
        <w:t>3. Research reconciliation</w:t>
      </w:r>
    </w:p>
    <w:p>
      <w:pPr>
        <w:pStyle w:val="Heading2"/>
      </w:pPr>
      <w:r>
        <w:rPr>
          <w:rFonts w:ascii="Calibri" w:hAnsi="Calibri"/>
        </w:rPr>
        <w:t>3.1 Findings that are ready to plan around</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Finding</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Evidence in this checkout</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Decision</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Duration should be modeled against the actual market threshold</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Current UI compares a totals line with </w:t>
            </w:r>
            <w:r>
              <w:rPr>
                <w:rFonts w:ascii="Consolas" w:hAnsi="Consolas"/>
                <w:color w:val="202A35"/>
                <w:sz w:val="18"/>
              </w:rPr>
              <w:t>P(Decision)</w:t>
            </w:r>
            <w:r>
              <w:rPr>
                <w:rFonts w:ascii="Calibri" w:hAnsi="Calibri"/>
                <w:color w:val="202A35"/>
                <w:sz w:val="18"/>
              </w:rPr>
              <w:t>, which is not line-specific</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Build a duration/survival target and retain </w:t>
            </w:r>
            <w:r>
              <w:rPr>
                <w:rFonts w:ascii="Consolas" w:hAnsi="Consolas"/>
                <w:color w:val="202A35"/>
                <w:sz w:val="18"/>
              </w:rPr>
              <w:t>P(Decision)</w:t>
            </w:r>
            <w:r>
              <w:rPr>
                <w:rFonts w:ascii="Calibri" w:hAnsi="Calibri"/>
                <w:color w:val="202A35"/>
                <w:sz w:val="18"/>
              </w:rPr>
              <w:t xml:space="preserve"> only as separately labeled context if useful</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Chronological validation is mandatory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Training code and existing tests recognize time order and mirrored fights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Use chronological, unique-fight splits for every experiment</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Calibration matters as much as discrimination</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The product exposes probabilities and market comparisons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Gate on Brier score, log loss, reliability curves, and subgroup calibration—not accuracy alone</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Round-level history is most relevant to duration</w:t>
            </w:r>
          </w:p>
        </w:tc>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fight_round_stats.csv</w:t>
            </w:r>
            <w:r>
              <w:rPr>
                <w:rFonts w:ascii="Calibri" w:hAnsi="Calibri"/>
                <w:color w:val="202A35"/>
                <w:sz w:val="18"/>
              </w:rPr>
              <w:t xml:space="preserve"> exists with 40,474 rows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Build aggregated prior-round tendencies with strict pre-fight cutoffs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Prospective evaluation is needed</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Saved model predictions and odds tracking already exist</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Extend snapshots to line-specific duration predictions and settlements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Identity resolution is a platform dependency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Different name normalizers are used for prediction joins, odds, images, and ingestion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Introduce one canonical mapping boundary before broadening external data</w:t>
            </w:r>
          </w:p>
        </w:tc>
      </w:tr>
    </w:tbl>
    <w:p>
      <w:pPr>
        <w:spacing w:after="0"/>
      </w:pPr>
    </w:p>
    <w:p>
      <w:pPr>
        <w:pStyle w:val="Heading2"/>
      </w:pPr>
      <w:r>
        <w:rPr>
          <w:rFonts w:ascii="Calibri" w:hAnsi="Calibri"/>
        </w:rPr>
        <w:t>3.2 Findings that conflict with repository experiments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Claim or idea</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Stronger local evidence</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Status and action</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Six orphan matchup interactions are “free alpha” and should be wired</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The exact terms were tested across logistic, histogram gradient boosting, and XGBoost; recorded deltas were neutral to negative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b/>
                <w:color w:val="202A35"/>
                <w:sz w:val="18"/>
              </w:rPr>
              <w:t>Rejected for direct implementation.</w:t>
            </w:r>
            <w:r>
              <w:rPr>
                <w:rFonts w:ascii="Calibri" w:hAnsi="Calibri"/>
                <w:color w:val="202A35"/>
                <w:sz w:val="18"/>
              </w:rPr>
              <w:t xml:space="preserve"> Reopen only with new inputs or a materially different hypothesis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prediction is absent from Future Cards</w:t>
            </w:r>
          </w:p>
        </w:tc>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future_card_service.py</w:t>
            </w:r>
            <w:r>
              <w:rPr>
                <w:rFonts w:ascii="Calibri" w:hAnsi="Calibri"/>
                <w:color w:val="202A35"/>
                <w:sz w:val="18"/>
              </w:rPr>
              <w:t xml:space="preserve"> derives distance probability from the method model and </w:t>
            </w:r>
            <w:r>
              <w:rPr>
                <w:rFonts w:ascii="Consolas" w:hAnsi="Consolas"/>
                <w:color w:val="202A35"/>
                <w:sz w:val="18"/>
              </w:rPr>
              <w:t>FutureCards.jsx</w:t>
            </w:r>
            <w:r>
              <w:rPr>
                <w:rFonts w:ascii="Calibri" w:hAnsi="Calibri"/>
                <w:color w:val="202A35"/>
                <w:sz w:val="18"/>
              </w:rPr>
              <w:t xml:space="preserve"> renders it</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b/>
                <w:color w:val="202A35"/>
                <w:sz w:val="18"/>
              </w:rPr>
              <w:t>Stale statement.</w:t>
            </w:r>
            <w:r>
              <w:rPr>
                <w:rFonts w:ascii="Calibri" w:hAnsi="Calibri"/>
                <w:color w:val="202A35"/>
                <w:sz w:val="18"/>
              </w:rPr>
              <w:t xml:space="preserve"> The value is present, but mislabeled for over/under use</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Frontend has no automated tests and one fully eager bundle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suite has 32 tests and route-level lazy loading</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b/>
                <w:color w:val="202A35"/>
                <w:sz w:val="18"/>
              </w:rPr>
              <w:t>Historical state.</w:t>
            </w:r>
            <w:r>
              <w:rPr>
                <w:rFonts w:ascii="Calibri" w:hAnsi="Calibri"/>
                <w:color w:val="202A35"/>
                <w:sz w:val="18"/>
              </w:rPr>
              <w:t xml:space="preserve"> Add contract/E2E coverage; do not plan from the old count</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 successful pipeline log proves daily automation is fixed</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The latest log succeeded, but the chain depends on Task Scheduler, a Windows account, DPAPI, a local venv, network access, and upload auth</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b/>
                <w:color w:val="202A35"/>
                <w:sz w:val="18"/>
              </w:rPr>
              <w:t>Unproven operationally.</w:t>
            </w:r>
            <w:r>
              <w:rPr>
                <w:rFonts w:ascii="Calibri" w:hAnsi="Calibri"/>
                <w:color w:val="202A35"/>
                <w:sz w:val="18"/>
              </w:rPr>
              <w:t xml:space="preserve"> Add heartbeat and stale-data alerts</w:t>
            </w:r>
          </w:p>
        </w:tc>
      </w:tr>
    </w:tbl>
    <w:p>
      <w:pPr>
        <w:spacing w:after="0"/>
      </w:pPr>
    </w:p>
    <w:p>
      <w:pPr>
        <w:pStyle w:val="Heading2"/>
      </w:pPr>
      <w:r>
        <w:rPr>
          <w:rFonts w:ascii="Calibri" w:hAnsi="Calibri"/>
        </w:rPr>
        <w:t>3.3 Ideas requiring new evidence</w:t>
      </w:r>
    </w:p>
    <w:p>
      <w:r>
        <w:rPr>
          <w:rFonts w:ascii="Calibri" w:hAnsi="Calibri"/>
        </w:rPr>
        <w:t>The following remain reasonable research directions, but none should be represented as an expected production gain:</w:t>
      </w:r>
    </w:p>
    <w:p>
      <w:pPr>
        <w:pStyle w:val="ListBullet"/>
      </w:pPr>
      <w:r>
        <w:rPr>
          <w:rFonts w:ascii="Calibri" w:hAnsi="Calibri"/>
        </w:rPr>
        <w:t>Glicko or uncertainty-aware rating features as a shadow alternative to current Elo.</w:t>
      </w:r>
    </w:p>
    <w:p>
      <w:pPr>
        <w:pStyle w:val="ListBullet"/>
      </w:pPr>
      <w:r>
        <w:rPr>
          <w:rFonts w:ascii="Calibri" w:hAnsi="Calibri"/>
        </w:rPr>
        <w:t>Round-level pace, damage, control, and durability aggregates for duration and method.</w:t>
      </w:r>
    </w:p>
    <w:p>
      <w:pPr>
        <w:pStyle w:val="ListBullet"/>
      </w:pPr>
      <w:r>
        <w:rPr>
          <w:rFonts w:ascii="Calibri" w:hAnsi="Calibri"/>
        </w:rPr>
        <w:t>Beta calibration, isotonic alternatives, or Venn–Abers-style intervals in a shadow comparison.</w:t>
      </w:r>
    </w:p>
    <w:p>
      <w:pPr>
        <w:pStyle w:val="ListBullet"/>
      </w:pPr>
      <w:r>
        <w:rPr>
          <w:rFonts w:ascii="Calibri" w:hAnsi="Calibri"/>
        </w:rPr>
        <w:t>Stability selection or regularization-path analysis performed inside training folds.</w:t>
      </w:r>
    </w:p>
    <w:p>
      <w:pPr>
        <w:pStyle w:val="ListBullet"/>
      </w:pPr>
      <w:r>
        <w:rPr>
          <w:rFonts w:ascii="Calibri" w:hAnsi="Calibri"/>
        </w:rPr>
        <w:t>Style clustering or hand-labeled archetypes, provided the labels are reproducible and available before the fight.</w:t>
      </w:r>
    </w:p>
    <w:p>
      <w:pPr>
        <w:pStyle w:val="ListBullet"/>
      </w:pPr>
      <w:r>
        <w:rPr>
          <w:rFonts w:ascii="Calibri" w:hAnsi="Calibri"/>
        </w:rPr>
        <w:t>Historical closing-line and scorecard enrichment, only from legally permitted, stable sources.</w:t>
      </w:r>
    </w:p>
    <w:p>
      <w:pPr>
        <w:pStyle w:val="Heading1"/>
      </w:pPr>
      <w:r>
        <w:rPr>
          <w:rFonts w:ascii="Calibri" w:hAnsi="Calibri"/>
        </w:rPr>
        <w:t>4. Target architecture</w:t>
      </w:r>
    </w:p>
    <w:p>
      <w:r>
        <w:rPr>
          <w:rFonts w:ascii="Calibri" w:hAnsi="Calibri"/>
        </w:rPr>
        <w:t>The duration capability should be a distinct, versioned model family rather than a rename of the method output.</w:t>
      </w:r>
    </w:p>
    <w:p>
      <w:pPr>
        <w:spacing w:before="120" w:after="0"/>
        <w:jc w:val="center"/>
      </w:pPr>
      <w:r>
        <w:drawing>
          <wp:inline xmlns:a="http://schemas.openxmlformats.org/drawingml/2006/main" xmlns:pic="http://schemas.openxmlformats.org/drawingml/2006/picture">
            <wp:extent cx="5806440" cy="2645156"/>
            <wp:docPr id="2" name="Picture 2"/>
            <wp:cNvGraphicFramePr>
              <a:graphicFrameLocks noChangeAspect="1"/>
            </wp:cNvGraphicFramePr>
            <a:graphic>
              <a:graphicData uri="http://schemas.openxmlformats.org/drawingml/2006/picture">
                <pic:pic>
                  <pic:nvPicPr>
                    <pic:cNvPr id="0" name="gameplan_2.png"/>
                    <pic:cNvPicPr/>
                  </pic:nvPicPr>
                  <pic:blipFill>
                    <a:blip r:embed="rId12"/>
                    <a:stretch>
                      <a:fillRect/>
                    </a:stretch>
                  </pic:blipFill>
                  <pic:spPr>
                    <a:xfrm>
                      <a:off x="0" y="0"/>
                      <a:ext cx="5806440" cy="2645156"/>
                    </a:xfrm>
                    <a:prstGeom prst="rect"/>
                  </pic:spPr>
                </pic:pic>
              </a:graphicData>
            </a:graphic>
          </wp:inline>
        </w:drawing>
      </w:r>
    </w:p>
    <w:p>
      <w:pPr>
        <w:pStyle w:val="CaptionFI"/>
      </w:pPr>
      <w:r>
        <w:t>Figure 2. Target line-specific duration architecture</w:t>
      </w:r>
    </w:p>
    <w:p>
      <w:r>
        <w:rPr>
          <w:rFonts w:ascii="Calibri" w:hAnsi="Calibri"/>
        </w:rPr>
        <w:t>The service contract should preserve the distinction between three concepts:</w:t>
      </w:r>
    </w:p>
    <w:p>
      <w:pPr>
        <w:pStyle w:val="ListBullet"/>
      </w:pPr>
      <w:r>
        <w:rPr>
          <w:rFonts w:ascii="Consolas" w:hAnsi="Consolas"/>
          <w:color w:val="2E74B5"/>
          <w:sz w:val="19"/>
        </w:rPr>
        <w:t>decision_probability</w:t>
      </w:r>
      <w:r>
        <w:rPr>
          <w:rFonts w:ascii="Calibri" w:hAnsi="Calibri"/>
        </w:rPr>
        <w:t>: method model probability that the result is a decision.</w:t>
      </w:r>
    </w:p>
    <w:p>
      <w:pPr>
        <w:pStyle w:val="ListBullet"/>
      </w:pPr>
      <w:r>
        <w:rPr>
          <w:rFonts w:ascii="Consolas" w:hAnsi="Consolas"/>
          <w:color w:val="2E74B5"/>
          <w:sz w:val="19"/>
        </w:rPr>
        <w:t>over_probability</w:t>
      </w:r>
      <w:r>
        <w:rPr>
          <w:rFonts w:ascii="Calibri" w:hAnsi="Calibri"/>
        </w:rPr>
        <w:t>: duration model probability that elapsed time exceeds the quoted threshold.</w:t>
      </w:r>
    </w:p>
    <w:p>
      <w:pPr>
        <w:pStyle w:val="ListBullet"/>
      </w:pPr>
      <w:r>
        <w:rPr>
          <w:rFonts w:ascii="Consolas" w:hAnsi="Consolas"/>
          <w:color w:val="2E74B5"/>
          <w:sz w:val="19"/>
        </w:rPr>
        <w:t>market_over_probability</w:t>
      </w:r>
      <w:r>
        <w:rPr>
          <w:rFonts w:ascii="Calibri" w:hAnsi="Calibri"/>
        </w:rPr>
        <w:t>: de-vigged market probability for the same threshold and source timestamp.</w:t>
      </w:r>
    </w:p>
    <w:p>
      <w:r>
        <w:rPr>
          <w:rFonts w:ascii="Calibri" w:hAnsi="Calibri"/>
        </w:rPr>
        <w:t>No UI should subtract probabilities that refer to different events or different lines.</w:t>
      </w:r>
    </w:p>
    <w:p>
      <w:pPr>
        <w:pStyle w:val="Heading1"/>
      </w:pPr>
      <w:r>
        <w:rPr>
          <w:rFonts w:ascii="Calibri" w:hAnsi="Calibri"/>
        </w:rPr>
        <w:t>5. Phased implementation roadmap</w:t>
      </w:r>
    </w:p>
    <w:p>
      <w:pPr>
        <w:pStyle w:val="Heading2"/>
      </w:pPr>
      <w:r>
        <w:rPr>
          <w:rFonts w:ascii="Calibri" w:hAnsi="Calibri"/>
        </w:rPr>
        <w:t>Phase 0 — Integrity and observability foundation</w:t>
      </w:r>
    </w:p>
    <w:p>
      <w:r>
        <w:rPr>
          <w:rFonts w:ascii="Calibri" w:hAnsi="Calibri"/>
        </w:rPr>
        <w:t>Objective: make every later result reproducible and make “fresh” a measurable state.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2098"/>
            <w:tcMar>
              <w:top w:w="80" w:type="dxa"/>
              <w:start w:w="120" w:type="dxa"/>
              <w:bottom w:w="80" w:type="dxa"/>
              <w:end w:w="120" w:type="dxa"/>
            </w:tcMar>
            <w:vAlign w:val="center"/>
            <w:shd w:fill="12233F"/>
          </w:tcPr>
          <w:p>
            <w:pPr>
              <w:spacing w:after="0" w:line="252" w:lineRule="auto"/>
            </w:pPr>
            <w:r>
              <w:rPr>
                <w:rFonts w:ascii="Calibri" w:hAnsi="Calibri"/>
                <w:b/>
                <w:color w:val="FFFFFF"/>
                <w:sz w:val="18"/>
              </w:rPr>
              <w:t>Work item</w:t>
            </w:r>
          </w:p>
        </w:tc>
        <w:tc>
          <w:tcPr>
            <w:tcW w:type="dxa" w:w="2420"/>
            <w:tcMar>
              <w:top w:w="80" w:type="dxa"/>
              <w:start w:w="120" w:type="dxa"/>
              <w:bottom w:w="80" w:type="dxa"/>
              <w:end w:w="120" w:type="dxa"/>
            </w:tcMar>
            <w:vAlign w:val="center"/>
            <w:shd w:fill="12233F"/>
          </w:tcPr>
          <w:p>
            <w:pPr>
              <w:spacing w:after="0" w:line="252" w:lineRule="auto"/>
            </w:pPr>
            <w:r>
              <w:rPr>
                <w:rFonts w:ascii="Calibri" w:hAnsi="Calibri"/>
                <w:b/>
                <w:color w:val="FFFFFF"/>
                <w:sz w:val="18"/>
              </w:rPr>
              <w:t>Key files/components</w:t>
            </w:r>
          </w:p>
        </w:tc>
        <w:tc>
          <w:tcPr>
            <w:tcW w:type="dxa" w:w="2420"/>
            <w:tcMar>
              <w:top w:w="80" w:type="dxa"/>
              <w:start w:w="120" w:type="dxa"/>
              <w:bottom w:w="80" w:type="dxa"/>
              <w:end w:w="120" w:type="dxa"/>
            </w:tcMar>
            <w:vAlign w:val="center"/>
            <w:shd w:fill="12233F"/>
          </w:tcPr>
          <w:p>
            <w:pPr>
              <w:spacing w:after="0" w:line="252" w:lineRule="auto"/>
            </w:pPr>
            <w:r>
              <w:rPr>
                <w:rFonts w:ascii="Calibri" w:hAnsi="Calibri"/>
                <w:b/>
                <w:color w:val="FFFFFF"/>
                <w:sz w:val="18"/>
              </w:rPr>
              <w:t>Deliverable</w:t>
            </w:r>
          </w:p>
        </w:tc>
        <w:tc>
          <w:tcPr>
            <w:tcW w:type="dxa" w:w="2422"/>
            <w:tcMar>
              <w:top w:w="80" w:type="dxa"/>
              <w:start w:w="120" w:type="dxa"/>
              <w:bottom w:w="80" w:type="dxa"/>
              <w:end w:w="120" w:type="dxa"/>
            </w:tcMar>
            <w:vAlign w:val="center"/>
            <w:shd w:fill="12233F"/>
          </w:tcPr>
          <w:p>
            <w:pPr>
              <w:spacing w:after="0" w:line="252" w:lineRule="auto"/>
            </w:pPr>
            <w:r>
              <w:rPr>
                <w:rFonts w:ascii="Calibri" w:hAnsi="Calibri"/>
                <w:b/>
                <w:color w:val="FFFFFF"/>
                <w:sz w:val="18"/>
              </w:rPr>
              <w:t>Exit condition</w:t>
            </w:r>
          </w:p>
        </w:tc>
      </w:tr>
      <w:tr>
        <w:trPr>
          <w:cantSplit/>
        </w:trPr>
        <w:tc>
          <w:tcPr>
            <w:tcW w:type="dxa" w:w="2098"/>
            <w:tcMar>
              <w:top w:w="80" w:type="dxa"/>
              <w:start w:w="120" w:type="dxa"/>
              <w:bottom w:w="80" w:type="dxa"/>
              <w:end w:w="120" w:type="dxa"/>
            </w:tcMar>
            <w:vAlign w:val="center"/>
            <w:shd w:fill="EEF5FB"/>
          </w:tcPr>
          <w:p>
            <w:pPr>
              <w:spacing w:after="0" w:line="252" w:lineRule="auto"/>
            </w:pPr>
            <w:r>
              <w:rPr>
                <w:rFonts w:ascii="Calibri" w:hAnsi="Calibri"/>
                <w:color w:val="202A35"/>
                <w:sz w:val="18"/>
              </w:rPr>
              <w:t>Clean comparison baseline</w:t>
            </w:r>
          </w:p>
        </w:tc>
        <w:tc>
          <w:tcPr>
            <w:tcW w:type="dxa" w:w="24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backend/app/training/train_model.py</w:t>
            </w:r>
            <w:r>
              <w:rPr>
                <w:rFonts w:ascii="Calibri" w:hAnsi="Calibri"/>
                <w:color w:val="202A35"/>
                <w:sz w:val="18"/>
              </w:rPr>
              <w:t>; winner artifact metadata</w:t>
            </w:r>
          </w:p>
        </w:tc>
        <w:tc>
          <w:tcPr>
            <w:tcW w:type="dxa" w:w="2420"/>
            <w:tcMar>
              <w:top w:w="80" w:type="dxa"/>
              <w:start w:w="120" w:type="dxa"/>
              <w:bottom w:w="80" w:type="dxa"/>
              <w:end w:w="120" w:type="dxa"/>
            </w:tcMar>
            <w:vAlign w:val="center"/>
            <w:shd w:fill="EEF5FB"/>
          </w:tcPr>
          <w:p>
            <w:pPr>
              <w:spacing w:after="0" w:line="252" w:lineRule="auto"/>
            </w:pPr>
            <w:r>
              <w:rPr>
                <w:rFonts w:ascii="Calibri" w:hAnsi="Calibri"/>
                <w:color w:val="202A35"/>
                <w:sz w:val="18"/>
              </w:rPr>
              <w:t>A retrain from a clean commit or an immutable source diff captured in the manifest</w:t>
            </w:r>
          </w:p>
        </w:tc>
        <w:tc>
          <w:tcPr>
            <w:tcW w:type="dxa" w:w="2422"/>
            <w:tcMar>
              <w:top w:w="80" w:type="dxa"/>
              <w:start w:w="120" w:type="dxa"/>
              <w:bottom w:w="80" w:type="dxa"/>
              <w:end w:w="120" w:type="dxa"/>
            </w:tcMar>
            <w:vAlign w:val="center"/>
            <w:shd w:fill="EEF5FB"/>
          </w:tcPr>
          <w:p>
            <w:pPr>
              <w:spacing w:after="0" w:line="252" w:lineRule="auto"/>
            </w:pPr>
            <w:r>
              <w:rPr>
                <w:rFonts w:ascii="Calibri" w:hAnsi="Calibri"/>
                <w:color w:val="202A35"/>
                <w:sz w:val="18"/>
              </w:rPr>
              <w:t>Artifact can be reproduced or its exact non-Git inputs are archived</w:t>
            </w:r>
          </w:p>
        </w:tc>
      </w:tr>
      <w:tr>
        <w:trPr>
          <w:cantSplit/>
        </w:trPr>
        <w:tc>
          <w:tcPr>
            <w:tcW w:type="dxa" w:w="2098"/>
            <w:tcMar>
              <w:top w:w="80" w:type="dxa"/>
              <w:start w:w="120" w:type="dxa"/>
              <w:bottom w:w="80" w:type="dxa"/>
              <w:end w:w="120" w:type="dxa"/>
            </w:tcMar>
            <w:vAlign w:val="center"/>
            <w:shd w:fill="FFFFFF"/>
          </w:tcPr>
          <w:p>
            <w:pPr>
              <w:spacing w:after="0" w:line="252" w:lineRule="auto"/>
            </w:pPr>
            <w:r>
              <w:rPr>
                <w:rFonts w:ascii="Calibri" w:hAnsi="Calibri"/>
                <w:color w:val="202A35"/>
                <w:sz w:val="18"/>
              </w:rPr>
              <w:t>Artifact manifest</w:t>
            </w:r>
          </w:p>
        </w:tc>
        <w:tc>
          <w:tcPr>
            <w:tcW w:type="dxa" w:w="2420"/>
            <w:tcMar>
              <w:top w:w="80" w:type="dxa"/>
              <w:start w:w="120" w:type="dxa"/>
              <w:bottom w:w="80" w:type="dxa"/>
              <w:end w:w="120" w:type="dxa"/>
            </w:tcMar>
            <w:vAlign w:val="center"/>
            <w:shd w:fill="FFFFFF"/>
          </w:tcPr>
          <w:p>
            <w:pPr>
              <w:spacing w:after="0" w:line="252" w:lineRule="auto"/>
            </w:pPr>
            <w:r>
              <w:rPr>
                <w:rFonts w:ascii="Consolas" w:hAnsi="Consolas"/>
                <w:color w:val="202A35"/>
                <w:sz w:val="18"/>
              </w:rPr>
              <w:t>deploy/make_bundle.py</w:t>
            </w:r>
            <w:r>
              <w:rPr>
                <w:rFonts w:ascii="Calibri" w:hAnsi="Calibri"/>
                <w:color w:val="202A35"/>
                <w:sz w:val="18"/>
              </w:rPr>
              <w:t>; model registry; training scripts</w:t>
            </w:r>
          </w:p>
        </w:tc>
        <w:tc>
          <w:tcPr>
            <w:tcW w:type="dxa" w:w="2420"/>
            <w:tcMar>
              <w:top w:w="80" w:type="dxa"/>
              <w:start w:w="120" w:type="dxa"/>
              <w:bottom w:w="80" w:type="dxa"/>
              <w:end w:w="120" w:type="dxa"/>
            </w:tcMar>
            <w:vAlign w:val="center"/>
            <w:shd w:fill="FFFFFF"/>
          </w:tcPr>
          <w:p>
            <w:pPr>
              <w:spacing w:after="0" w:line="252" w:lineRule="auto"/>
            </w:pPr>
            <w:r>
              <w:rPr>
                <w:rFonts w:ascii="Calibri" w:hAnsi="Calibri"/>
                <w:color w:val="202A35"/>
                <w:sz w:val="18"/>
              </w:rPr>
              <w:t>JSON manifest with SHA-256, row counts, schemas, versions, Git state, and timestamps</w:t>
            </w:r>
          </w:p>
        </w:tc>
        <w:tc>
          <w:tcPr>
            <w:tcW w:type="dxa" w:w="2422"/>
            <w:tcMar>
              <w:top w:w="80" w:type="dxa"/>
              <w:start w:w="120" w:type="dxa"/>
              <w:bottom w:w="80" w:type="dxa"/>
              <w:end w:w="120" w:type="dxa"/>
            </w:tcMar>
            <w:vAlign w:val="center"/>
            <w:shd w:fill="FFFFFF"/>
          </w:tcPr>
          <w:p>
            <w:pPr>
              <w:spacing w:after="0" w:line="252" w:lineRule="auto"/>
            </w:pPr>
            <w:r>
              <w:rPr>
                <w:rFonts w:ascii="Calibri" w:hAnsi="Calibri"/>
                <w:color w:val="202A35"/>
                <w:sz w:val="18"/>
              </w:rPr>
              <w:t>Backend refuses or warns on incompatible/missing members</w:t>
            </w:r>
          </w:p>
        </w:tc>
      </w:tr>
      <w:tr>
        <w:trPr>
          <w:cantSplit/>
        </w:trPr>
        <w:tc>
          <w:tcPr>
            <w:tcW w:type="dxa" w:w="2098"/>
            <w:tcMar>
              <w:top w:w="80" w:type="dxa"/>
              <w:start w:w="120" w:type="dxa"/>
              <w:bottom w:w="80" w:type="dxa"/>
              <w:end w:w="120" w:type="dxa"/>
            </w:tcMar>
            <w:vAlign w:val="center"/>
            <w:shd w:fill="EEF5FB"/>
          </w:tcPr>
          <w:p>
            <w:pPr>
              <w:spacing w:after="0" w:line="252" w:lineRule="auto"/>
            </w:pPr>
            <w:r>
              <w:rPr>
                <w:rFonts w:ascii="Calibri" w:hAnsi="Calibri"/>
                <w:color w:val="202A35"/>
                <w:sz w:val="18"/>
              </w:rPr>
              <w:t>Shared pipeline registry</w:t>
            </w:r>
          </w:p>
        </w:tc>
        <w:tc>
          <w:tcPr>
            <w:tcW w:type="dxa" w:w="24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backend/app/pipeline/incremental_pipeline.py</w:t>
            </w:r>
            <w:r>
              <w:rPr>
                <w:rFonts w:ascii="Calibri" w:hAnsi="Calibri"/>
                <w:color w:val="202A35"/>
                <w:sz w:val="18"/>
              </w:rPr>
              <w:t xml:space="preserve">; </w:t>
            </w:r>
            <w:r>
              <w:rPr>
                <w:rFonts w:ascii="Consolas" w:hAnsi="Consolas"/>
                <w:color w:val="202A35"/>
                <w:sz w:val="18"/>
              </w:rPr>
              <w:t>full_pipeline.py</w:t>
            </w:r>
          </w:p>
        </w:tc>
        <w:tc>
          <w:tcPr>
            <w:tcW w:type="dxa" w:w="2420"/>
            <w:tcMar>
              <w:top w:w="80" w:type="dxa"/>
              <w:start w:w="120" w:type="dxa"/>
              <w:bottom w:w="80" w:type="dxa"/>
              <w:end w:w="120" w:type="dxa"/>
            </w:tcMar>
            <w:vAlign w:val="center"/>
            <w:shd w:fill="EEF5FB"/>
          </w:tcPr>
          <w:p>
            <w:pPr>
              <w:spacing w:after="0" w:line="252" w:lineRule="auto"/>
            </w:pPr>
            <w:r>
              <w:rPr>
                <w:rFonts w:ascii="Calibri" w:hAnsi="Calibri"/>
                <w:color w:val="202A35"/>
                <w:sz w:val="18"/>
              </w:rPr>
              <w:t>One declarative dependency list reused by both runners</w:t>
            </w:r>
          </w:p>
        </w:tc>
        <w:tc>
          <w:tcPr>
            <w:tcW w:type="dxa" w:w="2422"/>
            <w:tcMar>
              <w:top w:w="80" w:type="dxa"/>
              <w:start w:w="120" w:type="dxa"/>
              <w:bottom w:w="80" w:type="dxa"/>
              <w:end w:w="120" w:type="dxa"/>
            </w:tcMar>
            <w:vAlign w:val="center"/>
            <w:shd w:fill="EEF5FB"/>
          </w:tcPr>
          <w:p>
            <w:pPr>
              <w:spacing w:after="0" w:line="252" w:lineRule="auto"/>
            </w:pPr>
            <w:r>
              <w:rPr>
                <w:rFonts w:ascii="Calibri" w:hAnsi="Calibri"/>
                <w:color w:val="202A35"/>
                <w:sz w:val="18"/>
              </w:rPr>
              <w:t>Automated parity test proves required stages and ordering constraints</w:t>
            </w:r>
          </w:p>
        </w:tc>
      </w:tr>
      <w:tr>
        <w:trPr>
          <w:cantSplit/>
        </w:trPr>
        <w:tc>
          <w:tcPr>
            <w:tcW w:type="dxa" w:w="2098"/>
            <w:tcMar>
              <w:top w:w="80" w:type="dxa"/>
              <w:start w:w="120" w:type="dxa"/>
              <w:bottom w:w="80" w:type="dxa"/>
              <w:end w:w="120" w:type="dxa"/>
            </w:tcMar>
            <w:vAlign w:val="center"/>
            <w:shd w:fill="FFFFFF"/>
          </w:tcPr>
          <w:p>
            <w:pPr>
              <w:spacing w:after="0" w:line="252" w:lineRule="auto"/>
            </w:pPr>
            <w:r>
              <w:rPr>
                <w:rFonts w:ascii="Calibri" w:hAnsi="Calibri"/>
                <w:color w:val="202A35"/>
                <w:sz w:val="18"/>
              </w:rPr>
              <w:t>Refresh heartbeat</w:t>
            </w:r>
          </w:p>
        </w:tc>
        <w:tc>
          <w:tcPr>
            <w:tcW w:type="dxa" w:w="24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backend/app/pipeline/auto_update.py</w:t>
            </w:r>
            <w:r>
              <w:rPr>
                <w:rFonts w:ascii="Calibri" w:hAnsi="Calibri"/>
                <w:color w:val="202A35"/>
                <w:sz w:val="18"/>
              </w:rPr>
              <w:t>; admin settings/report; Data Ops UI</w:t>
            </w:r>
          </w:p>
        </w:tc>
        <w:tc>
          <w:tcPr>
            <w:tcW w:type="dxa" w:w="2420"/>
            <w:tcMar>
              <w:top w:w="80" w:type="dxa"/>
              <w:start w:w="120" w:type="dxa"/>
              <w:bottom w:w="80" w:type="dxa"/>
              <w:end w:w="120" w:type="dxa"/>
            </w:tcMar>
            <w:vAlign w:val="center"/>
            <w:shd w:fill="FFFFFF"/>
          </w:tcPr>
          <w:p>
            <w:pPr>
              <w:spacing w:after="0" w:line="252" w:lineRule="auto"/>
            </w:pPr>
            <w:r>
              <w:rPr>
                <w:rFonts w:ascii="Calibri" w:hAnsi="Calibri"/>
                <w:color w:val="202A35"/>
                <w:sz w:val="18"/>
              </w:rPr>
              <w:t>Last attempt, last success, failed stage, artifact age, upload result</w:t>
            </w:r>
          </w:p>
        </w:tc>
        <w:tc>
          <w:tcPr>
            <w:tcW w:type="dxa" w:w="2422"/>
            <w:tcMar>
              <w:top w:w="80" w:type="dxa"/>
              <w:start w:w="120" w:type="dxa"/>
              <w:bottom w:w="80" w:type="dxa"/>
              <w:end w:w="120" w:type="dxa"/>
            </w:tcMar>
            <w:vAlign w:val="center"/>
            <w:shd w:fill="FFFFFF"/>
          </w:tcPr>
          <w:p>
            <w:pPr>
              <w:spacing w:after="0" w:line="252" w:lineRule="auto"/>
            </w:pPr>
            <w:r>
              <w:rPr>
                <w:rFonts w:ascii="Calibri" w:hAnsi="Calibri"/>
                <w:color w:val="202A35"/>
                <w:sz w:val="18"/>
              </w:rPr>
              <w:t>Stale or failed refresh is visible without reading local logs</w:t>
            </w:r>
          </w:p>
        </w:tc>
      </w:tr>
      <w:tr>
        <w:trPr>
          <w:cantSplit/>
        </w:trPr>
        <w:tc>
          <w:tcPr>
            <w:tcW w:type="dxa" w:w="2098"/>
            <w:tcMar>
              <w:top w:w="80" w:type="dxa"/>
              <w:start w:w="120" w:type="dxa"/>
              <w:bottom w:w="80" w:type="dxa"/>
              <w:end w:w="120" w:type="dxa"/>
            </w:tcMar>
            <w:vAlign w:val="center"/>
            <w:shd w:fill="EEF5FB"/>
          </w:tcPr>
          <w:p>
            <w:pPr>
              <w:spacing w:after="0" w:line="252" w:lineRule="auto"/>
            </w:pPr>
            <w:r>
              <w:rPr>
                <w:rFonts w:ascii="Calibri" w:hAnsi="Calibri"/>
                <w:color w:val="202A35"/>
                <w:sz w:val="18"/>
              </w:rPr>
              <w:t>Authoritative-store policy</w:t>
            </w:r>
          </w:p>
        </w:tc>
        <w:tc>
          <w:tcPr>
            <w:tcW w:type="dxa" w:w="2420"/>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accessors and compatibility exporters</w:t>
            </w:r>
          </w:p>
        </w:tc>
        <w:tc>
          <w:tcPr>
            <w:tcW w:type="dxa" w:w="2420"/>
            <w:tcMar>
              <w:top w:w="80" w:type="dxa"/>
              <w:start w:w="120" w:type="dxa"/>
              <w:bottom w:w="80" w:type="dxa"/>
              <w:end w:w="120" w:type="dxa"/>
            </w:tcMar>
            <w:vAlign w:val="center"/>
            <w:shd w:fill="EEF5FB"/>
          </w:tcPr>
          <w:p>
            <w:pPr>
              <w:spacing w:after="0" w:line="252" w:lineRule="auto"/>
            </w:pPr>
            <w:r>
              <w:rPr>
                <w:rFonts w:ascii="Calibri" w:hAnsi="Calibri"/>
                <w:color w:val="202A35"/>
                <w:sz w:val="18"/>
              </w:rPr>
              <w:t>Explicit database ownership plus generated-export labels</w:t>
            </w:r>
          </w:p>
        </w:tc>
        <w:tc>
          <w:tcPr>
            <w:tcW w:type="dxa" w:w="2422"/>
            <w:tcMar>
              <w:top w:w="80" w:type="dxa"/>
              <w:start w:w="120" w:type="dxa"/>
              <w:bottom w:w="80" w:type="dxa"/>
              <w:end w:w="120" w:type="dxa"/>
            </w:tcMar>
            <w:vAlign w:val="center"/>
            <w:shd w:fill="EEF5FB"/>
          </w:tcPr>
          <w:p>
            <w:pPr>
              <w:spacing w:after="0" w:line="252" w:lineRule="auto"/>
            </w:pPr>
            <w:r>
              <w:rPr>
                <w:rFonts w:ascii="Calibri" w:hAnsi="Calibri"/>
                <w:color w:val="202A35"/>
                <w:sz w:val="18"/>
              </w:rPr>
              <w:t>Consumers no longer silently prefer stale CSVs</w:t>
            </w:r>
          </w:p>
        </w:tc>
      </w:tr>
      <w:tr>
        <w:trPr>
          <w:cantSplit/>
        </w:trPr>
        <w:tc>
          <w:tcPr>
            <w:tcW w:type="dxa" w:w="2098"/>
            <w:tcMar>
              <w:top w:w="80" w:type="dxa"/>
              <w:start w:w="120" w:type="dxa"/>
              <w:bottom w:w="80" w:type="dxa"/>
              <w:end w:w="120" w:type="dxa"/>
            </w:tcMar>
            <w:vAlign w:val="center"/>
            <w:shd w:fill="FFFFFF"/>
          </w:tcPr>
          <w:p>
            <w:pPr>
              <w:spacing w:after="0" w:line="252" w:lineRule="auto"/>
            </w:pPr>
            <w:r>
              <w:rPr>
                <w:rFonts w:ascii="Calibri" w:hAnsi="Calibri"/>
                <w:color w:val="202A35"/>
                <w:sz w:val="18"/>
              </w:rPr>
              <w:t>Identity boundary</w:t>
            </w:r>
          </w:p>
        </w:tc>
        <w:tc>
          <w:tcPr>
            <w:tcW w:type="dxa" w:w="2420"/>
            <w:tcMar>
              <w:top w:w="80" w:type="dxa"/>
              <w:start w:w="120" w:type="dxa"/>
              <w:bottom w:w="80" w:type="dxa"/>
              <w:end w:w="120" w:type="dxa"/>
            </w:tcMar>
            <w:vAlign w:val="center"/>
            <w:shd w:fill="FFFFFF"/>
          </w:tcPr>
          <w:p>
            <w:pPr>
              <w:spacing w:after="0" w:line="252" w:lineRule="auto"/>
            </w:pPr>
            <w:r>
              <w:rPr>
                <w:rFonts w:ascii="Calibri" w:hAnsi="Calibri"/>
                <w:color w:val="202A35"/>
                <w:sz w:val="18"/>
              </w:rPr>
              <w:t>ingestion, prediction, odds, image services</w:t>
            </w:r>
          </w:p>
        </w:tc>
        <w:tc>
          <w:tcPr>
            <w:tcW w:type="dxa" w:w="2420"/>
            <w:tcMar>
              <w:top w:w="80" w:type="dxa"/>
              <w:start w:w="120" w:type="dxa"/>
              <w:bottom w:w="80" w:type="dxa"/>
              <w:end w:w="120" w:type="dxa"/>
            </w:tcMar>
            <w:vAlign w:val="center"/>
            <w:shd w:fill="FFFFFF"/>
          </w:tcPr>
          <w:p>
            <w:pPr>
              <w:spacing w:after="0" w:line="252" w:lineRule="auto"/>
            </w:pPr>
            <w:r>
              <w:rPr>
                <w:rFonts w:ascii="Calibri" w:hAnsi="Calibri"/>
                <w:color w:val="202A35"/>
                <w:sz w:val="18"/>
              </w:rPr>
              <w:t>Canonical fighter ID/alias resolver with unresolved-match queue</w:t>
            </w:r>
          </w:p>
        </w:tc>
        <w:tc>
          <w:tcPr>
            <w:tcW w:type="dxa" w:w="2422"/>
            <w:tcMar>
              <w:top w:w="80" w:type="dxa"/>
              <w:start w:w="120" w:type="dxa"/>
              <w:bottom w:w="80" w:type="dxa"/>
              <w:end w:w="120" w:type="dxa"/>
            </w:tcMar>
            <w:vAlign w:val="center"/>
            <w:shd w:fill="FFFFFF"/>
          </w:tcPr>
          <w:p>
            <w:pPr>
              <w:spacing w:after="0" w:line="252" w:lineRule="auto"/>
            </w:pPr>
            <w:r>
              <w:rPr>
                <w:rFonts w:ascii="Calibri" w:hAnsi="Calibri"/>
                <w:color w:val="202A35"/>
                <w:sz w:val="18"/>
              </w:rPr>
              <w:t>Cross-source joins use one service and log match confidence</w:t>
            </w:r>
          </w:p>
        </w:tc>
      </w:tr>
    </w:tbl>
    <w:p>
      <w:pPr>
        <w:spacing w:after="0"/>
      </w:pPr>
    </w:p>
    <w:p>
      <w:r>
        <w:rPr>
          <w:rFonts w:ascii="Calibri" w:hAnsi="Calibri"/>
        </w:rPr>
        <w:t>Rollback: these are additive controls. Keep legacy paths callable behind a temporary compatibility switch until manifest, pipeline, and resolver tests pass.</w:t>
      </w:r>
    </w:p>
    <w:p>
      <w:pPr>
        <w:pStyle w:val="Heading2"/>
      </w:pPr>
      <w:r>
        <w:rPr>
          <w:rFonts w:ascii="Calibri" w:hAnsi="Calibri"/>
        </w:rPr>
        <w:t>Phase 1 — Totals ingestion and coverage</w:t>
      </w:r>
    </w:p>
    <w:p>
      <w:r>
        <w:rPr>
          <w:rFonts w:ascii="Calibri" w:hAnsi="Calibri"/>
        </w:rPr>
        <w:t>Objective: prove that the application can receive, normalize, store, and display book totals for upcoming fights.</w:t>
      </w:r>
    </w:p>
    <w:p>
      <w:r>
        <w:rPr>
          <w:rFonts w:ascii="Calibri" w:hAnsi="Calibri"/>
        </w:rPr>
        <w:t>Actions:</w:t>
      </w:r>
    </w:p>
    <w:p>
      <w:pPr>
        <w:pStyle w:val="ListNumber"/>
        <w:numPr>
          <w:ilvl w:val="0"/>
          <w:numId w:val="13"/>
        </w:numPr>
      </w:pPr>
      <w:r>
        <w:rPr>
          <w:rFonts w:ascii="Calibri" w:hAnsi="Calibri"/>
        </w:rPr>
        <w:t xml:space="preserve">Confirm the configured odds provider and account tier actually return the </w:t>
      </w:r>
      <w:r>
        <w:rPr>
          <w:rFonts w:ascii="Consolas" w:hAnsi="Consolas"/>
          <w:color w:val="2E74B5"/>
          <w:sz w:val="19"/>
        </w:rPr>
        <w:t>totals</w:t>
      </w:r>
      <w:r>
        <w:rPr>
          <w:rFonts w:ascii="Calibri" w:hAnsi="Calibri"/>
        </w:rPr>
        <w:t xml:space="preserve"> market for MMA.</w:t>
      </w:r>
    </w:p>
    <w:p>
      <w:pPr>
        <w:pStyle w:val="ListNumber"/>
        <w:numPr>
          <w:ilvl w:val="0"/>
          <w:numId w:val="13"/>
        </w:numPr>
      </w:pPr>
      <w:r>
        <w:rPr>
          <w:rFonts w:ascii="Calibri" w:hAnsi="Calibri"/>
        </w:rPr>
        <w:t>Persist book, event, fighter mapping, line, Over/Under prices, source timestamp, fetch timestamp, and matching confidence.</w:t>
      </w:r>
    </w:p>
    <w:p>
      <w:pPr>
        <w:pStyle w:val="ListNumber"/>
        <w:numPr>
          <w:ilvl w:val="0"/>
          <w:numId w:val="13"/>
        </w:numPr>
      </w:pPr>
      <w:r>
        <w:rPr>
          <w:rFonts w:ascii="Calibri" w:hAnsi="Calibri"/>
        </w:rPr>
        <w:t>Define aggregation behavior when books quote different lines. The current “most common line” may be retained initially, but the original per-book quotes must remain available.</w:t>
      </w:r>
    </w:p>
    <w:p>
      <w:pPr>
        <w:pStyle w:val="ListNumber"/>
        <w:numPr>
          <w:ilvl w:val="0"/>
          <w:numId w:val="13"/>
        </w:numPr>
      </w:pPr>
      <w:r>
        <w:rPr>
          <w:rFonts w:ascii="Calibri" w:hAnsi="Calibri"/>
        </w:rPr>
        <w:t>Add coverage metrics by event and fight: moneyline available, totals available, books count, latest age, and unresolved identity matches.</w:t>
      </w:r>
    </w:p>
    <w:p>
      <w:pPr>
        <w:pStyle w:val="ListNumber"/>
        <w:numPr>
          <w:ilvl w:val="0"/>
          <w:numId w:val="13"/>
        </w:numPr>
      </w:pPr>
      <w:r>
        <w:rPr>
          <w:rFonts w:ascii="Calibri" w:hAnsi="Calibri"/>
        </w:rPr>
        <w:t>Add fixture-driven tests for line disagreement, one-sided prices, pushes, missing outcomes, duplicate books, and stale quotes.</w:t>
      </w:r>
    </w:p>
    <w:p>
      <w:pPr>
        <w:pStyle w:val="ListNumber"/>
        <w:numPr>
          <w:ilvl w:val="0"/>
          <w:numId w:val="13"/>
        </w:numPr>
      </w:pPr>
      <w:r>
        <w:rPr>
          <w:rFonts w:ascii="Calibri" w:hAnsi="Calibri"/>
        </w:rPr>
        <w:t xml:space="preserve">Render an explicit “Totals unavailable” state; never substitute </w:t>
      </w:r>
      <w:r>
        <w:rPr>
          <w:rFonts w:ascii="Consolas" w:hAnsi="Consolas"/>
          <w:color w:val="2E74B5"/>
          <w:sz w:val="19"/>
        </w:rPr>
        <w:t>P(Decision)</w:t>
      </w:r>
      <w:r>
        <w:rPr>
          <w:rFonts w:ascii="Calibri" w:hAnsi="Calibri"/>
        </w:rPr>
        <w:t xml:space="preserve"> for missing market data.</w:t>
      </w:r>
    </w:p>
    <w:p>
      <w:r>
        <w:rPr>
          <w:rFonts w:ascii="Calibri" w:hAnsi="Calibri"/>
        </w:rPr>
        <w:t>Exit condition: a representative upcoming-card fixture and at least one live authorized fetch populate line and both sides consistently; coverage is independently visible in Data Ops and Future Cards.</w:t>
      </w:r>
    </w:p>
    <w:p>
      <w:pPr>
        <w:pStyle w:val="Heading2"/>
      </w:pPr>
      <w:r>
        <w:rPr>
          <w:rFonts w:ascii="Calibri" w:hAnsi="Calibri"/>
        </w:rPr>
        <w:t>Phase 2 — Duration dataset and baseline model</w:t>
      </w:r>
    </w:p>
    <w:p>
      <w:r>
        <w:rPr>
          <w:rFonts w:ascii="Calibri" w:hAnsi="Calibri"/>
        </w:rPr>
        <w:t>Objective: build a leakage-safe baseline that answers the quoted-line question.</w:t>
      </w:r>
    </w:p>
    <w:p>
      <w:r>
        <w:rPr>
          <w:rFonts w:ascii="Calibri" w:hAnsi="Calibri"/>
        </w:rPr>
        <w:t>Actions:</w:t>
      </w:r>
    </w:p>
    <w:p>
      <w:pPr>
        <w:pStyle w:val="ListNumber"/>
        <w:numPr>
          <w:ilvl w:val="0"/>
          <w:numId w:val="14"/>
        </w:numPr>
      </w:pPr>
      <w:r>
        <w:rPr>
          <w:rFonts w:ascii="Calibri" w:hAnsi="Calibri"/>
        </w:rPr>
        <w:t>Create a unique-fight duration table from completed-event date, scheduled rounds, official finish round/time, result status, weight class, bout type, and fighter identities.</w:t>
      </w:r>
    </w:p>
    <w:p>
      <w:pPr>
        <w:pStyle w:val="ListNumber"/>
        <w:numPr>
          <w:ilvl w:val="0"/>
          <w:numId w:val="14"/>
        </w:numPr>
      </w:pPr>
      <w:r>
        <w:rPr>
          <w:rFonts w:ascii="Calibri" w:hAnsi="Calibri"/>
        </w:rPr>
        <w:t>Convert round/time into elapsed seconds with tested boundary rules.</w:t>
      </w:r>
    </w:p>
    <w:p>
      <w:pPr>
        <w:pStyle w:val="ListNumber"/>
        <w:numPr>
          <w:ilvl w:val="0"/>
          <w:numId w:val="14"/>
        </w:numPr>
      </w:pPr>
      <w:r>
        <w:rPr>
          <w:rFonts w:ascii="Calibri" w:hAnsi="Calibri"/>
        </w:rPr>
        <w:t>Join only feature snapshots whose cutoff precedes the event.</w:t>
      </w:r>
    </w:p>
    <w:p>
      <w:pPr>
        <w:pStyle w:val="ListNumber"/>
        <w:numPr>
          <w:ilvl w:val="0"/>
          <w:numId w:val="14"/>
        </w:numPr>
      </w:pPr>
      <w:r>
        <w:rPr>
          <w:rFonts w:ascii="Calibri" w:hAnsi="Calibri"/>
        </w:rPr>
        <w:t>Start with two baselines:</w:t>
      </w:r>
    </w:p>
    <w:p>
      <w:pPr>
        <w:pStyle w:val="ListBullet"/>
        <w:ind w:left="936" w:hanging="271"/>
      </w:pPr>
      <w:r>
        <w:rPr>
          <w:rFonts w:ascii="Calibri" w:hAnsi="Calibri"/>
        </w:rPr>
        <w:t>calibrated binary classifiers for standard thresholds represented in available history; and</w:t>
      </w:r>
    </w:p>
    <w:p>
      <w:pPr>
        <w:pStyle w:val="ListBullet"/>
        <w:ind w:left="936" w:hanging="271"/>
      </w:pPr>
      <w:r>
        <w:rPr>
          <w:rFonts w:ascii="Calibri" w:hAnsi="Calibri"/>
        </w:rPr>
        <w:t>a discrete-time hazard or survival model that estimates a full survival curve.</w:t>
      </w:r>
    </w:p>
    <w:p>
      <w:pPr>
        <w:pStyle w:val="ListNumber"/>
        <w:numPr>
          <w:ilvl w:val="0"/>
          <w:numId w:val="14"/>
        </w:numPr>
      </w:pPr>
      <w:r>
        <w:rPr>
          <w:rFonts w:ascii="Calibri" w:hAnsi="Calibri"/>
        </w:rPr>
        <w:t>Evaluate both on identical chronological unique-fight folds.</w:t>
      </w:r>
    </w:p>
    <w:p>
      <w:pPr>
        <w:pStyle w:val="ListNumber"/>
        <w:numPr>
          <w:ilvl w:val="0"/>
          <w:numId w:val="14"/>
        </w:numPr>
      </w:pPr>
      <w:r>
        <w:rPr>
          <w:rFonts w:ascii="Calibri" w:hAnsi="Calibri"/>
        </w:rPr>
        <w:t>Select the simplest approach that produces reliable line-specific calibration and supports current lines without proliferating fragile models.</w:t>
      </w:r>
    </w:p>
    <w:p>
      <w:r>
        <w:rPr>
          <w:rFonts w:ascii="Calibri" w:hAnsi="Calibri"/>
        </w:rPr>
        <w:t>Exit condition: the trainer produces a versioned model, feature contract, metrics report, lineage manifest, and reproducible out-of-fold predictions. No serving code changes are required to reach this gate.</w:t>
      </w:r>
    </w:p>
    <w:p>
      <w:pPr>
        <w:pStyle w:val="Heading2"/>
      </w:pPr>
      <w:r>
        <w:rPr>
          <w:rFonts w:ascii="Calibri" w:hAnsi="Calibri"/>
        </w:rPr>
        <w:t>Phase 3 — Shadow serving and snapshot evaluation</w:t>
      </w:r>
    </w:p>
    <w:p>
      <w:r>
        <w:rPr>
          <w:rFonts w:ascii="Calibri" w:hAnsi="Calibri"/>
        </w:rPr>
        <w:t>Objective: run the candidate without changing the public interpretation of Future Cards.</w:t>
      </w:r>
    </w:p>
    <w:p>
      <w:r>
        <w:rPr>
          <w:rFonts w:ascii="Calibri" w:hAnsi="Calibri"/>
        </w:rPr>
        <w:t>Actions:</w:t>
      </w:r>
    </w:p>
    <w:p>
      <w:pPr>
        <w:pStyle w:val="ListBullet"/>
      </w:pPr>
      <w:r>
        <w:rPr>
          <w:rFonts w:ascii="Calibri" w:hAnsi="Calibri"/>
        </w:rPr>
        <w:t>Load the duration artifact through the model registry and validate its schema/version.</w:t>
      </w:r>
    </w:p>
    <w:p>
      <w:pPr>
        <w:pStyle w:val="ListBullet"/>
      </w:pPr>
      <w:r>
        <w:rPr>
          <w:rFonts w:ascii="Calibri" w:hAnsi="Calibri"/>
        </w:rPr>
        <w:t>Calculate a prediction only when fighters, scheduled rounds, and a supported totals line are available.</w:t>
      </w:r>
    </w:p>
    <w:p>
      <w:pPr>
        <w:pStyle w:val="ListBullet"/>
      </w:pPr>
      <w:r>
        <w:rPr>
          <w:rFonts w:ascii="Calibri" w:hAnsi="Calibri"/>
        </w:rPr>
        <w:t xml:space="preserve">Store </w:t>
      </w:r>
      <w:r>
        <w:rPr>
          <w:rFonts w:ascii="Consolas" w:hAnsi="Consolas"/>
          <w:color w:val="2E74B5"/>
          <w:sz w:val="19"/>
        </w:rPr>
        <w:t>line</w:t>
      </w:r>
      <w:r>
        <w:rPr>
          <w:rFonts w:ascii="Calibri" w:hAnsi="Calibri"/>
        </w:rPr>
        <w:t xml:space="preserve">, </w:t>
      </w:r>
      <w:r>
        <w:rPr>
          <w:rFonts w:ascii="Consolas" w:hAnsi="Consolas"/>
          <w:color w:val="2E74B5"/>
          <w:sz w:val="19"/>
        </w:rPr>
        <w:t>over_probability</w:t>
      </w:r>
      <w:r>
        <w:rPr>
          <w:rFonts w:ascii="Calibri" w:hAnsi="Calibri"/>
        </w:rPr>
        <w:t xml:space="preserve">, </w:t>
      </w:r>
      <w:r>
        <w:rPr>
          <w:rFonts w:ascii="Consolas" w:hAnsi="Consolas"/>
          <w:color w:val="2E74B5"/>
          <w:sz w:val="19"/>
        </w:rPr>
        <w:t>under_probability</w:t>
      </w:r>
      <w:r>
        <w:rPr>
          <w:rFonts w:ascii="Calibri" w:hAnsi="Calibri"/>
        </w:rPr>
        <w:t>, model version, artifact hash, source timestamp, feature-coverage flags, and prediction timestamp.</w:t>
      </w:r>
    </w:p>
    <w:p>
      <w:pPr>
        <w:pStyle w:val="ListBullet"/>
      </w:pPr>
      <w:r>
        <w:rPr>
          <w:rFonts w:ascii="Calibri" w:hAnsi="Calibri"/>
        </w:rPr>
        <w:t>Expose results first through an admin/debug response or Data Ops panel.</w:t>
      </w:r>
    </w:p>
    <w:p>
      <w:pPr>
        <w:pStyle w:val="ListBullet"/>
      </w:pPr>
      <w:r>
        <w:rPr>
          <w:rFonts w:ascii="Calibri" w:hAnsi="Calibri"/>
        </w:rPr>
        <w:t>Settle saved predictions after results refresh using the same boundary function used for training labels.</w:t>
      </w:r>
    </w:p>
    <w:p>
      <w:pPr>
        <w:pStyle w:val="ListBullet"/>
      </w:pPr>
      <w:r>
        <w:rPr>
          <w:rFonts w:ascii="Calibri" w:hAnsi="Calibri"/>
        </w:rPr>
        <w:t>Track coverage, Brier score, log loss, calibration, and confidence intervals prospectively.</w:t>
      </w:r>
    </w:p>
    <w:p>
      <w:r>
        <w:rPr>
          <w:rFonts w:ascii="Calibri" w:hAnsi="Calibri"/>
        </w:rPr>
        <w:t>Exit condition: shadow predictions survive at least one full event lifecycle from pre-fight snapshot through result settlement with no manual database edits.</w:t>
      </w:r>
    </w:p>
    <w:p>
      <w:pPr>
        <w:pStyle w:val="Heading2"/>
      </w:pPr>
      <w:r>
        <w:rPr>
          <w:rFonts w:ascii="Calibri" w:hAnsi="Calibri"/>
        </w:rPr>
        <w:t>Phase 4 — Future Cards presentation</w:t>
      </w:r>
    </w:p>
    <w:p>
      <w:r>
        <w:rPr>
          <w:rFonts w:ascii="Calibri" w:hAnsi="Calibri"/>
        </w:rPr>
        <w:t>Objective: show a line-matched comparison without overstating certainty.</w:t>
      </w:r>
    </w:p>
    <w:p>
      <w:r>
        <w:rPr>
          <w:rFonts w:ascii="Calibri" w:hAnsi="Calibri"/>
        </w:rPr>
        <w:t>Recommended row:</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229"/>
            <w:tcMar>
              <w:top w:w="80" w:type="dxa"/>
              <w:start w:w="120" w:type="dxa"/>
              <w:bottom w:w="80" w:type="dxa"/>
              <w:end w:w="120" w:type="dxa"/>
            </w:tcMar>
            <w:vAlign w:val="center"/>
            <w:shd w:fill="12233F"/>
          </w:tcPr>
          <w:p>
            <w:pPr>
              <w:spacing w:after="0" w:line="252" w:lineRule="auto"/>
            </w:pPr>
            <w:r>
              <w:rPr>
                <w:rFonts w:ascii="Calibri" w:hAnsi="Calibri"/>
                <w:b/>
                <w:color w:val="FFFFFF"/>
                <w:sz w:val="18"/>
              </w:rPr>
              <w:t>Display element</w:t>
            </w:r>
          </w:p>
        </w:tc>
        <w:tc>
          <w:tcPr>
            <w:tcW w:type="dxa" w:w="3408"/>
            <w:tcMar>
              <w:top w:w="80" w:type="dxa"/>
              <w:start w:w="120" w:type="dxa"/>
              <w:bottom w:w="80" w:type="dxa"/>
              <w:end w:w="120" w:type="dxa"/>
            </w:tcMar>
            <w:vAlign w:val="center"/>
            <w:shd w:fill="12233F"/>
          </w:tcPr>
          <w:p>
            <w:pPr>
              <w:spacing w:after="0" w:line="252" w:lineRule="auto"/>
            </w:pPr>
            <w:r>
              <w:rPr>
                <w:rFonts w:ascii="Calibri" w:hAnsi="Calibri"/>
                <w:b/>
                <w:color w:val="FFFFFF"/>
                <w:sz w:val="18"/>
              </w:rPr>
              <w:t>Example</w:t>
            </w:r>
          </w:p>
        </w:tc>
        <w:tc>
          <w:tcPr>
            <w:tcW w:type="dxa" w:w="3723"/>
            <w:tcMar>
              <w:top w:w="80" w:type="dxa"/>
              <w:start w:w="120" w:type="dxa"/>
              <w:bottom w:w="80" w:type="dxa"/>
              <w:end w:w="120" w:type="dxa"/>
            </w:tcMar>
            <w:vAlign w:val="center"/>
            <w:shd w:fill="12233F"/>
          </w:tcPr>
          <w:p>
            <w:pPr>
              <w:spacing w:after="0" w:line="252" w:lineRule="auto"/>
            </w:pPr>
            <w:r>
              <w:rPr>
                <w:rFonts w:ascii="Calibri" w:hAnsi="Calibri"/>
                <w:b/>
                <w:color w:val="FFFFFF"/>
                <w:sz w:val="18"/>
              </w:rPr>
              <w:t>Rule</w:t>
            </w:r>
          </w:p>
        </w:tc>
      </w:tr>
      <w:tr>
        <w:trPr>
          <w:cantSplit/>
        </w:trPr>
        <w:tc>
          <w:tcPr>
            <w:tcW w:type="dxa" w:w="2229"/>
            <w:tcMar>
              <w:top w:w="80" w:type="dxa"/>
              <w:start w:w="120" w:type="dxa"/>
              <w:bottom w:w="80" w:type="dxa"/>
              <w:end w:w="120" w:type="dxa"/>
            </w:tcMar>
            <w:vAlign w:val="center"/>
            <w:shd w:fill="EEF5FB"/>
          </w:tcPr>
          <w:p>
            <w:pPr>
              <w:spacing w:after="0" w:line="252" w:lineRule="auto"/>
            </w:pPr>
            <w:r>
              <w:rPr>
                <w:rFonts w:ascii="Calibri" w:hAnsi="Calibri"/>
                <w:color w:val="202A35"/>
                <w:sz w:val="18"/>
              </w:rPr>
              <w:t>Book line</w:t>
            </w:r>
          </w:p>
        </w:tc>
        <w:tc>
          <w:tcPr>
            <w:tcW w:type="dxa" w:w="3408"/>
            <w:tcMar>
              <w:top w:w="80" w:type="dxa"/>
              <w:start w:w="120" w:type="dxa"/>
              <w:bottom w:w="80" w:type="dxa"/>
              <w:end w:w="120" w:type="dxa"/>
            </w:tcMar>
            <w:vAlign w:val="center"/>
            <w:shd w:fill="EEF5FB"/>
          </w:tcPr>
          <w:p>
            <w:pPr>
              <w:spacing w:after="0" w:line="252" w:lineRule="auto"/>
            </w:pPr>
            <w:r>
              <w:rPr>
                <w:rFonts w:ascii="Calibri" w:hAnsi="Calibri"/>
                <w:color w:val="202A35"/>
                <w:sz w:val="18"/>
              </w:rPr>
              <w:t>Over/Under 2.5 rounds</w:t>
            </w:r>
          </w:p>
        </w:tc>
        <w:tc>
          <w:tcPr>
            <w:tcW w:type="dxa" w:w="3723"/>
            <w:tcMar>
              <w:top w:w="80" w:type="dxa"/>
              <w:start w:w="120" w:type="dxa"/>
              <w:bottom w:w="80" w:type="dxa"/>
              <w:end w:w="120" w:type="dxa"/>
            </w:tcMar>
            <w:vAlign w:val="center"/>
            <w:shd w:fill="EEF5FB"/>
          </w:tcPr>
          <w:p>
            <w:pPr>
              <w:spacing w:after="0" w:line="252" w:lineRule="auto"/>
            </w:pPr>
            <w:r>
              <w:rPr>
                <w:rFonts w:ascii="Calibri" w:hAnsi="Calibri"/>
                <w:color w:val="202A35"/>
                <w:sz w:val="18"/>
              </w:rPr>
              <w:t>Show source/book count and quote age</w:t>
            </w:r>
          </w:p>
        </w:tc>
      </w:tr>
      <w:tr>
        <w:trPr>
          <w:cantSplit/>
        </w:trPr>
        <w:tc>
          <w:tcPr>
            <w:tcW w:type="dxa" w:w="2229"/>
            <w:tcMar>
              <w:top w:w="80" w:type="dxa"/>
              <w:start w:w="120" w:type="dxa"/>
              <w:bottom w:w="80" w:type="dxa"/>
              <w:end w:w="120" w:type="dxa"/>
            </w:tcMar>
            <w:vAlign w:val="center"/>
            <w:shd w:fill="FFFFFF"/>
          </w:tcPr>
          <w:p>
            <w:pPr>
              <w:spacing w:after="0" w:line="252" w:lineRule="auto"/>
            </w:pPr>
            <w:r>
              <w:rPr>
                <w:rFonts w:ascii="Calibri" w:hAnsi="Calibri"/>
                <w:color w:val="202A35"/>
                <w:sz w:val="18"/>
              </w:rPr>
              <w:t>Market</w:t>
            </w:r>
          </w:p>
        </w:tc>
        <w:tc>
          <w:tcPr>
            <w:tcW w:type="dxa" w:w="3408"/>
            <w:tcMar>
              <w:top w:w="80" w:type="dxa"/>
              <w:start w:w="120" w:type="dxa"/>
              <w:bottom w:w="80" w:type="dxa"/>
              <w:end w:w="120" w:type="dxa"/>
            </w:tcMar>
            <w:vAlign w:val="center"/>
            <w:shd w:fill="FFFFFF"/>
          </w:tcPr>
          <w:p>
            <w:pPr>
              <w:spacing w:after="0" w:line="252" w:lineRule="auto"/>
            </w:pPr>
            <w:r>
              <w:rPr>
                <w:rFonts w:ascii="Calibri" w:hAnsi="Calibri"/>
                <w:color w:val="202A35"/>
                <w:sz w:val="18"/>
              </w:rPr>
              <w:t>Over 58% / Under 42%</w:t>
            </w:r>
          </w:p>
        </w:tc>
        <w:tc>
          <w:tcPr>
            <w:tcW w:type="dxa" w:w="3723"/>
            <w:tcMar>
              <w:top w:w="80" w:type="dxa"/>
              <w:start w:w="120" w:type="dxa"/>
              <w:bottom w:w="80" w:type="dxa"/>
              <w:end w:w="120" w:type="dxa"/>
            </w:tcMar>
            <w:vAlign w:val="center"/>
            <w:shd w:fill="FFFFFF"/>
          </w:tcPr>
          <w:p>
            <w:pPr>
              <w:spacing w:after="0" w:line="252" w:lineRule="auto"/>
            </w:pPr>
            <w:r>
              <w:rPr>
                <w:rFonts w:ascii="Calibri" w:hAnsi="Calibri"/>
                <w:color w:val="202A35"/>
                <w:sz w:val="18"/>
              </w:rPr>
              <w:t>De-vig both sides from the same line</w:t>
            </w:r>
          </w:p>
        </w:tc>
      </w:tr>
      <w:tr>
        <w:trPr>
          <w:cantSplit/>
        </w:trPr>
        <w:tc>
          <w:tcPr>
            <w:tcW w:type="dxa" w:w="2229"/>
            <w:tcMar>
              <w:top w:w="80" w:type="dxa"/>
              <w:start w:w="120" w:type="dxa"/>
              <w:bottom w:w="80" w:type="dxa"/>
              <w:end w:w="120" w:type="dxa"/>
            </w:tcMar>
            <w:vAlign w:val="center"/>
            <w:shd w:fill="EEF5FB"/>
          </w:tcPr>
          <w:p>
            <w:pPr>
              <w:spacing w:after="0" w:line="252" w:lineRule="auto"/>
            </w:pPr>
            <w:r>
              <w:rPr>
                <w:rFonts w:ascii="Calibri" w:hAnsi="Calibri"/>
                <w:color w:val="202A35"/>
                <w:sz w:val="18"/>
              </w:rPr>
              <w:t>Model</w:t>
            </w:r>
          </w:p>
        </w:tc>
        <w:tc>
          <w:tcPr>
            <w:tcW w:type="dxa" w:w="3408"/>
            <w:tcMar>
              <w:top w:w="80" w:type="dxa"/>
              <w:start w:w="120" w:type="dxa"/>
              <w:bottom w:w="80" w:type="dxa"/>
              <w:end w:w="120" w:type="dxa"/>
            </w:tcMar>
            <w:vAlign w:val="center"/>
            <w:shd w:fill="EEF5FB"/>
          </w:tcPr>
          <w:p>
            <w:pPr>
              <w:spacing w:after="0" w:line="252" w:lineRule="auto"/>
            </w:pPr>
            <w:r>
              <w:rPr>
                <w:rFonts w:ascii="Calibri" w:hAnsi="Calibri"/>
                <w:color w:val="202A35"/>
                <w:sz w:val="18"/>
              </w:rPr>
              <w:t>Over 54% / Under 46%</w:t>
            </w:r>
          </w:p>
        </w:tc>
        <w:tc>
          <w:tcPr>
            <w:tcW w:type="dxa" w:w="3723"/>
            <w:tcMar>
              <w:top w:w="80" w:type="dxa"/>
              <w:start w:w="120" w:type="dxa"/>
              <w:bottom w:w="80" w:type="dxa"/>
              <w:end w:w="120" w:type="dxa"/>
            </w:tcMar>
            <w:vAlign w:val="center"/>
            <w:shd w:fill="EEF5FB"/>
          </w:tcPr>
          <w:p>
            <w:pPr>
              <w:spacing w:after="0" w:line="252" w:lineRule="auto"/>
            </w:pPr>
            <w:r>
              <w:rPr>
                <w:rFonts w:ascii="Calibri" w:hAnsi="Calibri"/>
                <w:color w:val="202A35"/>
                <w:sz w:val="18"/>
              </w:rPr>
              <w:t>Same line; show model version in details</w:t>
            </w:r>
          </w:p>
        </w:tc>
      </w:tr>
      <w:tr>
        <w:trPr>
          <w:cantSplit/>
        </w:trPr>
        <w:tc>
          <w:tcPr>
            <w:tcW w:type="dxa" w:w="2229"/>
            <w:tcMar>
              <w:top w:w="80" w:type="dxa"/>
              <w:start w:w="120" w:type="dxa"/>
              <w:bottom w:w="80" w:type="dxa"/>
              <w:end w:w="120" w:type="dxa"/>
            </w:tcMar>
            <w:vAlign w:val="center"/>
            <w:shd w:fill="FFFFFF"/>
          </w:tcPr>
          <w:p>
            <w:pPr>
              <w:spacing w:after="0" w:line="252" w:lineRule="auto"/>
            </w:pPr>
            <w:r>
              <w:rPr>
                <w:rFonts w:ascii="Calibri" w:hAnsi="Calibri"/>
                <w:color w:val="202A35"/>
                <w:sz w:val="18"/>
              </w:rPr>
              <w:t>Difference</w:t>
            </w:r>
          </w:p>
        </w:tc>
        <w:tc>
          <w:tcPr>
            <w:tcW w:type="dxa" w:w="3408"/>
            <w:tcMar>
              <w:top w:w="80" w:type="dxa"/>
              <w:start w:w="120" w:type="dxa"/>
              <w:bottom w:w="80" w:type="dxa"/>
              <w:end w:w="120" w:type="dxa"/>
            </w:tcMar>
            <w:vAlign w:val="center"/>
            <w:shd w:fill="FFFFFF"/>
          </w:tcPr>
          <w:p>
            <w:pPr>
              <w:spacing w:after="0" w:line="252" w:lineRule="auto"/>
            </w:pPr>
            <w:r>
              <w:rPr>
                <w:rFonts w:ascii="Calibri" w:hAnsi="Calibri"/>
                <w:color w:val="202A35"/>
                <w:sz w:val="18"/>
              </w:rPr>
              <w:t>Model − market: −4 pts on Over</w:t>
            </w:r>
          </w:p>
        </w:tc>
        <w:tc>
          <w:tcPr>
            <w:tcW w:type="dxa" w:w="3723"/>
            <w:tcMar>
              <w:top w:w="80" w:type="dxa"/>
              <w:start w:w="120" w:type="dxa"/>
              <w:bottom w:w="80" w:type="dxa"/>
              <w:end w:w="120" w:type="dxa"/>
            </w:tcMar>
            <w:vAlign w:val="center"/>
            <w:shd w:fill="FFFFFF"/>
          </w:tcPr>
          <w:p>
            <w:pPr>
              <w:spacing w:after="0" w:line="252" w:lineRule="auto"/>
            </w:pPr>
            <w:r>
              <w:rPr>
                <w:rFonts w:ascii="Calibri" w:hAnsi="Calibri"/>
                <w:color w:val="202A35"/>
                <w:sz w:val="18"/>
              </w:rPr>
              <w:t>Neutral comparison language initially</w:t>
            </w:r>
          </w:p>
        </w:tc>
      </w:tr>
      <w:tr>
        <w:trPr>
          <w:cantSplit/>
        </w:trPr>
        <w:tc>
          <w:tcPr>
            <w:tcW w:type="dxa" w:w="2229"/>
            <w:tcMar>
              <w:top w:w="80" w:type="dxa"/>
              <w:start w:w="120" w:type="dxa"/>
              <w:bottom w:w="80" w:type="dxa"/>
              <w:end w:w="120" w:type="dxa"/>
            </w:tcMar>
            <w:vAlign w:val="center"/>
            <w:shd w:fill="EEF5FB"/>
          </w:tcPr>
          <w:p>
            <w:pPr>
              <w:spacing w:after="0" w:line="252" w:lineRule="auto"/>
            </w:pPr>
            <w:r>
              <w:rPr>
                <w:rFonts w:ascii="Calibri" w:hAnsi="Calibri"/>
                <w:color w:val="202A35"/>
                <w:sz w:val="18"/>
              </w:rPr>
              <w:t>Context</w:t>
            </w:r>
          </w:p>
        </w:tc>
        <w:tc>
          <w:tcPr>
            <w:tcW w:type="dxa" w:w="3408"/>
            <w:tcMar>
              <w:top w:w="80" w:type="dxa"/>
              <w:start w:w="120" w:type="dxa"/>
              <w:bottom w:w="80" w:type="dxa"/>
              <w:end w:w="120" w:type="dxa"/>
            </w:tcMar>
            <w:vAlign w:val="center"/>
            <w:shd w:fill="EEF5FB"/>
          </w:tcPr>
          <w:p>
            <w:pPr>
              <w:spacing w:after="0" w:line="252" w:lineRule="auto"/>
            </w:pPr>
            <w:r>
              <w:rPr>
                <w:rFonts w:ascii="Calibri" w:hAnsi="Calibri"/>
                <w:color w:val="202A35"/>
                <w:sz w:val="18"/>
              </w:rPr>
              <w:t>Decision probability 48%</w:t>
            </w:r>
          </w:p>
        </w:tc>
        <w:tc>
          <w:tcPr>
            <w:tcW w:type="dxa" w:w="3723"/>
            <w:tcMar>
              <w:top w:w="80" w:type="dxa"/>
              <w:start w:w="120" w:type="dxa"/>
              <w:bottom w:w="80" w:type="dxa"/>
              <w:end w:w="120" w:type="dxa"/>
            </w:tcMar>
            <w:vAlign w:val="center"/>
            <w:shd w:fill="EEF5FB"/>
          </w:tcPr>
          <w:p>
            <w:pPr>
              <w:spacing w:after="0" w:line="252" w:lineRule="auto"/>
            </w:pPr>
            <w:r>
              <w:rPr>
                <w:rFonts w:ascii="Calibri" w:hAnsi="Calibri"/>
                <w:color w:val="202A35"/>
                <w:sz w:val="18"/>
              </w:rPr>
              <w:t>Optional, separately labeled; never called the 2.5-round probability</w:t>
            </w:r>
          </w:p>
        </w:tc>
      </w:tr>
      <w:tr>
        <w:trPr>
          <w:cantSplit/>
        </w:trPr>
        <w:tc>
          <w:tcPr>
            <w:tcW w:type="dxa" w:w="2229"/>
            <w:tcMar>
              <w:top w:w="80" w:type="dxa"/>
              <w:start w:w="120" w:type="dxa"/>
              <w:bottom w:w="80" w:type="dxa"/>
              <w:end w:w="120" w:type="dxa"/>
            </w:tcMar>
            <w:vAlign w:val="center"/>
            <w:shd w:fill="FFFFFF"/>
          </w:tcPr>
          <w:p>
            <w:pPr>
              <w:spacing w:after="0" w:line="252" w:lineRule="auto"/>
            </w:pPr>
            <w:r>
              <w:rPr>
                <w:rFonts w:ascii="Calibri" w:hAnsi="Calibri"/>
                <w:color w:val="202A35"/>
                <w:sz w:val="18"/>
              </w:rPr>
              <w:t>Availability</w:t>
            </w:r>
          </w:p>
        </w:tc>
        <w:tc>
          <w:tcPr>
            <w:tcW w:type="dxa" w:w="3408"/>
            <w:tcMar>
              <w:top w:w="80" w:type="dxa"/>
              <w:start w:w="120" w:type="dxa"/>
              <w:bottom w:w="80" w:type="dxa"/>
              <w:end w:w="120" w:type="dxa"/>
            </w:tcMar>
            <w:vAlign w:val="center"/>
            <w:shd w:fill="FFFFFF"/>
          </w:tcPr>
          <w:p>
            <w:pPr>
              <w:spacing w:after="0" w:line="252" w:lineRule="auto"/>
            </w:pPr>
            <w:r>
              <w:rPr>
                <w:rFonts w:ascii="Calibri" w:hAnsi="Calibri"/>
                <w:color w:val="202A35"/>
                <w:sz w:val="18"/>
              </w:rPr>
              <w:t>Duration model unavailable</w:t>
            </w:r>
          </w:p>
        </w:tc>
        <w:tc>
          <w:tcPr>
            <w:tcW w:type="dxa" w:w="3723"/>
            <w:tcMar>
              <w:top w:w="80" w:type="dxa"/>
              <w:start w:w="120" w:type="dxa"/>
              <w:bottom w:w="80" w:type="dxa"/>
              <w:end w:w="120" w:type="dxa"/>
            </w:tcMar>
            <w:vAlign w:val="center"/>
            <w:shd w:fill="FFFFFF"/>
          </w:tcPr>
          <w:p>
            <w:pPr>
              <w:spacing w:after="0" w:line="252" w:lineRule="auto"/>
            </w:pPr>
            <w:r>
              <w:rPr>
                <w:rFonts w:ascii="Calibri" w:hAnsi="Calibri"/>
                <w:color w:val="202A35"/>
                <w:sz w:val="18"/>
              </w:rPr>
              <w:t>Give a reason category without exposing sensitive internals</w:t>
            </w:r>
          </w:p>
        </w:tc>
      </w:tr>
    </w:tbl>
    <w:p>
      <w:pPr>
        <w:spacing w:after="0"/>
      </w:pPr>
    </w:p>
    <w:p>
      <w:r>
        <w:rPr>
          <w:rFonts w:ascii="Calibri" w:hAnsi="Calibri"/>
        </w:rPr>
        <w:t>Do not label a side as a bet, edge, or recommendation until the prospective evaluation gate is met and product language is explicitly approved.</w:t>
      </w:r>
    </w:p>
    <w:p>
      <w:r>
        <w:rPr>
          <w:rFonts w:ascii="Calibri" w:hAnsi="Calibri"/>
        </w:rPr>
        <w:t>Exit condition: API, frontend mock fixtures, UI tests, responsive states, saved snapshots, and interpretation documentation agree on the same field definitions.</w:t>
      </w:r>
    </w:p>
    <w:p>
      <w:pPr>
        <w:pStyle w:val="Heading2"/>
      </w:pPr>
      <w:r>
        <w:rPr>
          <w:rFonts w:ascii="Calibri" w:hAnsi="Calibri"/>
        </w:rPr>
        <w:t>Phase 5 — Prospective gate and controlled promotion</w:t>
      </w:r>
    </w:p>
    <w:p>
      <w:r>
        <w:rPr>
          <w:rFonts w:ascii="Calibri" w:hAnsi="Calibri"/>
        </w:rPr>
        <w:t>Objective: determine whether line-specific estimates are useful and stable enough for stronger presentation.</w:t>
      </w:r>
    </w:p>
    <w:p>
      <w:r>
        <w:rPr>
          <w:rFonts w:ascii="Calibri" w:hAnsi="Calibri"/>
        </w:rPr>
        <w:t>Promote only when:</w:t>
      </w:r>
    </w:p>
    <w:p>
      <w:pPr>
        <w:pStyle w:val="ListBullet"/>
      </w:pPr>
      <w:r>
        <w:rPr>
          <w:rFonts w:ascii="Calibri" w:hAnsi="Calibri"/>
        </w:rPr>
        <w:t>every scored prediction was saved before the relevant fight and market close;</w:t>
      </w:r>
    </w:p>
    <w:p>
      <w:pPr>
        <w:pStyle w:val="ListBullet"/>
      </w:pPr>
      <w:r>
        <w:rPr>
          <w:rFonts w:ascii="Calibri" w:hAnsi="Calibri"/>
        </w:rPr>
        <w:t>market and model refer to the identical line;</w:t>
      </w:r>
    </w:p>
    <w:p>
      <w:pPr>
        <w:pStyle w:val="ListBullet"/>
      </w:pPr>
      <w:r>
        <w:rPr>
          <w:rFonts w:ascii="Calibri" w:hAnsi="Calibri"/>
        </w:rPr>
        <w:t>settlement rules are verified against official results and target-book rules;</w:t>
      </w:r>
    </w:p>
    <w:p>
      <w:pPr>
        <w:pStyle w:val="ListBullet"/>
      </w:pPr>
      <w:r>
        <w:rPr>
          <w:rFonts w:ascii="Calibri" w:hAnsi="Calibri"/>
        </w:rPr>
        <w:t>coverage and exclusions are published with results;</w:t>
      </w:r>
    </w:p>
    <w:p>
      <w:pPr>
        <w:pStyle w:val="ListBullet"/>
      </w:pPr>
      <w:r>
        <w:rPr>
          <w:rFonts w:ascii="Calibri" w:hAnsi="Calibri"/>
        </w:rPr>
        <w:t>confidence intervals do not support a material regression versus the declared baseline;</w:t>
      </w:r>
    </w:p>
    <w:p>
      <w:pPr>
        <w:pStyle w:val="ListBullet"/>
      </w:pPr>
      <w:r>
        <w:rPr>
          <w:rFonts w:ascii="Calibri" w:hAnsi="Calibri"/>
        </w:rPr>
        <w:t>subgroup calibration is acceptable for 3-round/5-round fights and high-volume weight classes;</w:t>
      </w:r>
    </w:p>
    <w:p>
      <w:pPr>
        <w:pStyle w:val="ListBullet"/>
      </w:pPr>
      <w:r>
        <w:rPr>
          <w:rFonts w:ascii="Calibri" w:hAnsi="Calibri"/>
        </w:rPr>
        <w:t>no training/serving feature mismatch or identity error was observed in the evaluation set.</w:t>
      </w:r>
    </w:p>
    <w:p>
      <w:r>
        <w:rPr>
          <w:rFonts w:ascii="Calibri" w:hAnsi="Calibri"/>
        </w:rPr>
        <w:t>Proposed sample gate: review after 200–300 line-matched, prospectively saved fights, but do not treat the number alone as sufficient. This threshold is a planning proposal, not an established statistical guarantee; power should be calculated from observed event rates and the minimum useful improvement.</w:t>
      </w:r>
    </w:p>
    <w:p>
      <w:pPr>
        <w:pStyle w:val="Heading1"/>
      </w:pPr>
      <w:r>
        <w:rPr>
          <w:rFonts w:ascii="Calibri" w:hAnsi="Calibri"/>
        </w:rPr>
        <w:t>6. Fight-duration and totals implementation specification</w:t>
      </w:r>
    </w:p>
    <w:p>
      <w:pPr>
        <w:pStyle w:val="Heading2"/>
      </w:pPr>
      <w:r>
        <w:rPr>
          <w:rFonts w:ascii="Calibri" w:hAnsi="Calibri"/>
        </w:rPr>
        <w:t>6.1 Target definition</w:t>
      </w:r>
    </w:p>
    <w:p>
      <w:r>
        <w:rPr>
          <w:rFonts w:ascii="Calibri" w:hAnsi="Calibri"/>
        </w:rPr>
        <w:t xml:space="preserve">Let </w:t>
      </w:r>
      <w:r>
        <w:rPr>
          <w:rFonts w:ascii="Consolas" w:hAnsi="Consolas"/>
          <w:color w:val="2E74B5"/>
          <w:sz w:val="19"/>
        </w:rPr>
        <w:t>T</w:t>
      </w:r>
      <w:r>
        <w:rPr>
          <w:rFonts w:ascii="Calibri" w:hAnsi="Calibri"/>
        </w:rPr>
        <w:t xml:space="preserve"> be official elapsed fight time in seconds and </w:t>
      </w:r>
      <w:r>
        <w:rPr>
          <w:rFonts w:ascii="Consolas" w:hAnsi="Consolas"/>
          <w:color w:val="2E74B5"/>
          <w:sz w:val="19"/>
        </w:rPr>
        <w:t>L</w:t>
      </w:r>
      <w:r>
        <w:rPr>
          <w:rFonts w:ascii="Calibri" w:hAnsi="Calibri"/>
        </w:rPr>
        <w:t xml:space="preserve"> be the sportsbook threshold converted to seconds. The primary prediction target is:</w:t>
      </w:r>
    </w:p>
    <w:p>
      <w:r>
        <w:rPr>
          <w:rFonts w:ascii="Consolas" w:hAnsi="Consolas"/>
          <w:color w:val="2E74B5"/>
          <w:sz w:val="19"/>
        </w:rPr>
        <w:t>over = 1 if T &gt; L, otherwise 0</w:t>
      </w:r>
      <w:r>
        <w:rPr>
          <w:rFonts w:ascii="Calibri" w:hAnsi="Calibri"/>
        </w:rPr>
        <w:t>, subject to the selected book's void/push rules.</w:t>
      </w:r>
    </w:p>
    <w:p>
      <w:r>
        <w:rPr>
          <w:rFonts w:ascii="Calibri" w:hAnsi="Calibri"/>
        </w:rPr>
        <w:t>Examples under the commonly used half-round interpretation:</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1960"/>
            <w:tcMar>
              <w:top w:w="80" w:type="dxa"/>
              <w:start w:w="120" w:type="dxa"/>
              <w:bottom w:w="80" w:type="dxa"/>
              <w:end w:w="120" w:type="dxa"/>
            </w:tcMar>
            <w:vAlign w:val="center"/>
            <w:shd w:fill="12233F"/>
          </w:tcPr>
          <w:p>
            <w:pPr>
              <w:spacing w:after="0" w:line="252" w:lineRule="auto"/>
            </w:pPr>
            <w:r>
              <w:rPr>
                <w:rFonts w:ascii="Calibri" w:hAnsi="Calibri"/>
                <w:b/>
                <w:color w:val="FFFFFF"/>
                <w:sz w:val="18"/>
              </w:rPr>
              <w:t>Market line</w:t>
            </w:r>
          </w:p>
        </w:tc>
        <w:tc>
          <w:tcPr>
            <w:tcW w:type="dxa" w:w="3534"/>
            <w:tcMar>
              <w:top w:w="80" w:type="dxa"/>
              <w:start w:w="120" w:type="dxa"/>
              <w:bottom w:w="80" w:type="dxa"/>
              <w:end w:w="120" w:type="dxa"/>
            </w:tcMar>
            <w:vAlign w:val="center"/>
            <w:shd w:fill="12233F"/>
          </w:tcPr>
          <w:p>
            <w:pPr>
              <w:spacing w:after="0" w:line="252" w:lineRule="auto"/>
            </w:pPr>
            <w:r>
              <w:rPr>
                <w:rFonts w:ascii="Calibri" w:hAnsi="Calibri"/>
                <w:b/>
                <w:color w:val="FFFFFF"/>
                <w:sz w:val="18"/>
              </w:rPr>
              <w:t>Candidate threshold conversion</w:t>
            </w:r>
          </w:p>
        </w:tc>
        <w:tc>
          <w:tcPr>
            <w:tcW w:type="dxa" w:w="3866"/>
            <w:tcMar>
              <w:top w:w="80" w:type="dxa"/>
              <w:start w:w="120" w:type="dxa"/>
              <w:bottom w:w="80" w:type="dxa"/>
              <w:end w:w="120" w:type="dxa"/>
            </w:tcMar>
            <w:vAlign w:val="center"/>
            <w:shd w:fill="12233F"/>
          </w:tcPr>
          <w:p>
            <w:pPr>
              <w:spacing w:after="0" w:line="252" w:lineRule="auto"/>
            </w:pPr>
            <w:r>
              <w:rPr>
                <w:rFonts w:ascii="Calibri" w:hAnsi="Calibri"/>
                <w:b/>
                <w:color w:val="FFFFFF"/>
                <w:sz w:val="18"/>
              </w:rPr>
              <w:t>Example outcome</w:t>
            </w:r>
          </w:p>
        </w:tc>
      </w:tr>
      <w:tr>
        <w:trPr>
          <w:cantSplit/>
        </w:trPr>
        <w:tc>
          <w:tcPr>
            <w:tcW w:type="dxa" w:w="1960"/>
            <w:tcMar>
              <w:top w:w="80" w:type="dxa"/>
              <w:start w:w="120" w:type="dxa"/>
              <w:bottom w:w="80" w:type="dxa"/>
              <w:end w:w="120" w:type="dxa"/>
            </w:tcMar>
            <w:vAlign w:val="center"/>
            <w:shd w:fill="EEF5FB"/>
          </w:tcPr>
          <w:p>
            <w:pPr>
              <w:spacing w:after="0" w:line="252" w:lineRule="auto"/>
            </w:pPr>
            <w:r>
              <w:rPr>
                <w:rFonts w:ascii="Calibri" w:hAnsi="Calibri"/>
                <w:color w:val="202A35"/>
                <w:sz w:val="18"/>
              </w:rPr>
              <w:t>1.5 rounds</w:t>
            </w:r>
          </w:p>
        </w:tc>
        <w:tc>
          <w:tcPr>
            <w:tcW w:type="dxa" w:w="3534"/>
            <w:tcMar>
              <w:top w:w="80" w:type="dxa"/>
              <w:start w:w="120" w:type="dxa"/>
              <w:bottom w:w="80" w:type="dxa"/>
              <w:end w:w="120" w:type="dxa"/>
            </w:tcMar>
            <w:vAlign w:val="center"/>
            <w:shd w:fill="EEF5FB"/>
          </w:tcPr>
          <w:p>
            <w:pPr>
              <w:spacing w:after="0" w:line="252" w:lineRule="auto"/>
            </w:pPr>
            <w:r>
              <w:rPr>
                <w:rFonts w:ascii="Calibri" w:hAnsi="Calibri"/>
                <w:color w:val="202A35"/>
                <w:sz w:val="18"/>
              </w:rPr>
              <w:t>450 seconds</w:t>
            </w:r>
          </w:p>
        </w:tc>
        <w:tc>
          <w:tcPr>
            <w:tcW w:type="dxa" w:w="3866"/>
            <w:tcMar>
              <w:top w:w="80" w:type="dxa"/>
              <w:start w:w="120" w:type="dxa"/>
              <w:bottom w:w="80" w:type="dxa"/>
              <w:end w:w="120" w:type="dxa"/>
            </w:tcMar>
            <w:vAlign w:val="center"/>
            <w:shd w:fill="EEF5FB"/>
          </w:tcPr>
          <w:p>
            <w:pPr>
              <w:spacing w:after="0" w:line="252" w:lineRule="auto"/>
            </w:pPr>
            <w:r>
              <w:rPr>
                <w:rFonts w:ascii="Calibri" w:hAnsi="Calibri"/>
                <w:color w:val="202A35"/>
                <w:sz w:val="18"/>
              </w:rPr>
              <w:t>Finish at 2:31 of Round 2 has elapsed 451 seconds and is Over</w:t>
            </w:r>
          </w:p>
        </w:tc>
      </w:tr>
      <w:tr>
        <w:trPr>
          <w:cantSplit/>
        </w:trPr>
        <w:tc>
          <w:tcPr>
            <w:tcW w:type="dxa" w:w="1960"/>
            <w:tcMar>
              <w:top w:w="80" w:type="dxa"/>
              <w:start w:w="120" w:type="dxa"/>
              <w:bottom w:w="80" w:type="dxa"/>
              <w:end w:w="120" w:type="dxa"/>
            </w:tcMar>
            <w:vAlign w:val="center"/>
            <w:shd w:fill="FFFFFF"/>
          </w:tcPr>
          <w:p>
            <w:pPr>
              <w:spacing w:after="0" w:line="252" w:lineRule="auto"/>
            </w:pPr>
            <w:r>
              <w:rPr>
                <w:rFonts w:ascii="Calibri" w:hAnsi="Calibri"/>
                <w:color w:val="202A35"/>
                <w:sz w:val="18"/>
              </w:rPr>
              <w:t>2.5 rounds</w:t>
            </w:r>
          </w:p>
        </w:tc>
        <w:tc>
          <w:tcPr>
            <w:tcW w:type="dxa" w:w="3534"/>
            <w:tcMar>
              <w:top w:w="80" w:type="dxa"/>
              <w:start w:w="120" w:type="dxa"/>
              <w:bottom w:w="80" w:type="dxa"/>
              <w:end w:w="120" w:type="dxa"/>
            </w:tcMar>
            <w:vAlign w:val="center"/>
            <w:shd w:fill="FFFFFF"/>
          </w:tcPr>
          <w:p>
            <w:pPr>
              <w:spacing w:after="0" w:line="252" w:lineRule="auto"/>
            </w:pPr>
            <w:r>
              <w:rPr>
                <w:rFonts w:ascii="Calibri" w:hAnsi="Calibri"/>
                <w:color w:val="202A35"/>
                <w:sz w:val="18"/>
              </w:rPr>
              <w:t>750 seconds</w:t>
            </w:r>
          </w:p>
        </w:tc>
        <w:tc>
          <w:tcPr>
            <w:tcW w:type="dxa" w:w="3866"/>
            <w:tcMar>
              <w:top w:w="80" w:type="dxa"/>
              <w:start w:w="120" w:type="dxa"/>
              <w:bottom w:w="80" w:type="dxa"/>
              <w:end w:w="120" w:type="dxa"/>
            </w:tcMar>
            <w:vAlign w:val="center"/>
            <w:shd w:fill="FFFFFF"/>
          </w:tcPr>
          <w:p>
            <w:pPr>
              <w:spacing w:after="0" w:line="252" w:lineRule="auto"/>
            </w:pPr>
            <w:r>
              <w:rPr>
                <w:rFonts w:ascii="Calibri" w:hAnsi="Calibri"/>
                <w:color w:val="202A35"/>
                <w:sz w:val="18"/>
              </w:rPr>
              <w:t>Finish at 2:31 of Round 3 has elapsed 751 seconds and is Over</w:t>
            </w:r>
          </w:p>
        </w:tc>
      </w:tr>
      <w:tr>
        <w:trPr>
          <w:cantSplit/>
        </w:trPr>
        <w:tc>
          <w:tcPr>
            <w:tcW w:type="dxa" w:w="1960"/>
            <w:tcMar>
              <w:top w:w="80" w:type="dxa"/>
              <w:start w:w="120" w:type="dxa"/>
              <w:bottom w:w="80" w:type="dxa"/>
              <w:end w:w="120" w:type="dxa"/>
            </w:tcMar>
            <w:vAlign w:val="center"/>
            <w:shd w:fill="EEF5FB"/>
          </w:tcPr>
          <w:p>
            <w:pPr>
              <w:spacing w:after="0" w:line="252" w:lineRule="auto"/>
            </w:pPr>
            <w:r>
              <w:rPr>
                <w:rFonts w:ascii="Calibri" w:hAnsi="Calibri"/>
                <w:color w:val="202A35"/>
                <w:sz w:val="18"/>
              </w:rPr>
              <w:t>4.5 rounds</w:t>
            </w:r>
          </w:p>
        </w:tc>
        <w:tc>
          <w:tcPr>
            <w:tcW w:type="dxa" w:w="3534"/>
            <w:tcMar>
              <w:top w:w="80" w:type="dxa"/>
              <w:start w:w="120" w:type="dxa"/>
              <w:bottom w:w="80" w:type="dxa"/>
              <w:end w:w="120" w:type="dxa"/>
            </w:tcMar>
            <w:vAlign w:val="center"/>
            <w:shd w:fill="EEF5FB"/>
          </w:tcPr>
          <w:p>
            <w:pPr>
              <w:spacing w:after="0" w:line="252" w:lineRule="auto"/>
            </w:pPr>
            <w:r>
              <w:rPr>
                <w:rFonts w:ascii="Calibri" w:hAnsi="Calibri"/>
                <w:color w:val="202A35"/>
                <w:sz w:val="18"/>
              </w:rPr>
              <w:t>1,350 seconds</w:t>
            </w:r>
          </w:p>
        </w:tc>
        <w:tc>
          <w:tcPr>
            <w:tcW w:type="dxa" w:w="3866"/>
            <w:tcMar>
              <w:top w:w="80" w:type="dxa"/>
              <w:start w:w="120" w:type="dxa"/>
              <w:bottom w:w="80" w:type="dxa"/>
              <w:end w:w="120" w:type="dxa"/>
            </w:tcMar>
            <w:vAlign w:val="center"/>
            <w:shd w:fill="EEF5FB"/>
          </w:tcPr>
          <w:p>
            <w:pPr>
              <w:spacing w:after="0" w:line="252" w:lineRule="auto"/>
            </w:pPr>
            <w:r>
              <w:rPr>
                <w:rFonts w:ascii="Calibri" w:hAnsi="Calibri"/>
                <w:color w:val="202A35"/>
                <w:sz w:val="18"/>
              </w:rPr>
              <w:t>Finish at 2:31 of Round 5 has elapsed 1,351 seconds and is Over</w:t>
            </w:r>
          </w:p>
        </w:tc>
      </w:tr>
    </w:tbl>
    <w:p>
      <w:pPr>
        <w:spacing w:after="0"/>
      </w:pPr>
    </w:p>
    <w:p>
      <w:pPr>
        <w:shd w:fill="FCECEF"/>
        <w:spacing w:before="80" w:after="160"/>
        <w:ind w:left="173" w:right="173"/>
      </w:pPr>
      <w:r>
        <w:rPr>
          <w:rFonts w:ascii="Calibri" w:hAnsi="Calibri"/>
          <w:b/>
        </w:rPr>
        <w:t>Implementation caution:</w:t>
      </w:r>
      <w:r>
        <w:rPr>
          <w:rFonts w:ascii="Calibri" w:hAnsi="Calibri"/>
        </w:rPr>
        <w:t xml:space="preserve"> the exact equality boundary, cancellations, technical decisions, no contests, overturned results, and unusual round lengths must be verified against the rules of the market source being displayed. Encode them once in a settlement module and use the same function for labels, API grading, and tests.</w:t>
      </w:r>
    </w:p>
    <w:p>
      <w:pPr>
        <w:pStyle w:val="Heading2"/>
      </w:pPr>
      <w:r>
        <w:rPr>
          <w:rFonts w:ascii="Calibri" w:hAnsi="Calibri"/>
        </w:rPr>
        <w:t>6.2 Candidate model form</w:t>
      </w:r>
    </w:p>
    <w:p>
      <w:r>
        <w:rPr>
          <w:rFonts w:ascii="Calibri" w:hAnsi="Calibri"/>
        </w:rPr>
        <w:t>Preferred first comparison:</w:t>
      </w:r>
    </w:p>
    <w:p>
      <w:pPr>
        <w:pStyle w:val="ListBullet"/>
      </w:pPr>
      <w:r>
        <w:rPr>
          <w:rFonts w:ascii="Calibri" w:hAnsi="Calibri"/>
        </w:rPr>
        <w:t>Baseline A: calibrated logistic model per supported threshold or with line as an explicit input.</w:t>
      </w:r>
    </w:p>
    <w:p>
      <w:pPr>
        <w:pStyle w:val="ListBullet"/>
      </w:pPr>
      <w:r>
        <w:rPr>
          <w:rFonts w:ascii="Calibri" w:hAnsi="Calibri"/>
        </w:rPr>
        <w:t xml:space="preserve">Candidate B: discrete-time hazard model with intervals within rounds, from which </w:t>
      </w:r>
      <w:r>
        <w:rPr>
          <w:rFonts w:ascii="Consolas" w:hAnsi="Consolas"/>
          <w:color w:val="2E74B5"/>
          <w:sz w:val="19"/>
        </w:rPr>
        <w:t>P(T &gt; L)</w:t>
      </w:r>
      <w:r>
        <w:rPr>
          <w:rFonts w:ascii="Calibri" w:hAnsi="Calibri"/>
        </w:rPr>
        <w:t xml:space="preserve"> is read directly.</w:t>
      </w:r>
    </w:p>
    <w:p>
      <w:r>
        <w:rPr>
          <w:rFonts w:ascii="Calibri" w:hAnsi="Calibri"/>
        </w:rPr>
        <w:t>The survival form is attractive because one model can produce coherent probabilities across 1.5, 2.5, and 4.5 lines and can expose the full duration curve. It is not automatically superior. Promote it only if calibration and stability beat the simpler baseline under identical folds.</w:t>
      </w:r>
    </w:p>
    <w:p>
      <w:r>
        <w:rPr>
          <w:rFonts w:ascii="Calibri" w:hAnsi="Calibri"/>
        </w:rPr>
        <w:t>Avoid training only a “goes to decision” classifier. That target collapses all late finishes into the Under side for every line and cannot support arbitrary thresholds.</w:t>
      </w:r>
    </w:p>
    <w:p>
      <w:pPr>
        <w:pStyle w:val="Heading2"/>
      </w:pPr>
      <w:r>
        <w:rPr>
          <w:rFonts w:ascii="Calibri" w:hAnsi="Calibri"/>
        </w:rPr>
        <w:t>6.3 Feature policy</w:t>
      </w:r>
    </w:p>
    <w:p>
      <w:r>
        <w:rPr>
          <w:rFonts w:ascii="Calibri" w:hAnsi="Calibri"/>
        </w:rPr>
        <w:t>Candidate features must be known before the fight and calculated from prior bouts only:</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619"/>
            <w:tcMar>
              <w:top w:w="80" w:type="dxa"/>
              <w:start w:w="120" w:type="dxa"/>
              <w:bottom w:w="80" w:type="dxa"/>
              <w:end w:w="120" w:type="dxa"/>
            </w:tcMar>
            <w:vAlign w:val="center"/>
            <w:shd w:fill="12233F"/>
          </w:tcPr>
          <w:p>
            <w:pPr>
              <w:spacing w:after="0" w:line="252" w:lineRule="auto"/>
            </w:pPr>
            <w:r>
              <w:rPr>
                <w:rFonts w:ascii="Calibri" w:hAnsi="Calibri"/>
                <w:b/>
                <w:color w:val="FFFFFF"/>
                <w:sz w:val="18"/>
              </w:rPr>
              <w:t>Feature family</w:t>
            </w:r>
          </w:p>
        </w:tc>
        <w:tc>
          <w:tcPr>
            <w:tcW w:type="dxa" w:w="3370"/>
            <w:tcMar>
              <w:top w:w="80" w:type="dxa"/>
              <w:start w:w="120" w:type="dxa"/>
              <w:bottom w:w="80" w:type="dxa"/>
              <w:end w:w="120" w:type="dxa"/>
            </w:tcMar>
            <w:vAlign w:val="center"/>
            <w:shd w:fill="12233F"/>
          </w:tcPr>
          <w:p>
            <w:pPr>
              <w:spacing w:after="0" w:line="252" w:lineRule="auto"/>
            </w:pPr>
            <w:r>
              <w:rPr>
                <w:rFonts w:ascii="Calibri" w:hAnsi="Calibri"/>
                <w:b/>
                <w:color w:val="FFFFFF"/>
                <w:sz w:val="18"/>
              </w:rPr>
              <w:t>Examples</w:t>
            </w:r>
          </w:p>
        </w:tc>
        <w:tc>
          <w:tcPr>
            <w:tcW w:type="dxa" w:w="3371"/>
            <w:tcMar>
              <w:top w:w="80" w:type="dxa"/>
              <w:start w:w="120" w:type="dxa"/>
              <w:bottom w:w="80" w:type="dxa"/>
              <w:end w:w="120" w:type="dxa"/>
            </w:tcMar>
            <w:vAlign w:val="center"/>
            <w:shd w:fill="12233F"/>
          </w:tcPr>
          <w:p>
            <w:pPr>
              <w:spacing w:after="0" w:line="252" w:lineRule="auto"/>
            </w:pPr>
            <w:r>
              <w:rPr>
                <w:rFonts w:ascii="Calibri" w:hAnsi="Calibri"/>
                <w:b/>
                <w:color w:val="FFFFFF"/>
                <w:sz w:val="18"/>
              </w:rPr>
              <w:t>Primary safeguard</w:t>
            </w:r>
          </w:p>
        </w:tc>
      </w:tr>
      <w:tr>
        <w:trPr>
          <w:cantSplit/>
        </w:trPr>
        <w:tc>
          <w:tcPr>
            <w:tcW w:type="dxa" w:w="2619"/>
            <w:tcMar>
              <w:top w:w="80" w:type="dxa"/>
              <w:start w:w="120" w:type="dxa"/>
              <w:bottom w:w="80" w:type="dxa"/>
              <w:end w:w="120" w:type="dxa"/>
            </w:tcMar>
            <w:vAlign w:val="center"/>
            <w:shd w:fill="EEF5FB"/>
          </w:tcPr>
          <w:p>
            <w:pPr>
              <w:spacing w:after="0" w:line="252" w:lineRule="auto"/>
            </w:pPr>
            <w:r>
              <w:rPr>
                <w:rFonts w:ascii="Calibri" w:hAnsi="Calibri"/>
                <w:color w:val="202A35"/>
                <w:sz w:val="18"/>
              </w:rPr>
              <w:t>Fight context</w:t>
            </w:r>
          </w:p>
        </w:tc>
        <w:tc>
          <w:tcPr>
            <w:tcW w:type="dxa" w:w="3370"/>
            <w:tcMar>
              <w:top w:w="80" w:type="dxa"/>
              <w:start w:w="120" w:type="dxa"/>
              <w:bottom w:w="80" w:type="dxa"/>
              <w:end w:w="120" w:type="dxa"/>
            </w:tcMar>
            <w:vAlign w:val="center"/>
            <w:shd w:fill="EEF5FB"/>
          </w:tcPr>
          <w:p>
            <w:pPr>
              <w:spacing w:after="0" w:line="252" w:lineRule="auto"/>
            </w:pPr>
            <w:r>
              <w:rPr>
                <w:rFonts w:ascii="Calibri" w:hAnsi="Calibri"/>
                <w:color w:val="202A35"/>
                <w:sz w:val="18"/>
              </w:rPr>
              <w:t>Scheduled rounds, weight class, title/main-event indicators if reliably encoded</w:t>
            </w:r>
          </w:p>
        </w:tc>
        <w:tc>
          <w:tcPr>
            <w:tcW w:type="dxa" w:w="3371"/>
            <w:tcMar>
              <w:top w:w="80" w:type="dxa"/>
              <w:start w:w="120" w:type="dxa"/>
              <w:bottom w:w="80" w:type="dxa"/>
              <w:end w:w="120" w:type="dxa"/>
            </w:tcMar>
            <w:vAlign w:val="center"/>
            <w:shd w:fill="EEF5FB"/>
          </w:tcPr>
          <w:p>
            <w:pPr>
              <w:spacing w:after="0" w:line="252" w:lineRule="auto"/>
            </w:pPr>
            <w:r>
              <w:rPr>
                <w:rFonts w:ascii="Calibri" w:hAnsi="Calibri"/>
                <w:color w:val="202A35"/>
                <w:sz w:val="18"/>
              </w:rPr>
              <w:t>Schema and value-domain tests</w:t>
            </w:r>
          </w:p>
        </w:tc>
      </w:tr>
      <w:tr>
        <w:trPr>
          <w:cantSplit/>
        </w:trPr>
        <w:tc>
          <w:tcPr>
            <w:tcW w:type="dxa" w:w="2619"/>
            <w:tcMar>
              <w:top w:w="80" w:type="dxa"/>
              <w:start w:w="120" w:type="dxa"/>
              <w:bottom w:w="80" w:type="dxa"/>
              <w:end w:w="120" w:type="dxa"/>
            </w:tcMar>
            <w:vAlign w:val="center"/>
            <w:shd w:fill="FFFFFF"/>
          </w:tcPr>
          <w:p>
            <w:pPr>
              <w:spacing w:after="0" w:line="252" w:lineRule="auto"/>
            </w:pPr>
            <w:r>
              <w:rPr>
                <w:rFonts w:ascii="Calibri" w:hAnsi="Calibri"/>
                <w:color w:val="202A35"/>
                <w:sz w:val="18"/>
              </w:rPr>
              <w:t>Activity and experience</w:t>
            </w:r>
          </w:p>
        </w:tc>
        <w:tc>
          <w:tcPr>
            <w:tcW w:type="dxa" w:w="3370"/>
            <w:tcMar>
              <w:top w:w="80" w:type="dxa"/>
              <w:start w:w="120" w:type="dxa"/>
              <w:bottom w:w="80" w:type="dxa"/>
              <w:end w:w="120" w:type="dxa"/>
            </w:tcMar>
            <w:vAlign w:val="center"/>
            <w:shd w:fill="FFFFFF"/>
          </w:tcPr>
          <w:p>
            <w:pPr>
              <w:spacing w:after="0" w:line="252" w:lineRule="auto"/>
            </w:pPr>
            <w:r>
              <w:rPr>
                <w:rFonts w:ascii="Calibri" w:hAnsi="Calibri"/>
                <w:color w:val="202A35"/>
                <w:sz w:val="18"/>
              </w:rPr>
              <w:t>Prior UFC bouts, days since last fight, recent bout count</w:t>
            </w:r>
          </w:p>
        </w:tc>
        <w:tc>
          <w:tcPr>
            <w:tcW w:type="dxa" w:w="3371"/>
            <w:tcMar>
              <w:top w:w="80" w:type="dxa"/>
              <w:start w:w="120" w:type="dxa"/>
              <w:bottom w:w="80" w:type="dxa"/>
              <w:end w:w="120" w:type="dxa"/>
            </w:tcMar>
            <w:vAlign w:val="center"/>
            <w:shd w:fill="FFFFFF"/>
          </w:tcPr>
          <w:p>
            <w:pPr>
              <w:spacing w:after="0" w:line="252" w:lineRule="auto"/>
            </w:pPr>
            <w:r>
              <w:rPr>
                <w:rFonts w:ascii="Calibri" w:hAnsi="Calibri"/>
                <w:color w:val="202A35"/>
                <w:sz w:val="18"/>
              </w:rPr>
              <w:t>Event-date cutoff tests</w:t>
            </w:r>
          </w:p>
        </w:tc>
      </w:tr>
      <w:tr>
        <w:trPr>
          <w:cantSplit/>
        </w:trPr>
        <w:tc>
          <w:tcPr>
            <w:tcW w:type="dxa" w:w="2619"/>
            <w:tcMar>
              <w:top w:w="80" w:type="dxa"/>
              <w:start w:w="120" w:type="dxa"/>
              <w:bottom w:w="80" w:type="dxa"/>
              <w:end w:w="120" w:type="dxa"/>
            </w:tcMar>
            <w:vAlign w:val="center"/>
            <w:shd w:fill="EEF5FB"/>
          </w:tcPr>
          <w:p>
            <w:pPr>
              <w:spacing w:after="0" w:line="252" w:lineRule="auto"/>
            </w:pPr>
            <w:r>
              <w:rPr>
                <w:rFonts w:ascii="Calibri" w:hAnsi="Calibri"/>
                <w:color w:val="202A35"/>
                <w:sz w:val="18"/>
              </w:rPr>
              <w:t>Prior duration</w:t>
            </w:r>
          </w:p>
        </w:tc>
        <w:tc>
          <w:tcPr>
            <w:tcW w:type="dxa" w:w="3370"/>
            <w:tcMar>
              <w:top w:w="80" w:type="dxa"/>
              <w:start w:w="120" w:type="dxa"/>
              <w:bottom w:w="80" w:type="dxa"/>
              <w:end w:w="120" w:type="dxa"/>
            </w:tcMar>
            <w:vAlign w:val="center"/>
            <w:shd w:fill="EEF5FB"/>
          </w:tcPr>
          <w:p>
            <w:pPr>
              <w:spacing w:after="0" w:line="252" w:lineRule="auto"/>
            </w:pPr>
            <w:r>
              <w:rPr>
                <w:rFonts w:ascii="Calibri" w:hAnsi="Calibri"/>
                <w:color w:val="202A35"/>
                <w:sz w:val="18"/>
              </w:rPr>
              <w:t>Mean/median elapsed time, decision rate, early/late finish rates</w:t>
            </w:r>
          </w:p>
        </w:tc>
        <w:tc>
          <w:tcPr>
            <w:tcW w:type="dxa" w:w="3371"/>
            <w:tcMar>
              <w:top w:w="80" w:type="dxa"/>
              <w:start w:w="120" w:type="dxa"/>
              <w:bottom w:w="80" w:type="dxa"/>
              <w:end w:w="120" w:type="dxa"/>
            </w:tcMar>
            <w:vAlign w:val="center"/>
            <w:shd w:fill="EEF5FB"/>
          </w:tcPr>
          <w:p>
            <w:pPr>
              <w:spacing w:after="0" w:line="252" w:lineRule="auto"/>
            </w:pPr>
            <w:r>
              <w:rPr>
                <w:rFonts w:ascii="Calibri" w:hAnsi="Calibri"/>
                <w:color w:val="202A35"/>
                <w:sz w:val="18"/>
              </w:rPr>
              <w:t>Minimum-sample shrinkage; no current-fight result</w:t>
            </w:r>
          </w:p>
        </w:tc>
      </w:tr>
      <w:tr>
        <w:trPr>
          <w:cantSplit/>
        </w:trPr>
        <w:tc>
          <w:tcPr>
            <w:tcW w:type="dxa" w:w="2619"/>
            <w:tcMar>
              <w:top w:w="80" w:type="dxa"/>
              <w:start w:w="120" w:type="dxa"/>
              <w:bottom w:w="80" w:type="dxa"/>
              <w:end w:w="120" w:type="dxa"/>
            </w:tcMar>
            <w:vAlign w:val="center"/>
            <w:shd w:fill="FFFFFF"/>
          </w:tcPr>
          <w:p>
            <w:pPr>
              <w:spacing w:after="0" w:line="252" w:lineRule="auto"/>
            </w:pPr>
            <w:r>
              <w:rPr>
                <w:rFonts w:ascii="Calibri" w:hAnsi="Calibri"/>
                <w:color w:val="202A35"/>
                <w:sz w:val="18"/>
              </w:rPr>
              <w:t>Pace and output</w:t>
            </w:r>
          </w:p>
        </w:tc>
        <w:tc>
          <w:tcPr>
            <w:tcW w:type="dxa" w:w="3370"/>
            <w:tcMar>
              <w:top w:w="80" w:type="dxa"/>
              <w:start w:w="120" w:type="dxa"/>
              <w:bottom w:w="80" w:type="dxa"/>
              <w:end w:w="120" w:type="dxa"/>
            </w:tcMar>
            <w:vAlign w:val="center"/>
            <w:shd w:fill="FFFFFF"/>
          </w:tcPr>
          <w:p>
            <w:pPr>
              <w:spacing w:after="0" w:line="252" w:lineRule="auto"/>
            </w:pPr>
            <w:r>
              <w:rPr>
                <w:rFonts w:ascii="Calibri" w:hAnsi="Calibri"/>
                <w:color w:val="202A35"/>
                <w:sz w:val="18"/>
              </w:rPr>
              <w:t>Prior attempts/landed per minute, position-specific activity</w:t>
            </w:r>
          </w:p>
        </w:tc>
        <w:tc>
          <w:tcPr>
            <w:tcW w:type="dxa" w:w="3371"/>
            <w:tcMar>
              <w:top w:w="80" w:type="dxa"/>
              <w:start w:w="120" w:type="dxa"/>
              <w:bottom w:w="80" w:type="dxa"/>
              <w:end w:w="120" w:type="dxa"/>
            </w:tcMar>
            <w:vAlign w:val="center"/>
            <w:shd w:fill="FFFFFF"/>
          </w:tcPr>
          <w:p>
            <w:pPr>
              <w:spacing w:after="0" w:line="252" w:lineRule="auto"/>
            </w:pPr>
            <w:r>
              <w:rPr>
                <w:rFonts w:ascii="Calibri" w:hAnsi="Calibri"/>
                <w:color w:val="202A35"/>
                <w:sz w:val="18"/>
              </w:rPr>
              <w:t>Denominator and zero-time tests</w:t>
            </w:r>
          </w:p>
        </w:tc>
      </w:tr>
      <w:tr>
        <w:trPr>
          <w:cantSplit/>
        </w:trPr>
        <w:tc>
          <w:tcPr>
            <w:tcW w:type="dxa" w:w="2619"/>
            <w:tcMar>
              <w:top w:w="80" w:type="dxa"/>
              <w:start w:w="120" w:type="dxa"/>
              <w:bottom w:w="80" w:type="dxa"/>
              <w:end w:w="120" w:type="dxa"/>
            </w:tcMar>
            <w:vAlign w:val="center"/>
            <w:shd w:fill="EEF5FB"/>
          </w:tcPr>
          <w:p>
            <w:pPr>
              <w:spacing w:after="0" w:line="252" w:lineRule="auto"/>
            </w:pPr>
            <w:r>
              <w:rPr>
                <w:rFonts w:ascii="Calibri" w:hAnsi="Calibri"/>
                <w:color w:val="202A35"/>
                <w:sz w:val="18"/>
              </w:rPr>
              <w:t>Durability</w:t>
            </w:r>
          </w:p>
        </w:tc>
        <w:tc>
          <w:tcPr>
            <w:tcW w:type="dxa" w:w="3370"/>
            <w:tcMar>
              <w:top w:w="80" w:type="dxa"/>
              <w:start w:w="120" w:type="dxa"/>
              <w:bottom w:w="80" w:type="dxa"/>
              <w:end w:w="120" w:type="dxa"/>
            </w:tcMar>
            <w:vAlign w:val="center"/>
            <w:shd w:fill="EEF5FB"/>
          </w:tcPr>
          <w:p>
            <w:pPr>
              <w:spacing w:after="0" w:line="252" w:lineRule="auto"/>
            </w:pPr>
            <w:r>
              <w:rPr>
                <w:rFonts w:ascii="Calibri" w:hAnsi="Calibri"/>
                <w:color w:val="202A35"/>
                <w:sz w:val="18"/>
              </w:rPr>
              <w:t>Prior knockdowns absorbed, stoppage history, damage-rate proxies</w:t>
            </w:r>
          </w:p>
        </w:tc>
        <w:tc>
          <w:tcPr>
            <w:tcW w:type="dxa" w:w="3371"/>
            <w:tcMar>
              <w:top w:w="80" w:type="dxa"/>
              <w:start w:w="120" w:type="dxa"/>
              <w:bottom w:w="80" w:type="dxa"/>
              <w:end w:w="120" w:type="dxa"/>
            </w:tcMar>
            <w:vAlign w:val="center"/>
            <w:shd w:fill="EEF5FB"/>
          </w:tcPr>
          <w:p>
            <w:pPr>
              <w:spacing w:after="0" w:line="252" w:lineRule="auto"/>
            </w:pPr>
            <w:r>
              <w:rPr>
                <w:rFonts w:ascii="Calibri" w:hAnsi="Calibri"/>
                <w:color w:val="202A35"/>
                <w:sz w:val="18"/>
              </w:rPr>
              <w:t>Missingness and sparse-sample flags</w:t>
            </w:r>
          </w:p>
        </w:tc>
      </w:tr>
      <w:tr>
        <w:trPr>
          <w:cantSplit/>
        </w:trPr>
        <w:tc>
          <w:tcPr>
            <w:tcW w:type="dxa" w:w="2619"/>
            <w:tcMar>
              <w:top w:w="80" w:type="dxa"/>
              <w:start w:w="120" w:type="dxa"/>
              <w:bottom w:w="80" w:type="dxa"/>
              <w:end w:w="120" w:type="dxa"/>
            </w:tcMar>
            <w:vAlign w:val="center"/>
            <w:shd w:fill="FFFFFF"/>
          </w:tcPr>
          <w:p>
            <w:pPr>
              <w:spacing w:after="0" w:line="252" w:lineRule="auto"/>
            </w:pPr>
            <w:r>
              <w:rPr>
                <w:rFonts w:ascii="Calibri" w:hAnsi="Calibri"/>
                <w:color w:val="202A35"/>
                <w:sz w:val="18"/>
              </w:rPr>
              <w:t>Control/grappling</w:t>
            </w:r>
          </w:p>
        </w:tc>
        <w:tc>
          <w:tcPr>
            <w:tcW w:type="dxa" w:w="3370"/>
            <w:tcMar>
              <w:top w:w="80" w:type="dxa"/>
              <w:start w:w="120" w:type="dxa"/>
              <w:bottom w:w="80" w:type="dxa"/>
              <w:end w:w="120" w:type="dxa"/>
            </w:tcMar>
            <w:vAlign w:val="center"/>
            <w:shd w:fill="FFFFFF"/>
          </w:tcPr>
          <w:p>
            <w:pPr>
              <w:spacing w:after="0" w:line="252" w:lineRule="auto"/>
            </w:pPr>
            <w:r>
              <w:rPr>
                <w:rFonts w:ascii="Calibri" w:hAnsi="Calibri"/>
                <w:color w:val="202A35"/>
                <w:sz w:val="18"/>
              </w:rPr>
              <w:t>Prior control share, takedown/submission attempts</w:t>
            </w:r>
          </w:p>
        </w:tc>
        <w:tc>
          <w:tcPr>
            <w:tcW w:type="dxa" w:w="3371"/>
            <w:tcMar>
              <w:top w:w="80" w:type="dxa"/>
              <w:start w:w="120" w:type="dxa"/>
              <w:bottom w:w="80" w:type="dxa"/>
              <w:end w:w="120" w:type="dxa"/>
            </w:tcMar>
            <w:vAlign w:val="center"/>
            <w:shd w:fill="FFFFFF"/>
          </w:tcPr>
          <w:p>
            <w:pPr>
              <w:spacing w:after="0" w:line="252" w:lineRule="auto"/>
            </w:pPr>
            <w:r>
              <w:rPr>
                <w:rFonts w:ascii="Calibri" w:hAnsi="Calibri"/>
                <w:color w:val="202A35"/>
                <w:sz w:val="18"/>
              </w:rPr>
              <w:t>Round aggregation verified against source schema</w:t>
            </w:r>
          </w:p>
        </w:tc>
      </w:tr>
      <w:tr>
        <w:trPr>
          <w:cantSplit/>
        </w:trPr>
        <w:tc>
          <w:tcPr>
            <w:tcW w:type="dxa" w:w="2619"/>
            <w:tcMar>
              <w:top w:w="80" w:type="dxa"/>
              <w:start w:w="120" w:type="dxa"/>
              <w:bottom w:w="80" w:type="dxa"/>
              <w:end w:w="120" w:type="dxa"/>
            </w:tcMar>
            <w:vAlign w:val="center"/>
            <w:shd w:fill="EEF5FB"/>
          </w:tcPr>
          <w:p>
            <w:pPr>
              <w:spacing w:after="0" w:line="252" w:lineRule="auto"/>
            </w:pPr>
            <w:r>
              <w:rPr>
                <w:rFonts w:ascii="Calibri" w:hAnsi="Calibri"/>
                <w:color w:val="202A35"/>
                <w:sz w:val="18"/>
              </w:rPr>
              <w:t>Matchup differences</w:t>
            </w:r>
          </w:p>
        </w:tc>
        <w:tc>
          <w:tcPr>
            <w:tcW w:type="dxa" w:w="3370"/>
            <w:tcMar>
              <w:top w:w="80" w:type="dxa"/>
              <w:start w:w="120" w:type="dxa"/>
              <w:bottom w:w="80" w:type="dxa"/>
              <w:end w:w="120" w:type="dxa"/>
            </w:tcMar>
            <w:vAlign w:val="center"/>
            <w:shd w:fill="EEF5FB"/>
          </w:tcPr>
          <w:p>
            <w:pPr>
              <w:spacing w:after="0" w:line="252" w:lineRule="auto"/>
            </w:pPr>
            <w:r>
              <w:rPr>
                <w:rFonts w:ascii="Calibri" w:hAnsi="Calibri"/>
                <w:color w:val="202A35"/>
                <w:sz w:val="18"/>
              </w:rPr>
              <w:t>Symmetric fighter A/B differences and sums</w:t>
            </w:r>
          </w:p>
        </w:tc>
        <w:tc>
          <w:tcPr>
            <w:tcW w:type="dxa" w:w="3371"/>
            <w:tcMar>
              <w:top w:w="80" w:type="dxa"/>
              <w:start w:w="120" w:type="dxa"/>
              <w:bottom w:w="80" w:type="dxa"/>
              <w:end w:w="120" w:type="dxa"/>
            </w:tcMar>
            <w:vAlign w:val="center"/>
            <w:shd w:fill="EEF5FB"/>
          </w:tcPr>
          <w:p>
            <w:pPr>
              <w:spacing w:after="0" w:line="252" w:lineRule="auto"/>
            </w:pPr>
            <w:r>
              <w:rPr>
                <w:rFonts w:ascii="Calibri" w:hAnsi="Calibri"/>
                <w:color w:val="202A35"/>
                <w:sz w:val="18"/>
              </w:rPr>
              <w:t>Red/blue swap invariance test</w:t>
            </w:r>
          </w:p>
        </w:tc>
      </w:tr>
      <w:tr>
        <w:trPr>
          <w:cantSplit/>
        </w:trPr>
        <w:tc>
          <w:tcPr>
            <w:tcW w:type="dxa" w:w="2619"/>
            <w:tcMar>
              <w:top w:w="80" w:type="dxa"/>
              <w:start w:w="120" w:type="dxa"/>
              <w:bottom w:w="80" w:type="dxa"/>
              <w:end w:w="120" w:type="dxa"/>
            </w:tcMar>
            <w:vAlign w:val="center"/>
            <w:shd w:fill="FFFFFF"/>
          </w:tcPr>
          <w:p>
            <w:pPr>
              <w:spacing w:after="0" w:line="252" w:lineRule="auto"/>
            </w:pPr>
            <w:r>
              <w:rPr>
                <w:rFonts w:ascii="Calibri" w:hAnsi="Calibri"/>
                <w:color w:val="202A35"/>
                <w:sz w:val="18"/>
              </w:rPr>
              <w:t>Market line</w:t>
            </w:r>
          </w:p>
        </w:tc>
        <w:tc>
          <w:tcPr>
            <w:tcW w:type="dxa" w:w="3370"/>
            <w:tcMar>
              <w:top w:w="80" w:type="dxa"/>
              <w:start w:w="120" w:type="dxa"/>
              <w:bottom w:w="80" w:type="dxa"/>
              <w:end w:w="120" w:type="dxa"/>
            </w:tcMar>
            <w:vAlign w:val="center"/>
            <w:shd w:fill="FFFFFF"/>
          </w:tcPr>
          <w:p>
            <w:pPr>
              <w:spacing w:after="0" w:line="252" w:lineRule="auto"/>
            </w:pPr>
            <w:r>
              <w:rPr>
                <w:rFonts w:ascii="Calibri" w:hAnsi="Calibri"/>
                <w:color w:val="202A35"/>
                <w:sz w:val="18"/>
              </w:rPr>
              <w:t>Threshold seconds or round fraction</w:t>
            </w:r>
          </w:p>
        </w:tc>
        <w:tc>
          <w:tcPr>
            <w:tcW w:type="dxa" w:w="3371"/>
            <w:tcMar>
              <w:top w:w="80" w:type="dxa"/>
              <w:start w:w="120" w:type="dxa"/>
              <w:bottom w:w="80" w:type="dxa"/>
              <w:end w:w="120" w:type="dxa"/>
            </w:tcMar>
            <w:vAlign w:val="center"/>
            <w:shd w:fill="FFFFFF"/>
          </w:tcPr>
          <w:p>
            <w:pPr>
              <w:spacing w:after="0" w:line="252" w:lineRule="auto"/>
            </w:pPr>
            <w:r>
              <w:rPr>
                <w:rFonts w:ascii="Calibri" w:hAnsi="Calibri"/>
                <w:color w:val="202A35"/>
                <w:sz w:val="18"/>
              </w:rPr>
              <w:t>Never use post-close outcome or closing price in a pre-open model</w:t>
            </w:r>
          </w:p>
        </w:tc>
      </w:tr>
    </w:tbl>
    <w:p>
      <w:pPr>
        <w:spacing w:after="0"/>
      </w:pPr>
    </w:p>
    <w:p>
      <w:r>
        <w:rPr>
          <w:rFonts w:ascii="Calibri" w:hAnsi="Calibri"/>
        </w:rPr>
        <w:t>Do not import the existing six interaction terms by default. If new style features justify new interactions, define the hypothesis before looking at the final holdout and test them as a bounded ablation.</w:t>
      </w:r>
    </w:p>
    <w:p>
      <w:pPr>
        <w:pStyle w:val="Heading2"/>
      </w:pPr>
      <w:r>
        <w:rPr>
          <w:rFonts w:ascii="Calibri" w:hAnsi="Calibri"/>
        </w:rPr>
        <w:t>6.4 Dataset contract</w:t>
      </w:r>
    </w:p>
    <w:p>
      <w:r>
        <w:rPr>
          <w:rFonts w:ascii="Calibri" w:hAnsi="Calibri"/>
        </w:rPr>
        <w:t>Proposed files/modules:</w:t>
      </w:r>
    </w:p>
    <w:p>
      <w:pPr>
        <w:pStyle w:val="ListBullet"/>
      </w:pPr>
      <w:r>
        <w:rPr>
          <w:rFonts w:ascii="Consolas" w:hAnsi="Consolas"/>
          <w:color w:val="2E74B5"/>
          <w:sz w:val="19"/>
        </w:rPr>
        <w:t>backend/app/features/duration_dataset.py</w:t>
      </w:r>
      <w:r>
        <w:rPr>
          <w:rFonts w:ascii="Calibri" w:hAnsi="Calibri"/>
        </w:rPr>
        <w:t>: unique-fight label creation and prior-only feature assembly.</w:t>
      </w:r>
    </w:p>
    <w:p>
      <w:pPr>
        <w:pStyle w:val="ListBullet"/>
      </w:pPr>
      <w:r>
        <w:rPr>
          <w:rFonts w:ascii="Consolas" w:hAnsi="Consolas"/>
          <w:color w:val="2E74B5"/>
          <w:sz w:val="19"/>
        </w:rPr>
        <w:t>backend/app/training/train_duration_model.py</w:t>
      </w:r>
      <w:r>
        <w:rPr>
          <w:rFonts w:ascii="Calibri" w:hAnsi="Calibri"/>
        </w:rPr>
        <w:t>: chronological train/calibration/test procedure.</w:t>
      </w:r>
    </w:p>
    <w:p>
      <w:pPr>
        <w:pStyle w:val="ListBullet"/>
      </w:pPr>
      <w:r>
        <w:rPr>
          <w:rFonts w:ascii="Consolas" w:hAnsi="Consolas"/>
          <w:color w:val="2E74B5"/>
          <w:sz w:val="19"/>
        </w:rPr>
        <w:t>backend/app/training/evaluate_duration_model.py</w:t>
      </w:r>
      <w:r>
        <w:rPr>
          <w:rFonts w:ascii="Calibri" w:hAnsi="Calibri"/>
        </w:rPr>
        <w:t>: line and subgroup metrics plus reliability artifacts.</w:t>
      </w:r>
    </w:p>
    <w:p>
      <w:pPr>
        <w:pStyle w:val="ListBullet"/>
      </w:pPr>
      <w:r>
        <w:rPr>
          <w:rFonts w:ascii="Consolas" w:hAnsi="Consolas"/>
          <w:color w:val="2E74B5"/>
          <w:sz w:val="19"/>
        </w:rPr>
        <w:t>backend/app/models/duration_model.py</w:t>
      </w:r>
      <w:r>
        <w:rPr>
          <w:rFonts w:ascii="Calibri" w:hAnsi="Calibri"/>
        </w:rPr>
        <w:t>: artifact loader and compatibility checks.</w:t>
      </w:r>
    </w:p>
    <w:p>
      <w:pPr>
        <w:pStyle w:val="ListBullet"/>
      </w:pPr>
      <w:r>
        <w:rPr>
          <w:rFonts w:ascii="Consolas" w:hAnsi="Consolas"/>
          <w:color w:val="2E74B5"/>
          <w:sz w:val="19"/>
        </w:rPr>
        <w:t>backend/app/services/duration_service.py</w:t>
      </w:r>
      <w:r>
        <w:rPr>
          <w:rFonts w:ascii="Calibri" w:hAnsi="Calibri"/>
        </w:rPr>
        <w:t>: line-specific inference and reason-coded unavailable states.</w:t>
      </w:r>
    </w:p>
    <w:p>
      <w:pPr>
        <w:pStyle w:val="ListBullet"/>
      </w:pPr>
      <w:r>
        <w:rPr>
          <w:rFonts w:ascii="Consolas" w:hAnsi="Consolas"/>
          <w:color w:val="2E74B5"/>
          <w:sz w:val="19"/>
        </w:rPr>
        <w:t>backend/app/services/totals_settlement.py</w:t>
      </w:r>
      <w:r>
        <w:rPr>
          <w:rFonts w:ascii="Calibri" w:hAnsi="Calibri"/>
        </w:rPr>
        <w:t>: one tested source of truth for threshold conversion and grading.</w:t>
      </w:r>
    </w:p>
    <w:p>
      <w:r>
        <w:rPr>
          <w:rFonts w:ascii="Calibri" w:hAnsi="Calibri"/>
        </w:rPr>
        <w:t>The exact module names are proposed. Reuse existing generic helpers where doing so does not blur winner, method, and duration contracts.</w:t>
      </w:r>
    </w:p>
    <w:p>
      <w:r>
        <w:rPr>
          <w:rFonts w:ascii="Calibri" w:hAnsi="Calibri"/>
        </w:rPr>
        <w:t>One row should represent one fight/line evaluation unit. If multiple lines per historical fight are synthesized for training, group every derived row from the fight into the same fold and report performance separately by actual-versus-synthetic line availability.</w:t>
      </w:r>
    </w:p>
    <w:p>
      <w:pPr>
        <w:pStyle w:val="Heading2"/>
      </w:pPr>
      <w:r>
        <w:rPr>
          <w:rFonts w:ascii="Calibri" w:hAnsi="Calibri"/>
        </w:rPr>
        <w:t>6.5 Artifact contract</w:t>
      </w:r>
    </w:p>
    <w:p>
      <w:r>
        <w:rPr>
          <w:rFonts w:ascii="Calibri" w:hAnsi="Calibri"/>
        </w:rPr>
        <w:t>Proposed artifact family:</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4680"/>
            <w:tcMar>
              <w:top w:w="80" w:type="dxa"/>
              <w:start w:w="120" w:type="dxa"/>
              <w:bottom w:w="80" w:type="dxa"/>
              <w:end w:w="120" w:type="dxa"/>
            </w:tcMar>
            <w:vAlign w:val="center"/>
            <w:shd w:fill="12233F"/>
          </w:tcPr>
          <w:p>
            <w:pPr>
              <w:spacing w:after="0" w:line="252" w:lineRule="auto"/>
            </w:pPr>
            <w:r>
              <w:rPr>
                <w:rFonts w:ascii="Calibri" w:hAnsi="Calibri"/>
                <w:b/>
                <w:color w:val="FFFFFF"/>
                <w:sz w:val="18"/>
              </w:rPr>
              <w:t>Artifact</w:t>
            </w:r>
          </w:p>
        </w:tc>
        <w:tc>
          <w:tcPr>
            <w:tcW w:type="dxa" w:w="4680"/>
            <w:tcMar>
              <w:top w:w="80" w:type="dxa"/>
              <w:start w:w="120" w:type="dxa"/>
              <w:bottom w:w="80" w:type="dxa"/>
              <w:end w:w="120" w:type="dxa"/>
            </w:tcMar>
            <w:vAlign w:val="center"/>
            <w:shd w:fill="12233F"/>
          </w:tcPr>
          <w:p>
            <w:pPr>
              <w:spacing w:after="0" w:line="252" w:lineRule="auto"/>
            </w:pPr>
            <w:r>
              <w:rPr>
                <w:rFonts w:ascii="Calibri" w:hAnsi="Calibri"/>
                <w:b/>
                <w:color w:val="FFFFFF"/>
                <w:sz w:val="18"/>
              </w:rPr>
              <w:t>Required contents</w:t>
            </w:r>
          </w:p>
        </w:tc>
      </w:tr>
      <w:tr>
        <w:trPr>
          <w:cantSplit/>
        </w:trPr>
        <w:tc>
          <w:tcPr>
            <w:tcW w:type="dxa" w:w="4680"/>
            <w:tcMar>
              <w:top w:w="80" w:type="dxa"/>
              <w:start w:w="120" w:type="dxa"/>
              <w:bottom w:w="80" w:type="dxa"/>
              <w:end w:w="120" w:type="dxa"/>
            </w:tcMar>
            <w:vAlign w:val="center"/>
            <w:shd w:fill="EEF5FB"/>
          </w:tcPr>
          <w:p>
            <w:pPr>
              <w:spacing w:after="0" w:line="252" w:lineRule="auto"/>
            </w:pPr>
            <w:r>
              <w:rPr>
                <w:rFonts w:ascii="Consolas" w:hAnsi="Consolas"/>
                <w:color w:val="202A35"/>
                <w:sz w:val="18"/>
              </w:rPr>
              <w:t>duration_model.joblib</w:t>
            </w:r>
          </w:p>
        </w:tc>
        <w:tc>
          <w:tcPr>
            <w:tcW w:type="dxa" w:w="4680"/>
            <w:tcMar>
              <w:top w:w="80" w:type="dxa"/>
              <w:start w:w="120" w:type="dxa"/>
              <w:bottom w:w="80" w:type="dxa"/>
              <w:end w:w="120" w:type="dxa"/>
            </w:tcMar>
            <w:vAlign w:val="center"/>
            <w:shd w:fill="EEF5FB"/>
          </w:tcPr>
          <w:p>
            <w:pPr>
              <w:spacing w:after="0" w:line="252" w:lineRule="auto"/>
            </w:pPr>
            <w:r>
              <w:rPr>
                <w:rFonts w:ascii="Calibri" w:hAnsi="Calibri"/>
                <w:color w:val="202A35"/>
                <w:sz w:val="18"/>
              </w:rPr>
              <w:t>Fitted calibrated pipeline or survival estimator</w:t>
            </w:r>
          </w:p>
        </w:tc>
      </w:tr>
      <w:tr>
        <w:trPr>
          <w:cantSplit/>
        </w:trPr>
        <w:tc>
          <w:tcPr>
            <w:tcW w:type="dxa" w:w="4680"/>
            <w:tcMar>
              <w:top w:w="80" w:type="dxa"/>
              <w:start w:w="120" w:type="dxa"/>
              <w:bottom w:w="80" w:type="dxa"/>
              <w:end w:w="120" w:type="dxa"/>
            </w:tcMar>
            <w:vAlign w:val="center"/>
            <w:shd w:fill="FFFFFF"/>
          </w:tcPr>
          <w:p>
            <w:pPr>
              <w:spacing w:after="0" w:line="252" w:lineRule="auto"/>
            </w:pPr>
            <w:r>
              <w:rPr>
                <w:rFonts w:ascii="Consolas" w:hAnsi="Consolas"/>
                <w:color w:val="202A35"/>
                <w:sz w:val="18"/>
              </w:rPr>
              <w:t>duration_model_features.json</w:t>
            </w:r>
          </w:p>
        </w:tc>
        <w:tc>
          <w:tcPr>
            <w:tcW w:type="dxa" w:w="4680"/>
            <w:tcMar>
              <w:top w:w="80" w:type="dxa"/>
              <w:start w:w="120" w:type="dxa"/>
              <w:bottom w:w="80" w:type="dxa"/>
              <w:end w:w="120" w:type="dxa"/>
            </w:tcMar>
            <w:vAlign w:val="center"/>
            <w:shd w:fill="FFFFFF"/>
          </w:tcPr>
          <w:p>
            <w:pPr>
              <w:spacing w:after="0" w:line="252" w:lineRule="auto"/>
            </w:pPr>
            <w:r>
              <w:rPr>
                <w:rFonts w:ascii="Calibri" w:hAnsi="Calibri"/>
                <w:color w:val="202A35"/>
                <w:sz w:val="18"/>
              </w:rPr>
              <w:t>Ordered numeric features, categorical features, definitions, null/default policy, schema version</w:t>
            </w:r>
          </w:p>
        </w:tc>
      </w:tr>
      <w:tr>
        <w:trPr>
          <w:cantSplit/>
        </w:trPr>
        <w:tc>
          <w:tcPr>
            <w:tcW w:type="dxa" w:w="4680"/>
            <w:tcMar>
              <w:top w:w="80" w:type="dxa"/>
              <w:start w:w="120" w:type="dxa"/>
              <w:bottom w:w="80" w:type="dxa"/>
              <w:end w:w="120" w:type="dxa"/>
            </w:tcMar>
            <w:vAlign w:val="center"/>
            <w:shd w:fill="EEF5FB"/>
          </w:tcPr>
          <w:p>
            <w:pPr>
              <w:spacing w:after="0" w:line="252" w:lineRule="auto"/>
            </w:pPr>
            <w:r>
              <w:rPr>
                <w:rFonts w:ascii="Consolas" w:hAnsi="Consolas"/>
                <w:color w:val="202A35"/>
                <w:sz w:val="18"/>
              </w:rPr>
              <w:t>duration_model_metrics.json</w:t>
            </w:r>
          </w:p>
        </w:tc>
        <w:tc>
          <w:tcPr>
            <w:tcW w:type="dxa" w:w="4680"/>
            <w:tcMar>
              <w:top w:w="80" w:type="dxa"/>
              <w:start w:w="120" w:type="dxa"/>
              <w:bottom w:w="80" w:type="dxa"/>
              <w:end w:w="120" w:type="dxa"/>
            </w:tcMar>
            <w:vAlign w:val="center"/>
            <w:shd w:fill="EEF5FB"/>
          </w:tcPr>
          <w:p>
            <w:pPr>
              <w:spacing w:after="0" w:line="252" w:lineRule="auto"/>
            </w:pPr>
            <w:r>
              <w:rPr>
                <w:rFonts w:ascii="Calibri" w:hAnsi="Calibri"/>
                <w:color w:val="202A35"/>
                <w:sz w:val="18"/>
              </w:rPr>
              <w:t>Splits, metrics, reliability summaries, subgroup counts, exclusions, lineage</w:t>
            </w:r>
          </w:p>
        </w:tc>
      </w:tr>
      <w:tr>
        <w:trPr>
          <w:cantSplit/>
        </w:trPr>
        <w:tc>
          <w:tcPr>
            <w:tcW w:type="dxa" w:w="4680"/>
            <w:tcMar>
              <w:top w:w="80" w:type="dxa"/>
              <w:start w:w="120" w:type="dxa"/>
              <w:bottom w:w="80" w:type="dxa"/>
              <w:end w:w="120" w:type="dxa"/>
            </w:tcMar>
            <w:vAlign w:val="center"/>
            <w:shd w:fill="FFFFFF"/>
          </w:tcPr>
          <w:p>
            <w:pPr>
              <w:spacing w:after="0" w:line="252" w:lineRule="auto"/>
            </w:pPr>
            <w:r>
              <w:rPr>
                <w:rFonts w:ascii="Consolas" w:hAnsi="Consolas"/>
                <w:color w:val="202A35"/>
                <w:sz w:val="18"/>
              </w:rPr>
              <w:t>duration_model_registry.json</w:t>
            </w:r>
            <w:r>
              <w:rPr>
                <w:rFonts w:ascii="Calibri" w:hAnsi="Calibri"/>
                <w:color w:val="202A35"/>
                <w:sz w:val="18"/>
              </w:rPr>
              <w:t xml:space="preserve"> entry</w:t>
            </w:r>
          </w:p>
        </w:tc>
        <w:tc>
          <w:tcPr>
            <w:tcW w:type="dxa" w:w="4680"/>
            <w:tcMar>
              <w:top w:w="80" w:type="dxa"/>
              <w:start w:w="120" w:type="dxa"/>
              <w:bottom w:w="80" w:type="dxa"/>
              <w:end w:w="120" w:type="dxa"/>
            </w:tcMar>
            <w:vAlign w:val="center"/>
            <w:shd w:fill="FFFFFF"/>
          </w:tcPr>
          <w:p>
            <w:pPr>
              <w:spacing w:after="0" w:line="252" w:lineRule="auto"/>
            </w:pPr>
            <w:r>
              <w:rPr>
                <w:rFonts w:ascii="Calibri" w:hAnsi="Calibri"/>
                <w:color w:val="202A35"/>
                <w:sz w:val="18"/>
              </w:rPr>
              <w:t>Model version, relative paths, hashes, status, compatibility versions</w:t>
            </w:r>
          </w:p>
        </w:tc>
      </w:tr>
      <w:tr>
        <w:trPr>
          <w:cantSplit/>
        </w:trPr>
        <w:tc>
          <w:tcPr>
            <w:tcW w:type="dxa" w:w="4680"/>
            <w:tcMar>
              <w:top w:w="80" w:type="dxa"/>
              <w:start w:w="120" w:type="dxa"/>
              <w:bottom w:w="80" w:type="dxa"/>
              <w:end w:w="120" w:type="dxa"/>
            </w:tcMar>
            <w:vAlign w:val="center"/>
            <w:shd w:fill="EEF5FB"/>
          </w:tcPr>
          <w:p>
            <w:pPr>
              <w:spacing w:after="0" w:line="252" w:lineRule="auto"/>
            </w:pPr>
            <w:r>
              <w:rPr>
                <w:rFonts w:ascii="Calibri" w:hAnsi="Calibri"/>
                <w:color w:val="202A35"/>
                <w:sz w:val="18"/>
              </w:rPr>
              <w:t>Out-of-fold predictions</w:t>
            </w:r>
          </w:p>
        </w:tc>
        <w:tc>
          <w:tcPr>
            <w:tcW w:type="dxa" w:w="4680"/>
            <w:tcMar>
              <w:top w:w="80" w:type="dxa"/>
              <w:start w:w="120" w:type="dxa"/>
              <w:bottom w:w="80" w:type="dxa"/>
              <w:end w:w="120" w:type="dxa"/>
            </w:tcMar>
            <w:vAlign w:val="center"/>
            <w:shd w:fill="EEF5FB"/>
          </w:tcPr>
          <w:p>
            <w:pPr>
              <w:spacing w:after="0" w:line="252" w:lineRule="auto"/>
            </w:pPr>
            <w:r>
              <w:rPr>
                <w:rFonts w:ascii="Calibri" w:hAnsi="Calibri"/>
                <w:color w:val="202A35"/>
                <w:sz w:val="18"/>
              </w:rPr>
              <w:t>Fight ID, event date, line, target, prediction, fold, model version; no secrets</w:t>
            </w:r>
          </w:p>
        </w:tc>
      </w:tr>
    </w:tbl>
    <w:p>
      <w:pPr>
        <w:spacing w:after="0"/>
      </w:pPr>
    </w:p>
    <w:p>
      <w:r>
        <w:rPr>
          <w:rFonts w:ascii="Calibri" w:hAnsi="Calibri"/>
        </w:rPr>
        <w:t>The serving process must reject an artifact when its feature-schema version, ordered feature list, or preprocessing version does not match the serving builder.</w:t>
      </w:r>
    </w:p>
    <w:p>
      <w:pPr>
        <w:pStyle w:val="Heading2"/>
      </w:pPr>
      <w:r>
        <w:rPr>
          <w:rFonts w:ascii="Calibri" w:hAnsi="Calibri"/>
        </w:rPr>
        <w:t>6.6 API contract</w:t>
      </w:r>
    </w:p>
    <w:p>
      <w:r>
        <w:rPr>
          <w:rFonts w:ascii="Calibri" w:hAnsi="Calibri"/>
        </w:rPr>
        <w:t>Proposed response fragment:</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w:t>
              <w:br/>
              <w:t xml:space="preserve">  "duration_prediction": {</w:t>
              <w:br/>
              <w:t xml:space="preserve">    "line": 2.5,</w:t>
              <w:br/>
              <w:t xml:space="preserve">    "line_seconds": 750,</w:t>
              <w:br/>
              <w:t xml:space="preserve">    "over_probability": 0.54,</w:t>
              <w:br/>
              <w:t xml:space="preserve">    "under_probability": 0.46,</w:t>
              <w:br/>
              <w:t xml:space="preserve">    "model_version": "duration-1.0.0",</w:t>
              <w:br/>
              <w:t xml:space="preserve">    "calibrated": true,</w:t>
              <w:br/>
              <w:t xml:space="preserve">    "coverage": "full",</w:t>
              <w:br/>
              <w:t xml:space="preserve">    "prediction_timestamp": "2026-07-13T18:00:00Z"</w:t>
              <w:br/>
              <w:t xml:space="preserve">  }</w:t>
              <w:br/>
              <w:t>}</w:t>
            </w:r>
          </w:p>
        </w:tc>
      </w:tr>
    </w:tbl>
    <w:p>
      <w:r>
        <w:rPr>
          <w:rFonts w:ascii="Calibri" w:hAnsi="Calibri"/>
        </w:rPr>
        <w:t xml:space="preserve">When unavailable, return a stable reason code such as </w:t>
      </w:r>
      <w:r>
        <w:rPr>
          <w:rFonts w:ascii="Consolas" w:hAnsi="Consolas"/>
          <w:color w:val="2E74B5"/>
          <w:sz w:val="19"/>
        </w:rPr>
        <w:t>totals_line_missing</w:t>
      </w:r>
      <w:r>
        <w:rPr>
          <w:rFonts w:ascii="Calibri" w:hAnsi="Calibri"/>
        </w:rPr>
        <w:t xml:space="preserve">, </w:t>
      </w:r>
      <w:r>
        <w:rPr>
          <w:rFonts w:ascii="Consolas" w:hAnsi="Consolas"/>
          <w:color w:val="2E74B5"/>
          <w:sz w:val="19"/>
        </w:rPr>
        <w:t>fighter_unresolved</w:t>
      </w:r>
      <w:r>
        <w:rPr>
          <w:rFonts w:ascii="Calibri" w:hAnsi="Calibri"/>
        </w:rPr>
        <w:t xml:space="preserve">, </w:t>
      </w:r>
      <w:r>
        <w:rPr>
          <w:rFonts w:ascii="Consolas" w:hAnsi="Consolas"/>
          <w:color w:val="2E74B5"/>
          <w:sz w:val="19"/>
        </w:rPr>
        <w:t>unsupported_round_format</w:t>
      </w:r>
      <w:r>
        <w:rPr>
          <w:rFonts w:ascii="Calibri" w:hAnsi="Calibri"/>
        </w:rPr>
        <w:t xml:space="preserve">, </w:t>
      </w:r>
      <w:r>
        <w:rPr>
          <w:rFonts w:ascii="Consolas" w:hAnsi="Consolas"/>
          <w:color w:val="2E74B5"/>
          <w:sz w:val="19"/>
        </w:rPr>
        <w:t>feature_row_missing</w:t>
      </w:r>
      <w:r>
        <w:rPr>
          <w:rFonts w:ascii="Calibri" w:hAnsi="Calibri"/>
        </w:rPr>
        <w:t xml:space="preserve">, or </w:t>
      </w:r>
      <w:r>
        <w:rPr>
          <w:rFonts w:ascii="Consolas" w:hAnsi="Consolas"/>
          <w:color w:val="2E74B5"/>
          <w:sz w:val="19"/>
        </w:rPr>
        <w:t>artifact_unavailable</w:t>
      </w:r>
      <w:r>
        <w:rPr>
          <w:rFonts w:ascii="Calibri" w:hAnsi="Calibri"/>
        </w:rPr>
        <w:t>. Do not manufacture a percentage from the method model.</w:t>
      </w:r>
    </w:p>
    <w:p>
      <w:r>
        <w:rPr>
          <w:rFonts w:ascii="Calibri" w:hAnsi="Calibri"/>
        </w:rPr>
        <w:t xml:space="preserve">During migration, keep </w:t>
      </w:r>
      <w:r>
        <w:rPr>
          <w:rFonts w:ascii="Consolas" w:hAnsi="Consolas"/>
          <w:color w:val="2E74B5"/>
          <w:sz w:val="19"/>
        </w:rPr>
        <w:t>model_distance_probability</w:t>
      </w:r>
      <w:r>
        <w:rPr>
          <w:rFonts w:ascii="Calibri" w:hAnsi="Calibri"/>
        </w:rPr>
        <w:t xml:space="preserve"> only as a deprecated, explicitly defined decision probability. Remove it after all consumers and saved snapshots have migrated.</w:t>
      </w:r>
    </w:p>
    <w:p>
      <w:pPr>
        <w:pStyle w:val="Heading2"/>
      </w:pPr>
      <w:r>
        <w:rPr>
          <w:rFonts w:ascii="Calibri" w:hAnsi="Calibri"/>
        </w:rPr>
        <w:t>6.7 Tests required before display</w:t>
      </w:r>
    </w:p>
    <w:p>
      <w:pPr>
        <w:pStyle w:val="ListBullet"/>
      </w:pPr>
      <w:r>
        <w:rPr>
          <w:rFonts w:ascii="Calibri" w:hAnsi="Calibri"/>
        </w:rPr>
        <w:t>Finish-time conversion for every round and exact half-round boundaries.</w:t>
      </w:r>
    </w:p>
    <w:p>
      <w:pPr>
        <w:pStyle w:val="ListBullet"/>
      </w:pPr>
      <w:r>
        <w:rPr>
          <w:rFonts w:ascii="Calibri" w:hAnsi="Calibri"/>
        </w:rPr>
        <w:t>Five-round, three-round, one-round anomaly, no-contest, draw, overturned, and missing-time fixtures.</w:t>
      </w:r>
    </w:p>
    <w:p>
      <w:pPr>
        <w:pStyle w:val="ListBullet"/>
      </w:pPr>
      <w:r>
        <w:rPr>
          <w:rFonts w:ascii="Calibri" w:hAnsi="Calibri"/>
        </w:rPr>
        <w:t>Mirrored-row and chronological group isolation.</w:t>
      </w:r>
    </w:p>
    <w:p>
      <w:pPr>
        <w:pStyle w:val="ListBullet"/>
      </w:pPr>
      <w:r>
        <w:rPr>
          <w:rFonts w:ascii="Calibri" w:hAnsi="Calibri"/>
        </w:rPr>
        <w:t>Training/serving feature-name, order, dtype, category, and null-policy equality.</w:t>
      </w:r>
    </w:p>
    <w:p>
      <w:pPr>
        <w:pStyle w:val="ListBullet"/>
      </w:pPr>
      <w:r>
        <w:rPr>
          <w:rFonts w:ascii="Calibri" w:hAnsi="Calibri"/>
        </w:rPr>
        <w:t>Red/blue swap invariance or documented complement behavior.</w:t>
      </w:r>
    </w:p>
    <w:p>
      <w:pPr>
        <w:pStyle w:val="ListBullet"/>
      </w:pPr>
      <w:r>
        <w:rPr>
          <w:rFonts w:ascii="Calibri" w:hAnsi="Calibri"/>
        </w:rPr>
        <w:t>Calibration and metric calculation on fixed fixtures.</w:t>
      </w:r>
    </w:p>
    <w:p>
      <w:pPr>
        <w:pStyle w:val="ListBullet"/>
      </w:pPr>
      <w:r>
        <w:rPr>
          <w:rFonts w:ascii="Calibri" w:hAnsi="Calibri"/>
        </w:rPr>
        <w:t>API contract, unavailable reason codes, frontend mock parity, and UI responsive states.</w:t>
      </w:r>
    </w:p>
    <w:p>
      <w:pPr>
        <w:pStyle w:val="ListBullet"/>
      </w:pPr>
      <w:r>
        <w:rPr>
          <w:rFonts w:ascii="Calibri" w:hAnsi="Calibri"/>
        </w:rPr>
        <w:t>Snapshot immutability, settlement idempotence, and no post-fight overwrite.</w:t>
      </w:r>
    </w:p>
    <w:p>
      <w:pPr>
        <w:pStyle w:val="ListBullet"/>
      </w:pPr>
      <w:r>
        <w:rPr>
          <w:rFonts w:ascii="Calibri" w:hAnsi="Calibri"/>
        </w:rPr>
        <w:t>Multiple books/lines, de-vigging, quote age, and exact line matching.</w:t>
      </w:r>
    </w:p>
    <w:p>
      <w:pPr>
        <w:pStyle w:val="ListBullet"/>
      </w:pPr>
      <w:r>
        <w:rPr>
          <w:rFonts w:ascii="Calibri" w:hAnsi="Calibri"/>
        </w:rPr>
        <w:t>Artifact incompatibility and rollback behavior.</w:t>
      </w:r>
    </w:p>
    <w:p>
      <w:pPr>
        <w:pStyle w:val="Heading1"/>
      </w:pPr>
      <w:r>
        <w:rPr>
          <w:rFonts w:ascii="Calibri" w:hAnsi="Calibri"/>
        </w:rPr>
        <w:t>7. Model and data research tracks</w:t>
      </w:r>
    </w:p>
    <w:p>
      <w:r>
        <w:rPr>
          <w:rFonts w:ascii="Calibri" w:hAnsi="Calibri"/>
        </w:rPr>
        <w:t>These tracks can begin only after Phase 0 establishes reproducible baselines. They should not compete for the same untouched final holdout.</w:t>
      </w:r>
    </w:p>
    <w:p>
      <w:pPr>
        <w:pStyle w:val="Heading2"/>
      </w:pPr>
      <w:r>
        <w:rPr>
          <w:rFonts w:ascii="Calibri" w:hAnsi="Calibri"/>
        </w:rPr>
        <w:t>7.1 Round-level duration features — highest modeling priority</w:t>
      </w:r>
    </w:p>
    <w:p>
      <w:r>
        <w:rPr>
          <w:rFonts w:ascii="Calibri" w:hAnsi="Calibri"/>
        </w:rPr>
        <w:t xml:space="preserve">Use </w:t>
      </w:r>
      <w:r>
        <w:rPr>
          <w:rFonts w:ascii="Consolas" w:hAnsi="Consolas"/>
          <w:color w:val="2E74B5"/>
          <w:sz w:val="19"/>
        </w:rPr>
        <w:t>backend/data/processed/fight_round_stats.csv</w:t>
      </w:r>
      <w:r>
        <w:rPr>
          <w:rFonts w:ascii="Calibri" w:hAnsi="Calibri"/>
        </w:rPr>
        <w:t xml:space="preserve"> to create prior-only aggregates such as early-round output, pace decay, control share, knockdown exposure, and finish timing. Every aggregate needs a cutoff test proving that fight </w:t>
      </w:r>
      <w:r>
        <w:rPr>
          <w:rFonts w:ascii="Consolas" w:hAnsi="Consolas"/>
          <w:color w:val="2E74B5"/>
          <w:sz w:val="19"/>
        </w:rPr>
        <w:t>N</w:t>
      </w:r>
      <w:r>
        <w:rPr>
          <w:rFonts w:ascii="Calibri" w:hAnsi="Calibri"/>
        </w:rPr>
        <w:t xml:space="preserve"> does not use round data from fight </w:t>
      </w:r>
      <w:r>
        <w:rPr>
          <w:rFonts w:ascii="Consolas" w:hAnsi="Consolas"/>
          <w:color w:val="2E74B5"/>
          <w:sz w:val="19"/>
        </w:rPr>
        <w:t>N</w:t>
      </w:r>
      <w:r>
        <w:rPr>
          <w:rFonts w:ascii="Calibri" w:hAnsi="Calibri"/>
        </w:rPr>
        <w:t xml:space="preserve"> or later. Add empirical-Bayes shrinkage or explicit sample-size features so a one-fight athlete is not treated as precisely estimated.</w:t>
      </w:r>
    </w:p>
    <w:p>
      <w:r>
        <w:rPr>
          <w:rFonts w:ascii="Calibri" w:hAnsi="Calibri"/>
        </w:rPr>
        <w:t>Why first: these variables directly describe the process that determines duration. They are more causally aligned with totals than generic winner interactions.</w:t>
      </w:r>
    </w:p>
    <w:p>
      <w:pPr>
        <w:pStyle w:val="Heading2"/>
      </w:pPr>
      <w:r>
        <w:rPr>
          <w:rFonts w:ascii="Calibri" w:hAnsi="Calibri"/>
        </w:rPr>
        <w:t>7.2 Glicko or uncertainty-aware ratings — shadow comparison</w:t>
      </w:r>
    </w:p>
    <w:p>
      <w:r>
        <w:rPr>
          <w:rFonts w:ascii="Calibri" w:hAnsi="Calibri"/>
        </w:rPr>
        <w:t>Implement a rating provider behind the same feature interface as current Elo. Produce pre-fight rating, rating deviation/uncertainty, and matchup differences. Compare:</w:t>
      </w:r>
    </w:p>
    <w:p>
      <w:pPr>
        <w:pStyle w:val="ListBullet"/>
      </w:pPr>
      <w:r>
        <w:rPr>
          <w:rFonts w:ascii="Calibri" w:hAnsi="Calibri"/>
        </w:rPr>
        <w:t>current Elo only;</w:t>
      </w:r>
    </w:p>
    <w:p>
      <w:pPr>
        <w:pStyle w:val="ListBullet"/>
      </w:pPr>
      <w:r>
        <w:rPr>
          <w:rFonts w:ascii="Calibri" w:hAnsi="Calibri"/>
        </w:rPr>
        <w:t>Glicko-style features only; and</w:t>
      </w:r>
    </w:p>
    <w:p>
      <w:pPr>
        <w:pStyle w:val="ListBullet"/>
      </w:pPr>
      <w:r>
        <w:rPr>
          <w:rFonts w:ascii="Calibri" w:hAnsi="Calibri"/>
        </w:rPr>
        <w:t>both, with regularization.</w:t>
      </w:r>
    </w:p>
    <w:p>
      <w:r>
        <w:rPr>
          <w:rFonts w:ascii="Calibri" w:hAnsi="Calibri"/>
        </w:rPr>
        <w:t>Gate on chronological out-of-fold log loss and Brier score for winner prediction, plus calibration by experience. Do not replace Elo merely because the new rating is theoretically richer.</w:t>
      </w:r>
    </w:p>
    <w:p>
      <w:pPr>
        <w:pStyle w:val="Heading2"/>
      </w:pPr>
      <w:r>
        <w:rPr>
          <w:rFonts w:ascii="Calibri" w:hAnsi="Calibri"/>
        </w:rPr>
        <w:t>7.3 Calibration alternatives</w:t>
      </w:r>
    </w:p>
    <w:p>
      <w:r>
        <w:rPr>
          <w:rFonts w:ascii="Calibri" w:hAnsi="Calibri"/>
        </w:rPr>
        <w:t>Compare the current sigmoid calibration against carefully nested alternatives. Calibration fitting must occur without touching the final test period. Evaluate overall and subgroup reliability, expected calibration error with fixed/adaptive bins, Brier decomposition where practical, and bootstrap confidence intervals. A method that creates sharper-looking probabilities but worse log loss or unstable tails should remain experimental.</w:t>
      </w:r>
    </w:p>
    <w:p>
      <w:pPr>
        <w:pStyle w:val="Heading2"/>
      </w:pPr>
      <w:r>
        <w:rPr>
          <w:rFonts w:ascii="Calibri" w:hAnsi="Calibri"/>
        </w:rPr>
        <w:t>7.4 Feature stability and selection</w:t>
      </w:r>
    </w:p>
    <w:p>
      <w:r>
        <w:rPr>
          <w:rFonts w:ascii="Calibri" w:hAnsi="Calibri"/>
        </w:rPr>
        <w:t>Measure coefficient/sign stability and feature selection frequency across chronological folds. Any filtering, imputation choice, or hyperparameter selection must occur within the training portion of each fold. Use this to simplify feature families and identify brittle inputs, not to mine the final holdout repeatedly.</w:t>
      </w:r>
    </w:p>
    <w:p>
      <w:pPr>
        <w:pStyle w:val="Heading2"/>
      </w:pPr>
      <w:r>
        <w:rPr>
          <w:rFonts w:ascii="Calibri" w:hAnsi="Calibri"/>
        </w:rPr>
        <w:t>7.5 Style representation and new interactions</w:t>
      </w:r>
    </w:p>
    <w:p>
      <w:r>
        <w:rPr>
          <w:rFonts w:ascii="Calibri" w:hAnsi="Calibri"/>
        </w:rPr>
        <w:t>If style labels are added, first define how they are produced, versioned, and available before each historical fight. Candidate sources include reproducible clustering from prior-only round features or human-reviewed labels with inter-rater checks. Only then test bounded interactions such as pace-versus-durability or wrestling-pressure-versus-takedown-defense. This is the condition under which revisiting interaction hypotheses becomes meaningfully new research.</w:t>
      </w:r>
    </w:p>
    <w:p>
      <w:pPr>
        <w:pStyle w:val="Heading2"/>
      </w:pPr>
      <w:r>
        <w:rPr>
          <w:rFonts w:ascii="Calibri" w:hAnsi="Calibri"/>
        </w:rPr>
        <w:t>7.6 Historical odds and scorecards</w:t>
      </w:r>
    </w:p>
    <w:p>
      <w:r>
        <w:rPr>
          <w:rFonts w:ascii="Calibri" w:hAnsi="Calibri"/>
        </w:rPr>
        <w:t>Before ingestion, verify terms of use, licensing, update stability, identity coverage, and historical timestamp semantics. Closing odds cannot be used as an input to a model presented as an earlier pre-fight forecast. Scorecards can support judging and round-outcome research but have sparse and selection-biased availability; keep them out of production features until coverage and missingness are documented.</w:t>
      </w:r>
    </w:p>
    <w:p>
      <w:pPr>
        <w:pStyle w:val="Heading1"/>
      </w:pPr>
      <w:r>
        <w:rPr>
          <w:rFonts w:ascii="Calibri" w:hAnsi="Calibri"/>
        </w:rPr>
        <w:t>8. Reliability and release engineering</w:t>
      </w:r>
    </w:p>
    <w:p>
      <w:pPr>
        <w:pStyle w:val="Heading2"/>
      </w:pPr>
      <w:r>
        <w:rPr>
          <w:rFonts w:ascii="Calibri" w:hAnsi="Calibri"/>
        </w:rPr>
        <w:t>8.1 Daily refresh</w:t>
      </w:r>
    </w:p>
    <w:p>
      <w:pPr>
        <w:shd w:fill="FCECEF"/>
        <w:spacing w:before="80" w:after="160"/>
        <w:ind w:left="173" w:right="173"/>
      </w:pPr>
      <w:r>
        <w:rPr>
          <w:rFonts w:ascii="Calibri" w:hAnsi="Calibri"/>
          <w:b/>
        </w:rPr>
        <w:t>Current:</w:t>
      </w:r>
      <w:r>
        <w:rPr>
          <w:rFonts w:ascii="Calibri" w:hAnsi="Calibri"/>
        </w:rPr>
        <w:t xml:space="preserve"> Windows Task Scheduler launches </w:t>
      </w:r>
      <w:r>
        <w:rPr>
          <w:rFonts w:ascii="Consolas" w:hAnsi="Consolas"/>
          <w:color w:val="2E74B5"/>
          <w:sz w:val="19"/>
        </w:rPr>
        <w:t>backend/app/pipeline/auto_update.ps1</w:t>
      </w:r>
      <w:r>
        <w:rPr>
          <w:rFonts w:ascii="Calibri" w:hAnsi="Calibri"/>
        </w:rPr>
        <w:t xml:space="preserve">, which decrypts a DPAPI-protected credential, runs </w:t>
      </w:r>
      <w:r>
        <w:rPr>
          <w:rFonts w:ascii="Consolas" w:hAnsi="Consolas"/>
          <w:color w:val="2E74B5"/>
          <w:sz w:val="19"/>
        </w:rPr>
        <w:t>auto_update.py</w:t>
      </w:r>
      <w:r>
        <w:rPr>
          <w:rFonts w:ascii="Calibri" w:hAnsi="Calibri"/>
        </w:rPr>
        <w:t>, executes the incremental pipeline, builds a bundle, and uploads it to the admin endpoint. The newest inspected log completed successfully, including the incremental update and hosted upload path. However, a successful log does not prove the job runs every day.</w:t>
      </w:r>
    </w:p>
    <w:p>
      <w:r>
        <w:rPr>
          <w:rFonts w:ascii="Calibri" w:hAnsi="Calibri"/>
        </w:rPr>
        <w:t>Required improvements:</w:t>
      </w:r>
    </w:p>
    <w:p>
      <w:pPr>
        <w:pStyle w:val="ListBullet"/>
      </w:pPr>
      <w:r>
        <w:rPr>
          <w:rFonts w:ascii="Calibri" w:hAnsi="Calibri"/>
        </w:rPr>
        <w:t xml:space="preserve">Persist </w:t>
      </w:r>
      <w:r>
        <w:rPr>
          <w:rFonts w:ascii="Consolas" w:hAnsi="Consolas"/>
          <w:color w:val="2E74B5"/>
          <w:sz w:val="19"/>
        </w:rPr>
        <w:t>last_attempt_at</w:t>
      </w:r>
      <w:r>
        <w:rPr>
          <w:rFonts w:ascii="Calibri" w:hAnsi="Calibri"/>
        </w:rPr>
        <w:t xml:space="preserve">, </w:t>
      </w:r>
      <w:r>
        <w:rPr>
          <w:rFonts w:ascii="Consolas" w:hAnsi="Consolas"/>
          <w:color w:val="2E74B5"/>
          <w:sz w:val="19"/>
        </w:rPr>
        <w:t>last_success_at</w:t>
      </w:r>
      <w:r>
        <w:rPr>
          <w:rFonts w:ascii="Calibri" w:hAnsi="Calibri"/>
        </w:rPr>
        <w:t xml:space="preserve">, </w:t>
      </w:r>
      <w:r>
        <w:rPr>
          <w:rFonts w:ascii="Consolas" w:hAnsi="Consolas"/>
          <w:color w:val="2E74B5"/>
          <w:sz w:val="19"/>
        </w:rPr>
        <w:t>last_failure_stage</w:t>
      </w:r>
      <w:r>
        <w:rPr>
          <w:rFonts w:ascii="Calibri" w:hAnsi="Calibri"/>
        </w:rPr>
        <w:t xml:space="preserve">, </w:t>
      </w:r>
      <w:r>
        <w:rPr>
          <w:rFonts w:ascii="Consolas" w:hAnsi="Consolas"/>
          <w:color w:val="2E74B5"/>
          <w:sz w:val="19"/>
        </w:rPr>
        <w:t>duration</w:t>
      </w:r>
      <w:r>
        <w:rPr>
          <w:rFonts w:ascii="Calibri" w:hAnsi="Calibri"/>
        </w:rPr>
        <w:t xml:space="preserve">, </w:t>
      </w:r>
      <w:r>
        <w:rPr>
          <w:rFonts w:ascii="Consolas" w:hAnsi="Consolas"/>
          <w:color w:val="2E74B5"/>
          <w:sz w:val="19"/>
        </w:rPr>
        <w:t>local_bundle_hash</w:t>
      </w:r>
      <w:r>
        <w:rPr>
          <w:rFonts w:ascii="Calibri" w:hAnsi="Calibri"/>
        </w:rPr>
        <w:t xml:space="preserve">, and </w:t>
      </w:r>
      <w:r>
        <w:rPr>
          <w:rFonts w:ascii="Consolas" w:hAnsi="Consolas"/>
          <w:color w:val="2E74B5"/>
          <w:sz w:val="19"/>
        </w:rPr>
        <w:t>upload_result</w:t>
      </w:r>
      <w:r>
        <w:rPr>
          <w:rFonts w:ascii="Calibri" w:hAnsi="Calibri"/>
        </w:rPr>
        <w:t xml:space="preserve"> in a status record exposed to Data Ops.</w:t>
      </w:r>
    </w:p>
    <w:p>
      <w:pPr>
        <w:pStyle w:val="ListBullet"/>
      </w:pPr>
      <w:r>
        <w:rPr>
          <w:rFonts w:ascii="Calibri" w:hAnsi="Calibri"/>
        </w:rPr>
        <w:t>Add a stale threshold independent of the scheduler; alert when the latest successful data date or run age exceeds policy.</w:t>
      </w:r>
    </w:p>
    <w:p>
      <w:pPr>
        <w:pStyle w:val="ListBullet"/>
      </w:pPr>
      <w:r>
        <w:rPr>
          <w:rFonts w:ascii="Calibri" w:hAnsi="Calibri"/>
        </w:rPr>
        <w:t xml:space="preserve">Record explicit </w:t>
      </w:r>
      <w:r>
        <w:rPr>
          <w:rFonts w:ascii="Consolas" w:hAnsi="Consolas"/>
          <w:color w:val="2E74B5"/>
          <w:sz w:val="19"/>
        </w:rPr>
        <w:t>skipped</w:t>
      </w:r>
      <w:r>
        <w:rPr>
          <w:rFonts w:ascii="Calibri" w:hAnsi="Calibri"/>
        </w:rPr>
        <w:t xml:space="preserve"> reasons for optional odds and image stages. A best-effort skip is not equivalent to refreshed data.</w:t>
      </w:r>
    </w:p>
    <w:p>
      <w:pPr>
        <w:pStyle w:val="ListBullet"/>
      </w:pPr>
      <w:r>
        <w:rPr>
          <w:rFonts w:ascii="Calibri" w:hAnsi="Calibri"/>
        </w:rPr>
        <w:t>Add a post-upload hosted health check that verifies manifest hash, database row counts, model versions, and latest event date.</w:t>
      </w:r>
    </w:p>
    <w:p>
      <w:pPr>
        <w:pStyle w:val="ListBullet"/>
      </w:pPr>
      <w:r>
        <w:rPr>
          <w:rFonts w:ascii="Calibri" w:hAnsi="Calibri"/>
        </w:rPr>
        <w:t>Move the runner to an always-on CI/hosted system when credentials, scraping constraints, and cost permit. Until then, document that a sleeping/offline Windows machine cannot guarantee wall-clock daily execution.</w:t>
      </w:r>
    </w:p>
    <w:p>
      <w:pPr>
        <w:pStyle w:val="Heading2"/>
      </w:pPr>
      <w:r>
        <w:rPr>
          <w:rFonts w:ascii="Calibri" w:hAnsi="Calibri"/>
        </w:rPr>
        <w:t>8.2 Atomic artifact deployment</w:t>
      </w:r>
    </w:p>
    <w:p>
      <w:pPr>
        <w:shd w:fill="FCECEF"/>
        <w:spacing w:before="80" w:after="160"/>
        <w:ind w:left="173" w:right="173"/>
      </w:pPr>
      <w:r>
        <w:rPr>
          <w:rFonts w:ascii="Calibri" w:hAnsi="Calibri"/>
          <w:b/>
        </w:rPr>
        <w:t>Current risk:</w:t>
      </w:r>
      <w:r>
        <w:rPr>
          <w:rFonts w:ascii="Calibri" w:hAnsi="Calibri"/>
        </w:rPr>
        <w:t xml:space="preserve"> a bundle upload replaces files sequentially. Requests can observe a new model with old features or a new database with old metadata.</w:t>
      </w:r>
    </w:p>
    <w:p>
      <w:r>
        <w:rPr>
          <w:rFonts w:ascii="Calibri" w:hAnsi="Calibri"/>
        </w:rPr>
        <w:t>Target flow:</w:t>
      </w:r>
    </w:p>
    <w:p>
      <w:pPr>
        <w:pStyle w:val="ListNumber"/>
        <w:numPr>
          <w:ilvl w:val="0"/>
          <w:numId w:val="15"/>
        </w:numPr>
      </w:pPr>
      <w:r>
        <w:rPr>
          <w:rFonts w:ascii="Calibri" w:hAnsi="Calibri"/>
        </w:rPr>
        <w:t>Upload into a versioned staging directory.</w:t>
      </w:r>
    </w:p>
    <w:p>
      <w:pPr>
        <w:pStyle w:val="ListNumber"/>
        <w:numPr>
          <w:ilvl w:val="0"/>
          <w:numId w:val="15"/>
        </w:numPr>
      </w:pPr>
      <w:r>
        <w:rPr>
          <w:rFonts w:ascii="Calibri" w:hAnsi="Calibri"/>
        </w:rPr>
        <w:t>Validate archive paths, manifest, checksums, schema compatibility, model load, and a smoke prediction.</w:t>
      </w:r>
    </w:p>
    <w:p>
      <w:pPr>
        <w:pStyle w:val="ListNumber"/>
        <w:numPr>
          <w:ilvl w:val="0"/>
          <w:numId w:val="15"/>
        </w:numPr>
      </w:pPr>
      <w:r>
        <w:rPr>
          <w:rFonts w:ascii="Calibri" w:hAnsi="Calibri"/>
        </w:rPr>
        <w:t>Quiesce or use a generation pointer.</w:t>
      </w:r>
    </w:p>
    <w:p>
      <w:pPr>
        <w:pStyle w:val="ListNumber"/>
        <w:numPr>
          <w:ilvl w:val="0"/>
          <w:numId w:val="15"/>
        </w:numPr>
      </w:pPr>
      <w:r>
        <w:rPr>
          <w:rFonts w:ascii="Calibri" w:hAnsi="Calibri"/>
        </w:rPr>
        <w:t>Switch the whole artifact generation atomically.</w:t>
      </w:r>
    </w:p>
    <w:p>
      <w:pPr>
        <w:pStyle w:val="ListNumber"/>
        <w:numPr>
          <w:ilvl w:val="0"/>
          <w:numId w:val="15"/>
        </w:numPr>
      </w:pPr>
      <w:r>
        <w:rPr>
          <w:rFonts w:ascii="Calibri" w:hAnsi="Calibri"/>
        </w:rPr>
        <w:t>Retain the previous generation for one-command rollback.</w:t>
      </w:r>
    </w:p>
    <w:p>
      <w:pPr>
        <w:pStyle w:val="ListNumber"/>
        <w:numPr>
          <w:ilvl w:val="0"/>
          <w:numId w:val="15"/>
        </w:numPr>
      </w:pPr>
      <w:r>
        <w:rPr>
          <w:rFonts w:ascii="Calibri" w:hAnsi="Calibri"/>
        </w:rPr>
        <w:t xml:space="preserve">Report the active generation/hash through </w:t>
      </w:r>
      <w:r>
        <w:rPr>
          <w:rFonts w:ascii="Consolas" w:hAnsi="Consolas"/>
          <w:color w:val="2E74B5"/>
          <w:sz w:val="19"/>
        </w:rPr>
        <w:t>/health</w:t>
      </w:r>
      <w:r>
        <w:rPr>
          <w:rFonts w:ascii="Calibri" w:hAnsi="Calibri"/>
        </w:rPr>
        <w:t xml:space="preserve"> or an admin status endpoint.</w:t>
      </w:r>
    </w:p>
    <w:p>
      <w:pPr>
        <w:pStyle w:val="Heading2"/>
      </w:pPr>
      <w:r>
        <w:rPr>
          <w:rFonts w:ascii="Calibri" w:hAnsi="Calibri"/>
        </w:rPr>
        <w:t>8.3 Typed contracts</w:t>
      </w:r>
    </w:p>
    <w:p>
      <w:r>
        <w:rPr>
          <w:rFonts w:ascii="Calibri" w:hAnsi="Calibri"/>
        </w:rPr>
        <w:t>Many FastAPI routes return untyped dictionaries and the frontend API client has handwritten assumptions. Introduce Pydantic response models for high-change endpoints, generate or validate frontend types from OpenAPI, and run a real-backend contract test in CI. Keep mocks as scenario fixtures, not as the definition of the production contract.</w:t>
      </w:r>
    </w:p>
    <w:p>
      <w:pPr>
        <w:pStyle w:val="Heading2"/>
      </w:pPr>
      <w:r>
        <w:rPr>
          <w:rFonts w:ascii="Calibri" w:hAnsi="Calibri"/>
        </w:rPr>
        <w:t>8.4 Database and schema evolution</w:t>
      </w:r>
    </w:p>
    <w:p>
      <w:r>
        <w:rPr>
          <w:rFonts w:ascii="Calibri" w:hAnsi="Calibri"/>
        </w:rPr>
        <w:t xml:space="preserve">The database currently relies on </w:t>
      </w:r>
      <w:r>
        <w:rPr>
          <w:rFonts w:ascii="Consolas" w:hAnsi="Consolas"/>
          <w:color w:val="2E74B5"/>
          <w:sz w:val="19"/>
        </w:rPr>
        <w:t>PRAGMA user_version=1</w:t>
      </w:r>
      <w:r>
        <w:rPr>
          <w:rFonts w:ascii="Calibri" w:hAnsi="Calibri"/>
        </w:rPr>
        <w:t xml:space="preserve"> plus forward-compatible column additions. Add numbered, idempotent migrations and a compatibility matrix for the backend, bundle, and database schema. Duration snapshots and settlements require migrations that preserve old rows and identify which model/line semantics produced them.</w:t>
      </w:r>
    </w:p>
    <w:p>
      <w:pPr>
        <w:pStyle w:val="Heading1"/>
      </w:pPr>
      <w:r>
        <w:rPr>
          <w:rFonts w:ascii="Calibri" w:hAnsi="Calibri"/>
        </w:rPr>
        <w:t>9. Measurement and acceptance gates</w:t>
      </w:r>
    </w:p>
    <w:p>
      <w:pPr>
        <w:pStyle w:val="Heading2"/>
      </w:pPr>
      <w:r>
        <w:rPr>
          <w:rFonts w:ascii="Calibri" w:hAnsi="Calibri"/>
        </w:rPr>
        <w:t>9.1 Universal experiment gate</w:t>
      </w:r>
    </w:p>
    <w:p>
      <w:r>
        <w:rPr>
          <w:rFonts w:ascii="Calibri" w:hAnsi="Calibri"/>
        </w:rPr>
        <w:t>Every candidate must declare before the final evaluation:</w:t>
      </w:r>
    </w:p>
    <w:p>
      <w:pPr>
        <w:pStyle w:val="ListBullet"/>
      </w:pPr>
      <w:r>
        <w:rPr>
          <w:rFonts w:ascii="Calibri" w:hAnsi="Calibri"/>
        </w:rPr>
        <w:t>hypothesis and expected mechanism;</w:t>
      </w:r>
    </w:p>
    <w:p>
      <w:pPr>
        <w:pStyle w:val="ListBullet"/>
      </w:pPr>
      <w:r>
        <w:rPr>
          <w:rFonts w:ascii="Calibri" w:hAnsi="Calibri"/>
        </w:rPr>
        <w:t>primary metric and minimum useful change;</w:t>
      </w:r>
    </w:p>
    <w:p>
      <w:pPr>
        <w:pStyle w:val="ListBullet"/>
      </w:pPr>
      <w:r>
        <w:rPr>
          <w:rFonts w:ascii="Calibri" w:hAnsi="Calibri"/>
        </w:rPr>
        <w:t>unit of independence: unique fight;</w:t>
      </w:r>
    </w:p>
    <w:p>
      <w:pPr>
        <w:pStyle w:val="ListBullet"/>
      </w:pPr>
      <w:r>
        <w:rPr>
          <w:rFonts w:ascii="Calibri" w:hAnsi="Calibri"/>
        </w:rPr>
        <w:t>chronological train, calibration, and untouched test windows;</w:t>
      </w:r>
    </w:p>
    <w:p>
      <w:pPr>
        <w:pStyle w:val="ListBullet"/>
      </w:pPr>
      <w:r>
        <w:rPr>
          <w:rFonts w:ascii="Calibri" w:hAnsi="Calibri"/>
        </w:rPr>
        <w:t>feature availability timestamp;</w:t>
      </w:r>
    </w:p>
    <w:p>
      <w:pPr>
        <w:pStyle w:val="ListBullet"/>
      </w:pPr>
      <w:r>
        <w:rPr>
          <w:rFonts w:ascii="Calibri" w:hAnsi="Calibri"/>
        </w:rPr>
        <w:t>comparison baseline and identical eligible rows;</w:t>
      </w:r>
    </w:p>
    <w:p>
      <w:pPr>
        <w:pStyle w:val="ListBullet"/>
      </w:pPr>
      <w:r>
        <w:rPr>
          <w:rFonts w:ascii="Calibri" w:hAnsi="Calibri"/>
        </w:rPr>
        <w:t>subgroup and missingness plan;</w:t>
      </w:r>
    </w:p>
    <w:p>
      <w:pPr>
        <w:pStyle w:val="ListBullet"/>
      </w:pPr>
      <w:r>
        <w:rPr>
          <w:rFonts w:ascii="Calibri" w:hAnsi="Calibri"/>
        </w:rPr>
        <w:t>artifact and code provenance;</w:t>
      </w:r>
    </w:p>
    <w:p>
      <w:pPr>
        <w:pStyle w:val="ListBullet"/>
      </w:pPr>
      <w:r>
        <w:rPr>
          <w:rFonts w:ascii="Calibri" w:hAnsi="Calibri"/>
        </w:rPr>
        <w:t>promotion, rejection, and rollback rule.</w:t>
      </w:r>
    </w:p>
    <w:p>
      <w:pPr>
        <w:pStyle w:val="Heading2"/>
      </w:pPr>
      <w:r>
        <w:rPr>
          <w:rFonts w:ascii="Calibri" w:hAnsi="Calibri"/>
        </w:rPr>
        <w:t>9.2 Duration metrics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253"/>
            <w:tcMar>
              <w:top w:w="80" w:type="dxa"/>
              <w:start w:w="120" w:type="dxa"/>
              <w:bottom w:w="80" w:type="dxa"/>
              <w:end w:w="120" w:type="dxa"/>
            </w:tcMar>
            <w:vAlign w:val="center"/>
            <w:shd w:fill="12233F"/>
          </w:tcPr>
          <w:p>
            <w:pPr>
              <w:spacing w:after="0" w:line="252" w:lineRule="auto"/>
            </w:pPr>
            <w:r>
              <w:rPr>
                <w:rFonts w:ascii="Calibri" w:hAnsi="Calibri"/>
                <w:b/>
                <w:color w:val="FFFFFF"/>
                <w:sz w:val="18"/>
              </w:rPr>
              <w:t>Metric</w:t>
            </w:r>
          </w:p>
        </w:tc>
        <w:tc>
          <w:tcPr>
            <w:tcW w:type="dxa" w:w="2786"/>
            <w:tcMar>
              <w:top w:w="80" w:type="dxa"/>
              <w:start w:w="120" w:type="dxa"/>
              <w:bottom w:w="80" w:type="dxa"/>
              <w:end w:w="120" w:type="dxa"/>
            </w:tcMar>
            <w:vAlign w:val="center"/>
            <w:shd w:fill="12233F"/>
          </w:tcPr>
          <w:p>
            <w:pPr>
              <w:spacing w:after="0" w:line="252" w:lineRule="auto"/>
            </w:pPr>
            <w:r>
              <w:rPr>
                <w:rFonts w:ascii="Calibri" w:hAnsi="Calibri"/>
                <w:b/>
                <w:color w:val="FFFFFF"/>
                <w:sz w:val="18"/>
              </w:rPr>
              <w:t>Purpose</w:t>
            </w:r>
          </w:p>
        </w:tc>
        <w:tc>
          <w:tcPr>
            <w:tcW w:type="dxa" w:w="3321"/>
            <w:tcMar>
              <w:top w:w="80" w:type="dxa"/>
              <w:start w:w="120" w:type="dxa"/>
              <w:bottom w:w="80" w:type="dxa"/>
              <w:end w:w="120" w:type="dxa"/>
            </w:tcMar>
            <w:vAlign w:val="center"/>
            <w:shd w:fill="12233F"/>
          </w:tcPr>
          <w:p>
            <w:pPr>
              <w:spacing w:after="0" w:line="252" w:lineRule="auto"/>
            </w:pPr>
            <w:r>
              <w:rPr>
                <w:rFonts w:ascii="Calibri" w:hAnsi="Calibri"/>
                <w:b/>
                <w:color w:val="FFFFFF"/>
                <w:sz w:val="18"/>
              </w:rPr>
              <w:t>Gate principle</w:t>
            </w:r>
          </w:p>
        </w:tc>
      </w:tr>
      <w:tr>
        <w:trPr>
          <w:cantSplit/>
        </w:trPr>
        <w:tc>
          <w:tcPr>
            <w:tcW w:type="dxa" w:w="3253"/>
            <w:tcMar>
              <w:top w:w="80" w:type="dxa"/>
              <w:start w:w="120" w:type="dxa"/>
              <w:bottom w:w="80" w:type="dxa"/>
              <w:end w:w="120" w:type="dxa"/>
            </w:tcMar>
            <w:vAlign w:val="center"/>
            <w:shd w:fill="EEF5FB"/>
          </w:tcPr>
          <w:p>
            <w:pPr>
              <w:spacing w:after="0" w:line="252" w:lineRule="auto"/>
            </w:pPr>
            <w:r>
              <w:rPr>
                <w:rFonts w:ascii="Calibri" w:hAnsi="Calibri"/>
                <w:color w:val="202A35"/>
                <w:sz w:val="18"/>
              </w:rPr>
              <w:t>Brier score</w:t>
            </w:r>
          </w:p>
        </w:tc>
        <w:tc>
          <w:tcPr>
            <w:tcW w:type="dxa" w:w="2786"/>
            <w:tcMar>
              <w:top w:w="80" w:type="dxa"/>
              <w:start w:w="120" w:type="dxa"/>
              <w:bottom w:w="80" w:type="dxa"/>
              <w:end w:w="120" w:type="dxa"/>
            </w:tcMar>
            <w:vAlign w:val="center"/>
            <w:shd w:fill="EEF5FB"/>
          </w:tcPr>
          <w:p>
            <w:pPr>
              <w:spacing w:after="0" w:line="252" w:lineRule="auto"/>
            </w:pPr>
            <w:r>
              <w:rPr>
                <w:rFonts w:ascii="Calibri" w:hAnsi="Calibri"/>
                <w:color w:val="202A35"/>
                <w:sz w:val="18"/>
              </w:rPr>
              <w:t>Probability accuracy</w:t>
            </w:r>
          </w:p>
        </w:tc>
        <w:tc>
          <w:tcPr>
            <w:tcW w:type="dxa" w:w="3321"/>
            <w:tcMar>
              <w:top w:w="80" w:type="dxa"/>
              <w:start w:w="120" w:type="dxa"/>
              <w:bottom w:w="80" w:type="dxa"/>
              <w:end w:w="120" w:type="dxa"/>
            </w:tcMar>
            <w:vAlign w:val="center"/>
            <w:shd w:fill="EEF5FB"/>
          </w:tcPr>
          <w:p>
            <w:pPr>
              <w:spacing w:after="0" w:line="252" w:lineRule="auto"/>
            </w:pPr>
            <w:r>
              <w:rPr>
                <w:rFonts w:ascii="Calibri" w:hAnsi="Calibri"/>
                <w:color w:val="202A35"/>
                <w:sz w:val="18"/>
              </w:rPr>
              <w:t>No material regression against declared baseline on line-matched fights</w:t>
            </w:r>
          </w:p>
        </w:tc>
      </w:tr>
      <w:tr>
        <w:trPr>
          <w:cantSplit/>
        </w:trPr>
        <w:tc>
          <w:tcPr>
            <w:tcW w:type="dxa" w:w="3253"/>
            <w:tcMar>
              <w:top w:w="80" w:type="dxa"/>
              <w:start w:w="120" w:type="dxa"/>
              <w:bottom w:w="80" w:type="dxa"/>
              <w:end w:w="120" w:type="dxa"/>
            </w:tcMar>
            <w:vAlign w:val="center"/>
            <w:shd w:fill="FFFFFF"/>
          </w:tcPr>
          <w:p>
            <w:pPr>
              <w:spacing w:after="0" w:line="252" w:lineRule="auto"/>
            </w:pPr>
            <w:r>
              <w:rPr>
                <w:rFonts w:ascii="Calibri" w:hAnsi="Calibri"/>
                <w:color w:val="202A35"/>
                <w:sz w:val="18"/>
              </w:rPr>
              <w:t>Log loss</w:t>
            </w:r>
          </w:p>
        </w:tc>
        <w:tc>
          <w:tcPr>
            <w:tcW w:type="dxa" w:w="2786"/>
            <w:tcMar>
              <w:top w:w="80" w:type="dxa"/>
              <w:start w:w="120" w:type="dxa"/>
              <w:bottom w:w="80" w:type="dxa"/>
              <w:end w:w="120" w:type="dxa"/>
            </w:tcMar>
            <w:vAlign w:val="center"/>
            <w:shd w:fill="FFFFFF"/>
          </w:tcPr>
          <w:p>
            <w:pPr>
              <w:spacing w:after="0" w:line="252" w:lineRule="auto"/>
            </w:pPr>
            <w:r>
              <w:rPr>
                <w:rFonts w:ascii="Calibri" w:hAnsi="Calibri"/>
                <w:color w:val="202A35"/>
                <w:sz w:val="18"/>
              </w:rPr>
              <w:t>Penalizes confident errors</w:t>
            </w:r>
          </w:p>
        </w:tc>
        <w:tc>
          <w:tcPr>
            <w:tcW w:type="dxa" w:w="3321"/>
            <w:tcMar>
              <w:top w:w="80" w:type="dxa"/>
              <w:start w:w="120" w:type="dxa"/>
              <w:bottom w:w="80" w:type="dxa"/>
              <w:end w:w="120" w:type="dxa"/>
            </w:tcMar>
            <w:vAlign w:val="center"/>
            <w:shd w:fill="FFFFFF"/>
          </w:tcPr>
          <w:p>
            <w:pPr>
              <w:spacing w:after="0" w:line="252" w:lineRule="auto"/>
            </w:pPr>
            <w:r>
              <w:rPr>
                <w:rFonts w:ascii="Calibri" w:hAnsi="Calibri"/>
                <w:color w:val="202A35"/>
                <w:sz w:val="18"/>
              </w:rPr>
              <w:t>Primary paired comparison when probabilities are the product</w:t>
            </w:r>
          </w:p>
        </w:tc>
      </w:tr>
      <w:tr>
        <w:trPr>
          <w:cantSplit/>
        </w:trPr>
        <w:tc>
          <w:tcPr>
            <w:tcW w:type="dxa" w:w="3253"/>
            <w:tcMar>
              <w:top w:w="80" w:type="dxa"/>
              <w:start w:w="120" w:type="dxa"/>
              <w:bottom w:w="80" w:type="dxa"/>
              <w:end w:w="120" w:type="dxa"/>
            </w:tcMar>
            <w:vAlign w:val="center"/>
            <w:shd w:fill="EEF5FB"/>
          </w:tcPr>
          <w:p>
            <w:pPr>
              <w:spacing w:after="0" w:line="252" w:lineRule="auto"/>
            </w:pPr>
            <w:r>
              <w:rPr>
                <w:rFonts w:ascii="Calibri" w:hAnsi="Calibri"/>
                <w:color w:val="202A35"/>
                <w:sz w:val="18"/>
              </w:rPr>
              <w:t>Calibration curve/intercept/slope</w:t>
            </w:r>
          </w:p>
        </w:tc>
        <w:tc>
          <w:tcPr>
            <w:tcW w:type="dxa" w:w="2786"/>
            <w:tcMar>
              <w:top w:w="80" w:type="dxa"/>
              <w:start w:w="120" w:type="dxa"/>
              <w:bottom w:w="80" w:type="dxa"/>
              <w:end w:w="120" w:type="dxa"/>
            </w:tcMar>
            <w:vAlign w:val="center"/>
            <w:shd w:fill="EEF5FB"/>
          </w:tcPr>
          <w:p>
            <w:pPr>
              <w:spacing w:after="0" w:line="252" w:lineRule="auto"/>
            </w:pPr>
            <w:r>
              <w:rPr>
                <w:rFonts w:ascii="Calibri" w:hAnsi="Calibri"/>
                <w:color w:val="202A35"/>
                <w:sz w:val="18"/>
              </w:rPr>
              <w:t>Reliability</w:t>
            </w:r>
          </w:p>
        </w:tc>
        <w:tc>
          <w:tcPr>
            <w:tcW w:type="dxa" w:w="3321"/>
            <w:tcMar>
              <w:top w:w="80" w:type="dxa"/>
              <w:start w:w="120" w:type="dxa"/>
              <w:bottom w:w="80" w:type="dxa"/>
              <w:end w:w="120" w:type="dxa"/>
            </w:tcMar>
            <w:vAlign w:val="center"/>
            <w:shd w:fill="EEF5FB"/>
          </w:tcPr>
          <w:p>
            <w:pPr>
              <w:spacing w:after="0" w:line="252" w:lineRule="auto"/>
            </w:pPr>
            <w:r>
              <w:rPr>
                <w:rFonts w:ascii="Calibri" w:hAnsi="Calibri"/>
                <w:color w:val="202A35"/>
                <w:sz w:val="18"/>
              </w:rPr>
              <w:t>No systematic overconfidence; inspect 3- and 5-round subgroups</w:t>
            </w:r>
          </w:p>
        </w:tc>
      </w:tr>
      <w:tr>
        <w:trPr>
          <w:cantSplit/>
        </w:trPr>
        <w:tc>
          <w:tcPr>
            <w:tcW w:type="dxa" w:w="3253"/>
            <w:tcMar>
              <w:top w:w="80" w:type="dxa"/>
              <w:start w:w="120" w:type="dxa"/>
              <w:bottom w:w="80" w:type="dxa"/>
              <w:end w:w="120" w:type="dxa"/>
            </w:tcMar>
            <w:vAlign w:val="center"/>
            <w:shd w:fill="FFFFFF"/>
          </w:tcPr>
          <w:p>
            <w:pPr>
              <w:spacing w:after="0" w:line="252" w:lineRule="auto"/>
            </w:pPr>
            <w:r>
              <w:rPr>
                <w:rFonts w:ascii="Calibri" w:hAnsi="Calibri"/>
                <w:color w:val="202A35"/>
                <w:sz w:val="18"/>
              </w:rPr>
              <w:t>ROC AUC</w:t>
            </w:r>
          </w:p>
        </w:tc>
        <w:tc>
          <w:tcPr>
            <w:tcW w:type="dxa" w:w="2786"/>
            <w:tcMar>
              <w:top w:w="80" w:type="dxa"/>
              <w:start w:w="120" w:type="dxa"/>
              <w:bottom w:w="80" w:type="dxa"/>
              <w:end w:w="120" w:type="dxa"/>
            </w:tcMar>
            <w:vAlign w:val="center"/>
            <w:shd w:fill="FFFFFF"/>
          </w:tcPr>
          <w:p>
            <w:pPr>
              <w:spacing w:after="0" w:line="252" w:lineRule="auto"/>
            </w:pPr>
            <w:r>
              <w:rPr>
                <w:rFonts w:ascii="Calibri" w:hAnsi="Calibri"/>
                <w:color w:val="202A35"/>
                <w:sz w:val="18"/>
              </w:rPr>
              <w:t>Ranking</w:t>
            </w:r>
          </w:p>
        </w:tc>
        <w:tc>
          <w:tcPr>
            <w:tcW w:type="dxa" w:w="3321"/>
            <w:tcMar>
              <w:top w:w="80" w:type="dxa"/>
              <w:start w:w="120" w:type="dxa"/>
              <w:bottom w:w="80" w:type="dxa"/>
              <w:end w:w="120" w:type="dxa"/>
            </w:tcMar>
            <w:vAlign w:val="center"/>
            <w:shd w:fill="FFFFFF"/>
          </w:tcPr>
          <w:p>
            <w:pPr>
              <w:spacing w:after="0" w:line="252" w:lineRule="auto"/>
            </w:pPr>
            <w:r>
              <w:rPr>
                <w:rFonts w:ascii="Calibri" w:hAnsi="Calibri"/>
                <w:color w:val="202A35"/>
                <w:sz w:val="18"/>
              </w:rPr>
              <w:t>Secondary only; good AUC cannot rescue poor calibration</w:t>
            </w:r>
          </w:p>
        </w:tc>
      </w:tr>
      <w:tr>
        <w:trPr>
          <w:cantSplit/>
        </w:trPr>
        <w:tc>
          <w:tcPr>
            <w:tcW w:type="dxa" w:w="3253"/>
            <w:tcMar>
              <w:top w:w="80" w:type="dxa"/>
              <w:start w:w="120" w:type="dxa"/>
              <w:bottom w:w="80" w:type="dxa"/>
              <w:end w:w="120" w:type="dxa"/>
            </w:tcMar>
            <w:vAlign w:val="center"/>
            <w:shd w:fill="EEF5FB"/>
          </w:tcPr>
          <w:p>
            <w:pPr>
              <w:spacing w:after="0" w:line="252" w:lineRule="auto"/>
            </w:pPr>
            <w:r>
              <w:rPr>
                <w:rFonts w:ascii="Calibri" w:hAnsi="Calibri"/>
                <w:color w:val="202A35"/>
                <w:sz w:val="18"/>
              </w:rPr>
              <w:t>Coverage</w:t>
            </w:r>
          </w:p>
        </w:tc>
        <w:tc>
          <w:tcPr>
            <w:tcW w:type="dxa" w:w="2786"/>
            <w:tcMar>
              <w:top w:w="80" w:type="dxa"/>
              <w:start w:w="120" w:type="dxa"/>
              <w:bottom w:w="80" w:type="dxa"/>
              <w:end w:w="120" w:type="dxa"/>
            </w:tcMar>
            <w:vAlign w:val="center"/>
            <w:shd w:fill="EEF5FB"/>
          </w:tcPr>
          <w:p>
            <w:pPr>
              <w:spacing w:after="0" w:line="252" w:lineRule="auto"/>
            </w:pPr>
            <w:r>
              <w:rPr>
                <w:rFonts w:ascii="Calibri" w:hAnsi="Calibri"/>
                <w:color w:val="202A35"/>
                <w:sz w:val="18"/>
              </w:rPr>
              <w:t>Operational usefulness</w:t>
            </w:r>
          </w:p>
        </w:tc>
        <w:tc>
          <w:tcPr>
            <w:tcW w:type="dxa" w:w="3321"/>
            <w:tcMar>
              <w:top w:w="80" w:type="dxa"/>
              <w:start w:w="120" w:type="dxa"/>
              <w:bottom w:w="80" w:type="dxa"/>
              <w:end w:w="120" w:type="dxa"/>
            </w:tcMar>
            <w:vAlign w:val="center"/>
            <w:shd w:fill="EEF5FB"/>
          </w:tcPr>
          <w:p>
            <w:pPr>
              <w:spacing w:after="0" w:line="252" w:lineRule="auto"/>
            </w:pPr>
            <w:r>
              <w:rPr>
                <w:rFonts w:ascii="Calibri" w:hAnsi="Calibri"/>
                <w:color w:val="202A35"/>
                <w:sz w:val="18"/>
              </w:rPr>
              <w:t>Report denominator and every exclusion reason</w:t>
            </w:r>
          </w:p>
        </w:tc>
      </w:tr>
      <w:tr>
        <w:trPr>
          <w:cantSplit/>
        </w:trPr>
        <w:tc>
          <w:tcPr>
            <w:tcW w:type="dxa" w:w="3253"/>
            <w:tcMar>
              <w:top w:w="80" w:type="dxa"/>
              <w:start w:w="120" w:type="dxa"/>
              <w:bottom w:w="80" w:type="dxa"/>
              <w:end w:w="120" w:type="dxa"/>
            </w:tcMar>
            <w:vAlign w:val="center"/>
            <w:shd w:fill="FFFFFF"/>
          </w:tcPr>
          <w:p>
            <w:pPr>
              <w:spacing w:after="0" w:line="252" w:lineRule="auto"/>
            </w:pPr>
            <w:r>
              <w:rPr>
                <w:rFonts w:ascii="Calibri" w:hAnsi="Calibri"/>
                <w:color w:val="202A35"/>
                <w:sz w:val="18"/>
              </w:rPr>
              <w:t>Line agreement</w:t>
            </w:r>
          </w:p>
        </w:tc>
        <w:tc>
          <w:tcPr>
            <w:tcW w:type="dxa" w:w="2786"/>
            <w:tcMar>
              <w:top w:w="80" w:type="dxa"/>
              <w:start w:w="120" w:type="dxa"/>
              <w:bottom w:w="80" w:type="dxa"/>
              <w:end w:w="120" w:type="dxa"/>
            </w:tcMar>
            <w:vAlign w:val="center"/>
            <w:shd w:fill="FFFFFF"/>
          </w:tcPr>
          <w:p>
            <w:pPr>
              <w:spacing w:after="0" w:line="252" w:lineRule="auto"/>
            </w:pPr>
            <w:r>
              <w:rPr>
                <w:rFonts w:ascii="Calibri" w:hAnsi="Calibri"/>
                <w:color w:val="202A35"/>
                <w:sz w:val="18"/>
              </w:rPr>
              <w:t>Contract integrity</w:t>
            </w:r>
          </w:p>
        </w:tc>
        <w:tc>
          <w:tcPr>
            <w:tcW w:type="dxa" w:w="3321"/>
            <w:tcMar>
              <w:top w:w="80" w:type="dxa"/>
              <w:start w:w="120" w:type="dxa"/>
              <w:bottom w:w="80" w:type="dxa"/>
              <w:end w:w="120" w:type="dxa"/>
            </w:tcMar>
            <w:vAlign w:val="center"/>
            <w:shd w:fill="FFFFFF"/>
          </w:tcPr>
          <w:p>
            <w:pPr>
              <w:spacing w:after="0" w:line="252" w:lineRule="auto"/>
            </w:pPr>
            <w:r>
              <w:rPr>
                <w:rFonts w:ascii="Calibri" w:hAnsi="Calibri"/>
                <w:color w:val="202A35"/>
                <w:sz w:val="18"/>
              </w:rPr>
              <w:t>100% of scored comparisons use exactly matching model and market lines</w:t>
            </w:r>
          </w:p>
        </w:tc>
      </w:tr>
      <w:tr>
        <w:trPr>
          <w:cantSplit/>
        </w:trPr>
        <w:tc>
          <w:tcPr>
            <w:tcW w:type="dxa" w:w="3253"/>
            <w:tcMar>
              <w:top w:w="80" w:type="dxa"/>
              <w:start w:w="120" w:type="dxa"/>
              <w:bottom w:w="80" w:type="dxa"/>
              <w:end w:w="120" w:type="dxa"/>
            </w:tcMar>
            <w:vAlign w:val="center"/>
            <w:shd w:fill="EEF5FB"/>
          </w:tcPr>
          <w:p>
            <w:pPr>
              <w:spacing w:after="0" w:line="252" w:lineRule="auto"/>
            </w:pPr>
            <w:r>
              <w:rPr>
                <w:rFonts w:ascii="Calibri" w:hAnsi="Calibri"/>
                <w:color w:val="202A35"/>
                <w:sz w:val="18"/>
              </w:rPr>
              <w:t>Prospective result</w:t>
            </w:r>
          </w:p>
        </w:tc>
        <w:tc>
          <w:tcPr>
            <w:tcW w:type="dxa" w:w="2786"/>
            <w:tcMar>
              <w:top w:w="80" w:type="dxa"/>
              <w:start w:w="120" w:type="dxa"/>
              <w:bottom w:w="80" w:type="dxa"/>
              <w:end w:w="120" w:type="dxa"/>
            </w:tcMar>
            <w:vAlign w:val="center"/>
            <w:shd w:fill="EEF5FB"/>
          </w:tcPr>
          <w:p>
            <w:pPr>
              <w:spacing w:after="0" w:line="252" w:lineRule="auto"/>
            </w:pPr>
            <w:r>
              <w:rPr>
                <w:rFonts w:ascii="Calibri" w:hAnsi="Calibri"/>
                <w:color w:val="202A35"/>
                <w:sz w:val="18"/>
              </w:rPr>
              <w:t>Real-world stability</w:t>
            </w:r>
          </w:p>
        </w:tc>
        <w:tc>
          <w:tcPr>
            <w:tcW w:type="dxa" w:w="3321"/>
            <w:tcMar>
              <w:top w:w="80" w:type="dxa"/>
              <w:start w:w="120" w:type="dxa"/>
              <w:bottom w:w="80" w:type="dxa"/>
              <w:end w:w="120" w:type="dxa"/>
            </w:tcMar>
            <w:vAlign w:val="center"/>
            <w:shd w:fill="EEF5FB"/>
          </w:tcPr>
          <w:p>
            <w:pPr>
              <w:spacing w:after="0" w:line="252" w:lineRule="auto"/>
            </w:pPr>
            <w:r>
              <w:rPr>
                <w:rFonts w:ascii="Calibri" w:hAnsi="Calibri"/>
                <w:color w:val="202A35"/>
                <w:sz w:val="18"/>
              </w:rPr>
              <w:t>Only immutable pre-fight snapshots count</w:t>
            </w:r>
          </w:p>
        </w:tc>
      </w:tr>
    </w:tbl>
    <w:p>
      <w:pPr>
        <w:spacing w:after="0"/>
      </w:pPr>
    </w:p>
    <w:p>
      <w:r>
        <w:rPr>
          <w:rFonts w:ascii="Calibri" w:hAnsi="Calibri"/>
        </w:rPr>
        <w:t>Existing winner-model values in Section 2 are comparison baselines for winner work, not duration acceptance thresholds.</w:t>
      </w:r>
    </w:p>
    <w:p>
      <w:pPr>
        <w:pStyle w:val="Heading2"/>
      </w:pPr>
      <w:r>
        <w:rPr>
          <w:rFonts w:ascii="Calibri" w:hAnsi="Calibri"/>
        </w:rPr>
        <w:t>9.3 Proposed promotion rule</w:t>
      </w:r>
    </w:p>
    <w:p>
      <w:r>
        <w:rPr>
          <w:rFonts w:ascii="Calibri" w:hAnsi="Calibri"/>
        </w:rPr>
        <w:t>Use paired bootstrap confidence intervals on identical fights. Promote a duration candidate only if it improves or is statistically compatible with the simpler baseline on the primary proper-scoring rule, does not materially degrade calibration or key subgroups, and adds enough coverage/maintainability value to justify complexity. Define “material” before the final test after a pilot power calculation; do not invent a favorable threshold after viewing results.</w:t>
      </w:r>
    </w:p>
    <w:p>
      <w:r>
        <w:rPr>
          <w:rFonts w:ascii="Calibri" w:hAnsi="Calibri"/>
        </w:rPr>
        <w:t>For the UI, separate technical promotion from stronger product language. A model can be technically sound enough to display as context before it is proven to identify market value.</w:t>
      </w:r>
    </w:p>
    <w:p>
      <w:pPr>
        <w:pStyle w:val="Heading1"/>
      </w:pPr>
      <w:r>
        <w:rPr>
          <w:rFonts w:ascii="Calibri" w:hAnsi="Calibri"/>
        </w:rPr>
        <w:t>10. Risk and concern register</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1872"/>
        <w:gridCol w:w="1872"/>
        <w:gridCol w:w="1872"/>
        <w:gridCol w:w="1872"/>
        <w:gridCol w:w="1872"/>
      </w:tblGrid>
      <w:tr>
        <w:trPr>
          <w:cantSplit/>
          <w:tblHeader w:val="true"/>
        </w:trPr>
        <w:tc>
          <w:tcPr>
            <w:tcW w:type="dxa" w:w="1328"/>
            <w:tcMar>
              <w:top w:w="80" w:type="dxa"/>
              <w:start w:w="120" w:type="dxa"/>
              <w:bottom w:w="80" w:type="dxa"/>
              <w:end w:w="120" w:type="dxa"/>
            </w:tcMar>
            <w:vAlign w:val="center"/>
            <w:shd w:fill="12233F"/>
          </w:tcPr>
          <w:p>
            <w:pPr>
              <w:spacing w:after="0" w:line="252" w:lineRule="auto"/>
            </w:pPr>
            <w:r>
              <w:rPr>
                <w:rFonts w:ascii="Calibri" w:hAnsi="Calibri"/>
                <w:b/>
                <w:color w:val="FFFFFF"/>
                <w:sz w:val="17"/>
              </w:rPr>
              <w:t>ID</w:t>
            </w:r>
          </w:p>
        </w:tc>
        <w:tc>
          <w:tcPr>
            <w:tcW w:type="dxa" w:w="1328"/>
            <w:tcMar>
              <w:top w:w="80" w:type="dxa"/>
              <w:start w:w="120" w:type="dxa"/>
              <w:bottom w:w="80" w:type="dxa"/>
              <w:end w:w="120" w:type="dxa"/>
            </w:tcMar>
            <w:vAlign w:val="center"/>
            <w:shd w:fill="12233F"/>
          </w:tcPr>
          <w:p>
            <w:pPr>
              <w:spacing w:after="0" w:line="252" w:lineRule="auto"/>
            </w:pPr>
            <w:r>
              <w:rPr>
                <w:rFonts w:ascii="Calibri" w:hAnsi="Calibri"/>
                <w:b/>
                <w:color w:val="FFFFFF"/>
                <w:sz w:val="17"/>
              </w:rPr>
              <w:t>Severity</w:t>
            </w:r>
          </w:p>
        </w:tc>
        <w:tc>
          <w:tcPr>
            <w:tcW w:type="dxa" w:w="2234"/>
            <w:tcMar>
              <w:top w:w="80" w:type="dxa"/>
              <w:start w:w="120" w:type="dxa"/>
              <w:bottom w:w="80" w:type="dxa"/>
              <w:end w:w="120" w:type="dxa"/>
            </w:tcMar>
            <w:vAlign w:val="center"/>
            <w:shd w:fill="12233F"/>
          </w:tcPr>
          <w:p>
            <w:pPr>
              <w:spacing w:after="0" w:line="252" w:lineRule="auto"/>
            </w:pPr>
            <w:r>
              <w:rPr>
                <w:rFonts w:ascii="Calibri" w:hAnsi="Calibri"/>
                <w:b/>
                <w:color w:val="FFFFFF"/>
                <w:sz w:val="17"/>
              </w:rPr>
              <w:t>Concern</w:t>
            </w:r>
          </w:p>
        </w:tc>
        <w:tc>
          <w:tcPr>
            <w:tcW w:type="dxa" w:w="2234"/>
            <w:tcMar>
              <w:top w:w="80" w:type="dxa"/>
              <w:start w:w="120" w:type="dxa"/>
              <w:bottom w:w="80" w:type="dxa"/>
              <w:end w:w="120" w:type="dxa"/>
            </w:tcMar>
            <w:vAlign w:val="center"/>
            <w:shd w:fill="12233F"/>
          </w:tcPr>
          <w:p>
            <w:pPr>
              <w:spacing w:after="0" w:line="252" w:lineRule="auto"/>
            </w:pPr>
            <w:r>
              <w:rPr>
                <w:rFonts w:ascii="Calibri" w:hAnsi="Calibri"/>
                <w:b/>
                <w:color w:val="FFFFFF"/>
                <w:sz w:val="17"/>
              </w:rPr>
              <w:t>Likely impact</w:t>
            </w:r>
          </w:p>
        </w:tc>
        <w:tc>
          <w:tcPr>
            <w:tcW w:type="dxa" w:w="2236"/>
            <w:tcMar>
              <w:top w:w="80" w:type="dxa"/>
              <w:start w:w="120" w:type="dxa"/>
              <w:bottom w:w="80" w:type="dxa"/>
              <w:end w:w="120" w:type="dxa"/>
            </w:tcMar>
            <w:vAlign w:val="center"/>
            <w:shd w:fill="12233F"/>
          </w:tcPr>
          <w:p>
            <w:pPr>
              <w:spacing w:after="0" w:line="252" w:lineRule="auto"/>
            </w:pPr>
            <w:r>
              <w:rPr>
                <w:rFonts w:ascii="Calibri" w:hAnsi="Calibri"/>
                <w:b/>
                <w:color w:val="FFFFFF"/>
                <w:sz w:val="17"/>
              </w:rPr>
              <w:t>Mitigation / decision</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Critical</w:t>
            </w:r>
          </w:p>
        </w:tc>
        <w:tc>
          <w:tcPr>
            <w:tcW w:type="dxa" w:w="2234"/>
            <w:tcMar>
              <w:top w:w="80" w:type="dxa"/>
              <w:start w:w="120" w:type="dxa"/>
              <w:bottom w:w="80" w:type="dxa"/>
              <w:end w:w="120" w:type="dxa"/>
            </w:tcMar>
            <w:vAlign w:val="center"/>
            <w:shd w:fill="EEF5FB"/>
          </w:tcPr>
          <w:p>
            <w:pPr>
              <w:spacing w:after="0" w:line="252" w:lineRule="auto"/>
            </w:pPr>
            <w:r>
              <w:rPr>
                <w:rFonts w:ascii="Consolas" w:hAnsi="Consolas"/>
                <w:color w:val="202A35"/>
                <w:sz w:val="17"/>
              </w:rPr>
              <w:t>Model distance</w:t>
            </w:r>
            <w:r>
              <w:rPr>
                <w:rFonts w:ascii="Calibri" w:hAnsi="Calibri"/>
                <w:color w:val="202A35"/>
                <w:sz w:val="17"/>
              </w:rPr>
              <w:t xml:space="preserve"> answers </w:t>
            </w:r>
            <w:r>
              <w:rPr>
                <w:rFonts w:ascii="Consolas" w:hAnsi="Consolas"/>
                <w:color w:val="202A35"/>
                <w:sz w:val="17"/>
              </w:rPr>
              <w:t>P(Decision)</w:t>
            </w:r>
            <w:r>
              <w:rPr>
                <w:rFonts w:ascii="Calibri" w:hAnsi="Calibri"/>
                <w:color w:val="202A35"/>
                <w:sz w:val="17"/>
              </w:rPr>
              <w:t xml:space="preserve">, not </w:t>
            </w:r>
            <w:r>
              <w:rPr>
                <w:rFonts w:ascii="Consolas" w:hAnsi="Consolas"/>
                <w:color w:val="202A35"/>
                <w:sz w:val="17"/>
              </w:rPr>
              <w:t>P(Over line)</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Misleading market comparison and false edge interpretation</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Separate concepts; dedicated duration target; migrate API/UI labels</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R2</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Critical</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Current totals coverage is 0 of 58 rows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Feature can appear implemented while providing no usable comparisons</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Coverage telemetry, live-provider verification, unavailable state</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R3</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Critical</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Model artifacts and most generated data are ignored and the current winner artifact records a dirty worktree</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Irreproducible baselines and accidental artifact drift</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Immutable manifest, hashes, clean-source requirement or archived diff</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R4</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Critical</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Bundle members are replaced sequentially</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Mixed incompatible generations during requests</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Stage, validate, and atomically switch versioned generations</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R5</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Full and incremental pipelines duplicate stage lists and ordering</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A fix can update one path but not the other</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Shared declarative stage registry and parity tests</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R6</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Name normalization differs across prediction, odds, images, and ingestion</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Wrong or missing fighter joins; silent odds mismatch</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Stable fighter IDs, alias registry, confidence and review queue</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R7</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Scheduler depends on a local Windows session, DPAPI, venv, connectivity, and machine availability</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Missed daily refresh with no immediate visible failure</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Heartbeat, stale alert, post-upload check, eventual always-on runner</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R8</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Current SQLite and compatibility CSV row counts diverge</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Training, UI, and debugging can use different “current” data</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Define ownership; generate exports with timestamps/manifests</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R9</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Duration labels have bookmaker-specific boundary and void rules</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Wrong training targets and grading at exact boundaries</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One versioned settlement module with provider-specific fixtures</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R10</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Mirrored matchup rows can cross validation folds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Leakage and exaggerated model performance</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Group by canonical fight ID; assert fold isolation</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R11</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Retrospective model snapshots can be overwritten or created after outcomes</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Inflated prospective evaluation</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Immutable timestamped snapshots and idempotent settlement</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R12</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High</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Repository prose recommends interactions contradicted by recorded experiments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Repeating failed work and holdout mining</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Mark rejected result and require a new hypothesis/input</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R13</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FastAPI response dictionaries and handwritten frontend client are weak contracts</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Runtime UI breakage after API edits</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Pydantic responses, generated/validated types, real-API CI</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R14</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Market aggregation can collapse books with different totals lines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Invalid average and model-market comparison</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Retain per-book quotes; aggregate only identical lines or state method</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R15</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Odds, scorecard, or image sources may have licensing/ToS constraints</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Forced removal, blocked scraper, or legal exposure</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Source review and documented permitted use before expansion</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R16</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Sparse fighters and missing round history create unstable duration estimates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Confident-looking probabilities from thin data</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Shrinkage, sample-size features, coverage flags, subgroup calibration</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R17</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Large backend services and frontend views concentrate responsibilities</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Risky changes and slow review</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Extract duration/settlement/contract modules behind tests</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R18</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SQLite migration mechanism is minimal</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Hosted upgrade or rollback failures</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Numbered migrations and tested upgrade/downgrade policy</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R19</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Tracked generated odds JSON can leave routine working trees dirty</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Accidental commits and ambiguous provenance</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Decide fixture vs live artifact; move live copy to ignored storage</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R20</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Medium</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About 127 MB of tracked UI-review material and duplicate snapshots</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Repository bloat and confusing “current” UI evidence</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Archive/remove superseded assets and retain a curated latest set</w:t>
            </w:r>
          </w:p>
        </w:tc>
      </w:tr>
      <w:tr>
        <w:trPr>
          <w:cantSplit/>
        </w:trPr>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R21</w:t>
            </w:r>
          </w:p>
        </w:tc>
        <w:tc>
          <w:tcPr>
            <w:tcW w:type="dxa" w:w="1328"/>
            <w:tcMar>
              <w:top w:w="80" w:type="dxa"/>
              <w:start w:w="120" w:type="dxa"/>
              <w:bottom w:w="80" w:type="dxa"/>
              <w:end w:w="120" w:type="dxa"/>
            </w:tcMar>
            <w:vAlign w:val="center"/>
            <w:shd w:fill="EEF5FB"/>
          </w:tcPr>
          <w:p>
            <w:pPr>
              <w:spacing w:after="0" w:line="252" w:lineRule="auto"/>
            </w:pPr>
            <w:r>
              <w:rPr>
                <w:rFonts w:ascii="Calibri" w:hAnsi="Calibri"/>
                <w:color w:val="202A35"/>
                <w:sz w:val="17"/>
              </w:rPr>
              <w:t>Low</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Three.js chunk exceeds the default size warning</w:t>
            </w:r>
          </w:p>
        </w:tc>
        <w:tc>
          <w:tcPr>
            <w:tcW w:type="dxa" w:w="2234"/>
            <w:tcMar>
              <w:top w:w="80" w:type="dxa"/>
              <w:start w:w="120" w:type="dxa"/>
              <w:bottom w:w="80" w:type="dxa"/>
              <w:end w:w="120" w:type="dxa"/>
            </w:tcMar>
            <w:vAlign w:val="center"/>
            <w:shd w:fill="EEF5FB"/>
          </w:tcPr>
          <w:p>
            <w:pPr>
              <w:spacing w:after="0" w:line="252" w:lineRule="auto"/>
            </w:pPr>
            <w:r>
              <w:rPr>
                <w:rFonts w:ascii="Calibri" w:hAnsi="Calibri"/>
                <w:color w:val="202A35"/>
                <w:sz w:val="17"/>
              </w:rPr>
              <w:t>Slower first load when scene is opened</w:t>
            </w:r>
          </w:p>
        </w:tc>
        <w:tc>
          <w:tcPr>
            <w:tcW w:type="dxa" w:w="2236"/>
            <w:tcMar>
              <w:top w:w="80" w:type="dxa"/>
              <w:start w:w="120" w:type="dxa"/>
              <w:bottom w:w="80" w:type="dxa"/>
              <w:end w:w="120" w:type="dxa"/>
            </w:tcMar>
            <w:vAlign w:val="center"/>
            <w:shd w:fill="EEF5FB"/>
          </w:tcPr>
          <w:p>
            <w:pPr>
              <w:spacing w:after="0" w:line="252" w:lineRule="auto"/>
            </w:pPr>
            <w:r>
              <w:rPr>
                <w:rFonts w:ascii="Calibri" w:hAnsi="Calibri"/>
                <w:color w:val="202A35"/>
                <w:sz w:val="17"/>
              </w:rPr>
              <w:t>Profile, split dependencies/assets, set a measured budget</w:t>
            </w:r>
          </w:p>
        </w:tc>
      </w:tr>
      <w:tr>
        <w:trPr>
          <w:cantSplit/>
        </w:trPr>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R22</w:t>
            </w:r>
          </w:p>
        </w:tc>
        <w:tc>
          <w:tcPr>
            <w:tcW w:type="dxa" w:w="1328"/>
            <w:tcMar>
              <w:top w:w="80" w:type="dxa"/>
              <w:start w:w="120" w:type="dxa"/>
              <w:bottom w:w="80" w:type="dxa"/>
              <w:end w:w="120" w:type="dxa"/>
            </w:tcMar>
            <w:vAlign w:val="center"/>
            <w:shd w:fill="FFFFFF"/>
          </w:tcPr>
          <w:p>
            <w:pPr>
              <w:spacing w:after="0" w:line="252" w:lineRule="auto"/>
            </w:pPr>
            <w:r>
              <w:rPr>
                <w:rFonts w:ascii="Calibri" w:hAnsi="Calibri"/>
                <w:color w:val="202A35"/>
                <w:sz w:val="17"/>
              </w:rPr>
              <w:t>Low</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Deprecated FastAPI startup hook and pandas fragmentation warning</w:t>
            </w:r>
          </w:p>
        </w:tc>
        <w:tc>
          <w:tcPr>
            <w:tcW w:type="dxa" w:w="2234"/>
            <w:tcMar>
              <w:top w:w="80" w:type="dxa"/>
              <w:start w:w="120" w:type="dxa"/>
              <w:bottom w:w="80" w:type="dxa"/>
              <w:end w:w="120" w:type="dxa"/>
            </w:tcMar>
            <w:vAlign w:val="center"/>
            <w:shd w:fill="FFFFFF"/>
          </w:tcPr>
          <w:p>
            <w:pPr>
              <w:spacing w:after="0" w:line="252" w:lineRule="auto"/>
            </w:pPr>
            <w:r>
              <w:rPr>
                <w:rFonts w:ascii="Calibri" w:hAnsi="Calibri"/>
                <w:color w:val="202A35"/>
                <w:sz w:val="17"/>
              </w:rPr>
              <w:t>Future framework break and avoidable performance cost</w:t>
            </w:r>
          </w:p>
        </w:tc>
        <w:tc>
          <w:tcPr>
            <w:tcW w:type="dxa" w:w="2236"/>
            <w:tcMar>
              <w:top w:w="80" w:type="dxa"/>
              <w:start w:w="120" w:type="dxa"/>
              <w:bottom w:w="80" w:type="dxa"/>
              <w:end w:w="120" w:type="dxa"/>
            </w:tcMar>
            <w:vAlign w:val="center"/>
            <w:shd w:fill="FFFFFF"/>
          </w:tcPr>
          <w:p>
            <w:pPr>
              <w:spacing w:after="0" w:line="252" w:lineRule="auto"/>
            </w:pPr>
            <w:r>
              <w:rPr>
                <w:rFonts w:ascii="Calibri" w:hAnsi="Calibri"/>
                <w:color w:val="202A35"/>
                <w:sz w:val="17"/>
              </w:rPr>
              <w:t>Move to lifespan API; assemble feature columns in batches</w:t>
            </w:r>
          </w:p>
        </w:tc>
      </w:tr>
    </w:tbl>
    <w:p>
      <w:pPr>
        <w:spacing w:after="0"/>
      </w:pPr>
    </w:p>
    <w:p>
      <w:pPr>
        <w:pStyle w:val="Heading1"/>
      </w:pPr>
      <w:r>
        <w:rPr>
          <w:rFonts w:ascii="Calibri" w:hAnsi="Calibri"/>
        </w:rPr>
        <w:t>11. Dependencies, sequencing, and rollback</w:t>
      </w:r>
    </w:p>
    <w:p>
      <w:pPr>
        <w:pStyle w:val="Heading2"/>
      </w:pPr>
      <w:r>
        <w:rPr>
          <w:rFonts w:ascii="Calibri" w:hAnsi="Calibri"/>
        </w:rPr>
        <w:t>11.1 Dependency matrix</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2222"/>
            <w:tcMar>
              <w:top w:w="80" w:type="dxa"/>
              <w:start w:w="120" w:type="dxa"/>
              <w:bottom w:w="80" w:type="dxa"/>
              <w:end w:w="120" w:type="dxa"/>
            </w:tcMar>
            <w:vAlign w:val="center"/>
            <w:shd w:fill="12233F"/>
          </w:tcPr>
          <w:p>
            <w:pPr>
              <w:spacing w:after="0" w:line="252" w:lineRule="auto"/>
            </w:pPr>
            <w:r>
              <w:rPr>
                <w:rFonts w:ascii="Calibri" w:hAnsi="Calibri"/>
                <w:b/>
                <w:color w:val="FFFFFF"/>
                <w:sz w:val="18"/>
              </w:rPr>
              <w:t>Workstream</w:t>
            </w:r>
          </w:p>
        </w:tc>
        <w:tc>
          <w:tcPr>
            <w:tcW w:type="dxa" w:w="2379"/>
            <w:tcMar>
              <w:top w:w="80" w:type="dxa"/>
              <w:start w:w="120" w:type="dxa"/>
              <w:bottom w:w="80" w:type="dxa"/>
              <w:end w:w="120" w:type="dxa"/>
            </w:tcMar>
            <w:vAlign w:val="center"/>
            <w:shd w:fill="12233F"/>
          </w:tcPr>
          <w:p>
            <w:pPr>
              <w:spacing w:after="0" w:line="252" w:lineRule="auto"/>
            </w:pPr>
            <w:r>
              <w:rPr>
                <w:rFonts w:ascii="Calibri" w:hAnsi="Calibri"/>
                <w:b/>
                <w:color w:val="FFFFFF"/>
                <w:sz w:val="18"/>
              </w:rPr>
              <w:t>Must precede it</w:t>
            </w:r>
          </w:p>
        </w:tc>
        <w:tc>
          <w:tcPr>
            <w:tcW w:type="dxa" w:w="2379"/>
            <w:tcMar>
              <w:top w:w="80" w:type="dxa"/>
              <w:start w:w="120" w:type="dxa"/>
              <w:bottom w:w="80" w:type="dxa"/>
              <w:end w:w="120" w:type="dxa"/>
            </w:tcMar>
            <w:vAlign w:val="center"/>
            <w:shd w:fill="12233F"/>
          </w:tcPr>
          <w:p>
            <w:pPr>
              <w:spacing w:after="0" w:line="252" w:lineRule="auto"/>
            </w:pPr>
            <w:r>
              <w:rPr>
                <w:rFonts w:ascii="Calibri" w:hAnsi="Calibri"/>
                <w:b/>
                <w:color w:val="FFFFFF"/>
                <w:sz w:val="18"/>
              </w:rPr>
              <w:t>Downstream unlocks</w:t>
            </w:r>
          </w:p>
        </w:tc>
        <w:tc>
          <w:tcPr>
            <w:tcW w:type="dxa" w:w="2380"/>
            <w:tcMar>
              <w:top w:w="80" w:type="dxa"/>
              <w:start w:w="120" w:type="dxa"/>
              <w:bottom w:w="80" w:type="dxa"/>
              <w:end w:w="120" w:type="dxa"/>
            </w:tcMar>
            <w:vAlign w:val="center"/>
            <w:shd w:fill="12233F"/>
          </w:tcPr>
          <w:p>
            <w:pPr>
              <w:spacing w:after="0" w:line="252" w:lineRule="auto"/>
            </w:pPr>
            <w:r>
              <w:rPr>
                <w:rFonts w:ascii="Calibri" w:hAnsi="Calibri"/>
                <w:b/>
                <w:color w:val="FFFFFF"/>
                <w:sz w:val="18"/>
              </w:rPr>
              <w:t>Rollback unit</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Manifest and clean baseline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None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Trustworthy experiments and deploys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Previous artifact generation</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Shared pipeline/refresh status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Manifest recommended</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Reliable data and prospective tracking</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Legacy runner plus status fields ignored</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Canonical identity</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Schema/migration plan</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Odds, images, cross-source research</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Alias resolver compatibility mode</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Totals ingestion</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Identity and coverage telemetry</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Duration market comparison</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Hide totals fields; retain moneyline</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Duration dataset/model</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Clean baseline; settlement rules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Shadow duration service</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Disable duration registry entry</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Snapshot settlement</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Duration API contract; DB migration</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Prospective evaluation</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Preserve rows, stop new writes</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Public UI</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Shadow lifecycle and tests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User-facing model comparison</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Feature flag or response omission</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Edge language</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Prospective sample and review</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Stronger product positioning</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Return to neutral comparison wording</w:t>
            </w:r>
          </w:p>
        </w:tc>
      </w:tr>
    </w:tbl>
    <w:p>
      <w:pPr>
        <w:spacing w:after="0"/>
      </w:pPr>
    </w:p>
    <w:p>
      <w:pPr>
        <w:pStyle w:val="Heading2"/>
      </w:pPr>
      <w:r>
        <w:rPr>
          <w:rFonts w:ascii="Calibri" w:hAnsi="Calibri"/>
        </w:rPr>
        <w:t>11.2 Suggested working increments</w:t>
      </w:r>
    </w:p>
    <w:p>
      <w:pPr>
        <w:pStyle w:val="ListNumber"/>
        <w:numPr>
          <w:ilvl w:val="0"/>
          <w:numId w:val="16"/>
        </w:numPr>
      </w:pPr>
      <w:r>
        <w:rPr>
          <w:rFonts w:ascii="Calibri" w:hAnsi="Calibri"/>
        </w:rPr>
        <w:t xml:space="preserve">One pull request: manifest, source-state capture, </w:t>
      </w:r>
      <w:r>
        <w:rPr>
          <w:rFonts w:ascii="Consolas" w:hAnsi="Consolas"/>
          <w:color w:val="2E74B5"/>
          <w:sz w:val="19"/>
        </w:rPr>
        <w:t>/health</w:t>
      </w:r>
      <w:r>
        <w:rPr>
          <w:rFonts w:ascii="Calibri" w:hAnsi="Calibri"/>
        </w:rPr>
        <w:t xml:space="preserve"> generation fields, tests.</w:t>
      </w:r>
    </w:p>
    <w:p>
      <w:pPr>
        <w:pStyle w:val="ListNumber"/>
        <w:numPr>
          <w:ilvl w:val="0"/>
          <w:numId w:val="16"/>
        </w:numPr>
      </w:pPr>
      <w:r>
        <w:rPr>
          <w:rFonts w:ascii="Calibri" w:hAnsi="Calibri"/>
        </w:rPr>
        <w:t>One pull request: shared pipeline registry and scheduler heartbeat/status UI.</w:t>
      </w:r>
    </w:p>
    <w:p>
      <w:pPr>
        <w:pStyle w:val="ListNumber"/>
        <w:numPr>
          <w:ilvl w:val="0"/>
          <w:numId w:val="16"/>
        </w:numPr>
      </w:pPr>
      <w:r>
        <w:rPr>
          <w:rFonts w:ascii="Calibri" w:hAnsi="Calibri"/>
        </w:rPr>
        <w:t>One pull request: canonical identity service adopted first by odds ingestion.</w:t>
      </w:r>
    </w:p>
    <w:p>
      <w:pPr>
        <w:pStyle w:val="ListNumber"/>
        <w:numPr>
          <w:ilvl w:val="0"/>
          <w:numId w:val="16"/>
        </w:numPr>
      </w:pPr>
      <w:r>
        <w:rPr>
          <w:rFonts w:ascii="Calibri" w:hAnsi="Calibri"/>
        </w:rPr>
        <w:t>One pull request: totals fixtures, persistence, coverage, and unavailable UI—no duration model yet.</w:t>
      </w:r>
    </w:p>
    <w:p>
      <w:pPr>
        <w:pStyle w:val="ListNumber"/>
        <w:numPr>
          <w:ilvl w:val="0"/>
          <w:numId w:val="16"/>
        </w:numPr>
      </w:pPr>
      <w:r>
        <w:rPr>
          <w:rFonts w:ascii="Calibri" w:hAnsi="Calibri"/>
        </w:rPr>
        <w:t>One experimental branch: duration labels, baselines, chronological evaluation; no serving changes.</w:t>
      </w:r>
    </w:p>
    <w:p>
      <w:pPr>
        <w:pStyle w:val="ListNumber"/>
        <w:numPr>
          <w:ilvl w:val="0"/>
          <w:numId w:val="16"/>
        </w:numPr>
      </w:pPr>
      <w:r>
        <w:rPr>
          <w:rFonts w:ascii="Calibri" w:hAnsi="Calibri"/>
        </w:rPr>
        <w:t>One pull request: selected duration artifact contract and shadow serving.</w:t>
      </w:r>
    </w:p>
    <w:p>
      <w:pPr>
        <w:pStyle w:val="ListNumber"/>
        <w:numPr>
          <w:ilvl w:val="0"/>
          <w:numId w:val="16"/>
        </w:numPr>
      </w:pPr>
      <w:r>
        <w:rPr>
          <w:rFonts w:ascii="Calibri" w:hAnsi="Calibri"/>
        </w:rPr>
        <w:t>One pull request: snapshot settlement and evaluation.</w:t>
      </w:r>
    </w:p>
    <w:p>
      <w:pPr>
        <w:pStyle w:val="ListNumber"/>
        <w:numPr>
          <w:ilvl w:val="0"/>
          <w:numId w:val="16"/>
        </w:numPr>
      </w:pPr>
      <w:r>
        <w:rPr>
          <w:rFonts w:ascii="Calibri" w:hAnsi="Calibri"/>
        </w:rPr>
        <w:t>One pull request: neutral public presentation behind a feature flag.</w:t>
      </w:r>
    </w:p>
    <w:p>
      <w:r>
        <w:rPr>
          <w:rFonts w:ascii="Calibri" w:hAnsi="Calibri"/>
        </w:rPr>
        <w:t>Small, reversible increments make it clear which change caused any data, calibration, or deployment regression.</w:t>
      </w:r>
    </w:p>
    <w:p>
      <w:pPr>
        <w:pStyle w:val="Heading2"/>
      </w:pPr>
      <w:r>
        <w:rPr>
          <w:rFonts w:ascii="Calibri" w:hAnsi="Calibri"/>
        </w:rPr>
        <w:t>11.3 Stop conditions</w:t>
      </w:r>
    </w:p>
    <w:p>
      <w:r>
        <w:rPr>
          <w:rFonts w:ascii="Calibri" w:hAnsi="Calibri"/>
        </w:rPr>
        <w:t>Pause the duration rollout when:</w:t>
      </w:r>
    </w:p>
    <w:p>
      <w:pPr>
        <w:pStyle w:val="ListBullet"/>
      </w:pPr>
      <w:r>
        <w:rPr>
          <w:rFonts w:ascii="Calibri" w:hAnsi="Calibri"/>
        </w:rPr>
        <w:t>totals cannot be obtained reliably or permissibly;</w:t>
      </w:r>
    </w:p>
    <w:p>
      <w:pPr>
        <w:pStyle w:val="ListBullet"/>
      </w:pPr>
      <w:r>
        <w:rPr>
          <w:rFonts w:ascii="Calibri" w:hAnsi="Calibri"/>
        </w:rPr>
        <w:t>settlement semantics cannot be verified for the displayed source;</w:t>
      </w:r>
    </w:p>
    <w:p>
      <w:pPr>
        <w:pStyle w:val="ListBullet"/>
      </w:pPr>
      <w:r>
        <w:rPr>
          <w:rFonts w:ascii="Calibri" w:hAnsi="Calibri"/>
        </w:rPr>
        <w:t>canonical fighter matching produces unresolved or ambiguous high-profile bouts;</w:t>
      </w:r>
    </w:p>
    <w:p>
      <w:pPr>
        <w:pStyle w:val="ListBullet"/>
      </w:pPr>
      <w:r>
        <w:rPr>
          <w:rFonts w:ascii="Calibri" w:hAnsi="Calibri"/>
        </w:rPr>
        <w:t>training and serving features cannot be shown identical;</w:t>
      </w:r>
    </w:p>
    <w:p>
      <w:pPr>
        <w:pStyle w:val="ListBullet"/>
      </w:pPr>
      <w:r>
        <w:rPr>
          <w:rFonts w:ascii="Calibri" w:hAnsi="Calibri"/>
        </w:rPr>
        <w:t>artifact provenance is incomplete;</w:t>
      </w:r>
    </w:p>
    <w:p>
      <w:pPr>
        <w:pStyle w:val="ListBullet"/>
      </w:pPr>
      <w:r>
        <w:rPr>
          <w:rFonts w:ascii="Calibri" w:hAnsi="Calibri"/>
        </w:rPr>
        <w:t>shadow results reveal calibration failure or line mismatches;</w:t>
      </w:r>
    </w:p>
    <w:p>
      <w:pPr>
        <w:pStyle w:val="ListBullet"/>
      </w:pPr>
      <w:r>
        <w:rPr>
          <w:rFonts w:ascii="Calibri" w:hAnsi="Calibri"/>
        </w:rPr>
        <w:t>deployment cannot guarantee a coherent artifact generation.</w:t>
      </w:r>
    </w:p>
    <w:p>
      <w:pPr>
        <w:pStyle w:val="Heading1"/>
      </w:pPr>
      <w:r>
        <w:rPr>
          <w:rFonts w:ascii="Calibri" w:hAnsi="Calibri"/>
        </w:rPr>
        <w:t>12. Recommended next work session</w:t>
      </w:r>
    </w:p>
    <w:p>
      <w:r>
        <w:rPr>
          <w:rFonts w:ascii="Calibri" w:hAnsi="Calibri"/>
        </w:rPr>
        <w:t>The best next work is a short P0 foundation slice followed immediately by the duration dataset—not another broad model experiment.</w:t>
      </w:r>
    </w:p>
    <w:p>
      <w:r>
        <w:rPr>
          <w:rFonts w:ascii="Calibri" w:hAnsi="Calibri"/>
        </w:rPr>
        <w:t>Recommended scope:</w:t>
      </w:r>
    </w:p>
    <w:p>
      <w:pPr>
        <w:pStyle w:val="ListNumber"/>
        <w:numPr>
          <w:ilvl w:val="0"/>
          <w:numId w:val="17"/>
        </w:numPr>
      </w:pPr>
      <w:r>
        <w:rPr>
          <w:rFonts w:ascii="Calibri" w:hAnsi="Calibri"/>
        </w:rPr>
        <w:t>Add an artifact-manifest schema and generation command.</w:t>
      </w:r>
    </w:p>
    <w:p>
      <w:pPr>
        <w:pStyle w:val="ListNumber"/>
        <w:numPr>
          <w:ilvl w:val="0"/>
          <w:numId w:val="17"/>
        </w:numPr>
      </w:pPr>
      <w:r>
        <w:rPr>
          <w:rFonts w:ascii="Calibri" w:hAnsi="Calibri"/>
        </w:rPr>
        <w:t>Record refresh last-attempt/last-success/failure/upload fields and expose them in Data Ops.</w:t>
      </w:r>
    </w:p>
    <w:p>
      <w:pPr>
        <w:pStyle w:val="ListNumber"/>
        <w:numPr>
          <w:ilvl w:val="0"/>
          <w:numId w:val="17"/>
        </w:numPr>
      </w:pPr>
      <w:r>
        <w:rPr>
          <w:rFonts w:ascii="Calibri" w:hAnsi="Calibri"/>
        </w:rPr>
        <w:t>Add totals coverage diagnostics and fixture-driven tests.</w:t>
      </w:r>
    </w:p>
    <w:p>
      <w:pPr>
        <w:pStyle w:val="ListNumber"/>
        <w:numPr>
          <w:ilvl w:val="0"/>
          <w:numId w:val="17"/>
        </w:numPr>
      </w:pPr>
      <w:r>
        <w:rPr>
          <w:rFonts w:ascii="Calibri" w:hAnsi="Calibri"/>
        </w:rPr>
        <w:t>Define and test the official elapsed-time/line settlement function.</w:t>
      </w:r>
    </w:p>
    <w:p>
      <w:pPr>
        <w:pStyle w:val="ListNumber"/>
        <w:numPr>
          <w:ilvl w:val="0"/>
          <w:numId w:val="17"/>
        </w:numPr>
      </w:pPr>
      <w:r>
        <w:rPr>
          <w:rFonts w:ascii="Calibri" w:hAnsi="Calibri"/>
        </w:rPr>
        <w:t>Produce a duration-dataset audit report with row counts, exclusions, target rates by line, rounds, era, and weight class.</w:t>
      </w:r>
    </w:p>
    <w:p>
      <w:r>
        <w:rPr>
          <w:rFonts w:ascii="Calibri" w:hAnsi="Calibri"/>
        </w:rPr>
        <w:t>At that checkpoint, review the audit before choosing logistic-per-line versus survival modeling. This sequence directly advances the improved Future Cards duration feature while reducing the chance of building it on stale data or ambiguous labels.</w:t>
      </w:r>
    </w:p>
    <w:p>
      <w:r>
        <w:rPr>
          <w:rFonts w:ascii="Calibri" w:hAnsi="Calibri"/>
        </w:rPr>
        <w:t>Alternative if operational reliability is the urgent concern: complete items 1–3 and run the scheduler through a full local-to-hosted cycle before any model work. Alternative if research is the priority: items 1 and 4–5 are the minimum safe prerequisite.</w:t>
      </w:r>
    </w:p>
    <w:p>
      <w:pPr>
        <w:pStyle w:val="Heading1"/>
      </w:pPr>
      <w:r>
        <w:rPr>
          <w:rFonts w:ascii="Calibri" w:hAnsi="Calibri"/>
        </w:rPr>
        <w:t>13. Practical kickoff checklist</w:t>
      </w:r>
    </w:p>
    <w:p>
      <w:pPr>
        <w:pStyle w:val="ListBullet"/>
      </w:pPr>
      <w:r>
        <w:rPr>
          <w:rFonts w:ascii="Calibri" w:hAnsi="Calibri"/>
        </w:rPr>
        <w:t>Confirm the working tree and record unrelated changes before editing.</w:t>
      </w:r>
    </w:p>
    <w:p>
      <w:pPr>
        <w:pStyle w:val="ListBullet"/>
      </w:pPr>
      <w:r>
        <w:rPr>
          <w:rFonts w:ascii="Calibri" w:hAnsi="Calibri"/>
        </w:rPr>
        <w:t>Confirm the active database, model registry, and artifact generation.</w:t>
      </w:r>
    </w:p>
    <w:p>
      <w:pPr>
        <w:pStyle w:val="ListBullet"/>
      </w:pPr>
      <w:r>
        <w:rPr>
          <w:rFonts w:ascii="Calibri" w:hAnsi="Calibri"/>
        </w:rPr>
        <w:t>Create or verify a clean reproducible winner baseline; do not compare against an unexplained dirty artifact.</w:t>
      </w:r>
    </w:p>
    <w:p>
      <w:pPr>
        <w:pStyle w:val="ListBullet"/>
      </w:pPr>
      <w:r>
        <w:rPr>
          <w:rFonts w:ascii="Calibri" w:hAnsi="Calibri"/>
        </w:rPr>
        <w:t>Choose the totals provider/source and verify permitted access and exact settlement rules.</w:t>
      </w:r>
    </w:p>
    <w:p>
      <w:pPr>
        <w:pStyle w:val="ListBullet"/>
      </w:pPr>
      <w:r>
        <w:rPr>
          <w:rFonts w:ascii="Calibri" w:hAnsi="Calibri"/>
        </w:rPr>
        <w:t>Add fixtures before relying on live external responses.</w:t>
      </w:r>
    </w:p>
    <w:p>
      <w:pPr>
        <w:pStyle w:val="ListBullet"/>
      </w:pPr>
      <w:r>
        <w:rPr>
          <w:rFonts w:ascii="Calibri" w:hAnsi="Calibri"/>
        </w:rPr>
        <w:t>Define the canonical fight ID and fighter identity mapping used by labels, odds, snapshots, and results.</w:t>
      </w:r>
    </w:p>
    <w:p>
      <w:pPr>
        <w:pStyle w:val="ListBullet"/>
      </w:pPr>
      <w:r>
        <w:rPr>
          <w:rFonts w:ascii="Calibri" w:hAnsi="Calibri"/>
        </w:rPr>
        <w:t>Write the finish-time conversion and boundary tests before generating duration labels.</w:t>
      </w:r>
    </w:p>
    <w:p>
      <w:pPr>
        <w:pStyle w:val="ListBullet"/>
      </w:pPr>
      <w:r>
        <w:rPr>
          <w:rFonts w:ascii="Calibri" w:hAnsi="Calibri"/>
        </w:rPr>
        <w:t>Audit unique fights, exclusions, missing values, era coverage, scheduled rounds, and target balance.</w:t>
      </w:r>
    </w:p>
    <w:p>
      <w:pPr>
        <w:pStyle w:val="ListBullet"/>
      </w:pPr>
      <w:r>
        <w:rPr>
          <w:rFonts w:ascii="Calibri" w:hAnsi="Calibri"/>
        </w:rPr>
        <w:t>Freeze the chronological split and untouched final test period.</w:t>
      </w:r>
    </w:p>
    <w:p>
      <w:pPr>
        <w:pStyle w:val="ListBullet"/>
      </w:pPr>
      <w:r>
        <w:rPr>
          <w:rFonts w:ascii="Calibri" w:hAnsi="Calibri"/>
        </w:rPr>
        <w:t>Declare primary metric, baseline, minimum useful change, and promotion rule.</w:t>
      </w:r>
    </w:p>
    <w:p>
      <w:pPr>
        <w:pStyle w:val="ListBullet"/>
      </w:pPr>
      <w:r>
        <w:rPr>
          <w:rFonts w:ascii="Calibri" w:hAnsi="Calibri"/>
        </w:rPr>
        <w:t>Store out-of-fold predictions and full provenance for every candidate.</w:t>
      </w:r>
    </w:p>
    <w:p>
      <w:pPr>
        <w:pStyle w:val="ListBullet"/>
      </w:pPr>
      <w:r>
        <w:rPr>
          <w:rFonts w:ascii="Calibri" w:hAnsi="Calibri"/>
        </w:rPr>
        <w:t>Keep duration artifacts separate from winner and method artifact families.</w:t>
      </w:r>
    </w:p>
    <w:p>
      <w:pPr>
        <w:pStyle w:val="ListBullet"/>
      </w:pPr>
      <w:r>
        <w:rPr>
          <w:rFonts w:ascii="Calibri" w:hAnsi="Calibri"/>
        </w:rPr>
        <w:t>Run backend tests, frontend lint/tests/build, API contract checks, and a real-data smoke test.</w:t>
      </w:r>
    </w:p>
    <w:p>
      <w:pPr>
        <w:pStyle w:val="ListBullet"/>
      </w:pPr>
      <w:r>
        <w:rPr>
          <w:rFonts w:ascii="Calibri" w:hAnsi="Calibri"/>
        </w:rPr>
        <w:t>Exercise a full pre-fight snapshot through result settlement before public display.</w:t>
      </w:r>
    </w:p>
    <w:p>
      <w:pPr>
        <w:pStyle w:val="ListBullet"/>
      </w:pPr>
      <w:r>
        <w:rPr>
          <w:rFonts w:ascii="Calibri" w:hAnsi="Calibri"/>
        </w:rPr>
        <w:t xml:space="preserve">Ship neutral model-versus-market wording first; keep </w:t>
      </w:r>
      <w:r>
        <w:rPr>
          <w:rFonts w:ascii="Consolas" w:hAnsi="Consolas"/>
          <w:color w:val="2E74B5"/>
          <w:sz w:val="19"/>
        </w:rPr>
        <w:t>P(Decision)</w:t>
      </w:r>
      <w:r>
        <w:rPr>
          <w:rFonts w:ascii="Calibri" w:hAnsi="Calibri"/>
        </w:rPr>
        <w:t xml:space="preserve"> separately labeled.</w:t>
      </w:r>
    </w:p>
    <w:p>
      <w:pPr>
        <w:pStyle w:val="ListBullet"/>
      </w:pPr>
      <w:r>
        <w:rPr>
          <w:rFonts w:ascii="Calibri" w:hAnsi="Calibri"/>
        </w:rPr>
        <w:t>Maintain a feature flag and previous coherent artifact generation for rollback.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58A"/>
        <w:sz w:val="16"/>
      </w:rPr>
      <w:t xml:space="preserve">AUDITED JUL 13 2026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bottom w:val="single" w:sz="10" w:color="2E74B5"/>
      </w:tblBorders>
    </w:tblPr>
    <w:tblGrid>
      <w:gridCol w:w="4680"/>
      <w:gridCol w:w="4680"/>
    </w:tblGrid>
    <w:tr>
      <w:tc>
        <w:tcPr>
          <w:tcW w:type="dxa" w:w="6200"/>
        </w:tcPr>
        <w:p>
          <w:pPr>
            <w:spacing w:after="0"/>
          </w:pPr>
          <w:r>
            <w:rPr>
              <w:rFonts w:ascii="Calibri" w:hAnsi="Calibri"/>
              <w:b/>
              <w:color w:val="E65067"/>
              <w:sz w:val="16"/>
            </w:rPr>
            <w:t>FIGHT IQ  /  ENGINEERING</w:t>
          </w:r>
        </w:p>
      </w:tc>
      <w:tc>
        <w:tcPr>
          <w:tcW w:type="dxa" w:w="3160"/>
        </w:tcPr>
        <w:p>
          <w:pPr>
            <w:spacing w:after="0"/>
            <w:jc w:val="right"/>
          </w:pPr>
          <w:r>
            <w:rPr>
              <w:rFonts w:ascii="Calibri" w:hAnsi="Calibri"/>
              <w:color w:val="66758A"/>
              <w:sz w:val="16"/>
            </w:rPr>
            <w:t>IMPLEMENTATION GAMEPLAN / RISK REGISTER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70"/>
      </w:pPr>
    </w:lvl>
  </w:abstractNum>
  <w:num w:numId="10">
    <w:abstractNumId w:val="9"/>
  </w:num>
  <w:abstractNum w:abstractNumId="10">
    <w:multiLevelType w:val="singleLevel"/>
    <w:lvl w:ilvl="0">
      <w:start w:val="1"/>
      <w:numFmt w:val="decimal"/>
      <w:lvlText w:val="%1."/>
      <w:suff w:val="space"/>
      <w:pPr>
        <w:ind w:left="540" w:hanging="270"/>
      </w:pPr>
    </w:lvl>
  </w:abstractNum>
  <w:num w:numId="11">
    <w:abstractNumId w:val="10"/>
  </w:num>
  <w:abstractNum w:abstractNumId="11">
    <w:multiLevelType w:val="singleLevel"/>
    <w:lvl w:ilvl="0">
      <w:start w:val="1"/>
      <w:numFmt w:val="decimal"/>
      <w:lvlText w:val="%1."/>
      <w:suff w:val="space"/>
      <w:pPr>
        <w:ind w:left="540" w:hanging="270"/>
      </w:pPr>
    </w:lvl>
  </w:abstractNum>
  <w:num w:numId="12">
    <w:abstractNumId w:val="11"/>
  </w:num>
  <w:abstractNum w:abstractNumId="12">
    <w:multiLevelType w:val="singleLevel"/>
    <w:lvl w:ilvl="0">
      <w:start w:val="1"/>
      <w:numFmt w:val="decimal"/>
      <w:lvlText w:val="%1."/>
      <w:suff w:val="space"/>
      <w:pPr>
        <w:ind w:left="540" w:hanging="270"/>
      </w:pPr>
    </w:lvl>
  </w:abstractNum>
  <w:num w:numId="13">
    <w:abstractNumId w:val="12"/>
  </w:num>
  <w:abstractNum w:abstractNumId="13">
    <w:multiLevelType w:val="singleLevel"/>
    <w:lvl w:ilvl="0">
      <w:start w:val="1"/>
      <w:numFmt w:val="decimal"/>
      <w:lvlText w:val="%1."/>
      <w:suff w:val="space"/>
      <w:pPr>
        <w:ind w:left="540" w:hanging="270"/>
      </w:pPr>
    </w:lvl>
  </w:abstractNum>
  <w:num w:numId="14">
    <w:abstractNumId w:val="13"/>
  </w:num>
  <w:abstractNum w:abstractNumId="14">
    <w:multiLevelType w:val="singleLevel"/>
    <w:lvl w:ilvl="0">
      <w:start w:val="1"/>
      <w:numFmt w:val="decimal"/>
      <w:lvlText w:val="%1."/>
      <w:suff w:val="space"/>
      <w:pPr>
        <w:ind w:left="540" w:hanging="270"/>
      </w:pPr>
    </w:lvl>
  </w:abstractNum>
  <w:num w:numId="15">
    <w:abstractNumId w:val="14"/>
  </w:num>
  <w:abstractNum w:abstractNumId="15">
    <w:multiLevelType w:val="singleLevel"/>
    <w:lvl w:ilvl="0">
      <w:start w:val="1"/>
      <w:numFmt w:val="decimal"/>
      <w:lvlText w:val="%1."/>
      <w:suff w:val="space"/>
      <w:pPr>
        <w:ind w:left="540" w:hanging="270"/>
      </w:pPr>
    </w:lvl>
  </w:abstractNum>
  <w:num w:numId="16">
    <w:abstractNumId w:val="15"/>
  </w:num>
  <w:abstractNum w:abstractNumId="16">
    <w:multiLevelType w:val="singleLevel"/>
    <w:lvl w:ilvl="0">
      <w:start w:val="1"/>
      <w:numFmt w:val="decimal"/>
      <w:lvlText w:val="%1."/>
      <w:suff w:val="space"/>
      <w:pPr>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2233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223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
    <w:name w:val="Caption FI"/>
    <w:pPr>
      <w:spacing w:before="60" w:after="180"/>
      <w:jc w:val="center"/>
    </w:pPr>
    <w:rPr>
      <w:rFonts w:ascii="Calibri" w:hAnsi="Calibri"/>
      <w:i/>
      <w:color w:val="66758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FightIQ Research Implementation Gameplan and Risk Register</dc:title>
  <dc:subject>Evidence-based sequencing for duration modeling, market comparison, and release safety</dc:subject>
  <dc:creator>FightIQ Engineering</dc:creator>
  <cp:keywords>FightIQ, architecture, change impact, duration, development</cp:keywords>
  <dc:description>generated by python-docx</dc:description>
  <cp:lastModifiedBy/>
  <cp:revision>1</cp:revision>
  <dcterms:created xsi:type="dcterms:W3CDTF">2013-12-23T23:15:00Z</dcterms:created>
  <dcterms:modified xsi:type="dcterms:W3CDTF">2013-12-23T23:15:00Z</dcterms:modified>
  <cp:category/>
</cp:coreProperties>
</file>