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Wissenschaftlich fundierter Lehrplan für das Studium der Humanmedizin mit Fokus auf Allgemeinmedizin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strukturelle und rechtliche Architektur der medizinischen Ausbildung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Die Ausbildung zur Ärztin beziehungsweise zum Arzt in der Bundesrepublik Deutschland unterliegt strengen normativen Vorgaben, die ein Höchstmaß an Patientensicherheit, wissenschaftlicher Fundierung und fachlicher Qualifikation gewährleisten sollen. Der rechtliche und strukturelle Rahmen wird durch die Approbationsordnung für Ärzte (ÄApprO) in ihrer jeweils gültigen Fassung definiert.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Diese Verordnung regelt verbindlich die Gliederung des Studiums in einen vorklinischen und einen klinischen Abschnitt, die abzuleistenden Unterrichtsveranstaltungen, die verpflichtenden Praktika sowie die staatlichen Prüfungen, die in den Ersten, Zweiten und Dritten Abschnitt der Ärztlichen Prüfung unterteilt sind.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den vergangenen Dekaden hat sich in der medizinischen Didaktik ein bemerkenswerter Paradigmenwechsel vollzogen. Die Lehre wandelt sich von einer rein wissensbasierten Vermittlung anatomischer und physiologischer Fakten hin zu einer stringent kompetenzbasierten Ausbildung. Dieser Wandel wird durch den Nationalen Kompetenzbasierten Lernzielkatalog Medizin (NKLM), der aktuell in der Version 2.1 Anwendung findet, auf nationaler Ebene manifestiert.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Der NKLM definiert nicht nur kognitives Grundlagenwissen, sondern operationalisiert auch klinisch-praktische Fertigkeiten, wissenschaftliche Kompetenzen und professionelle ärztliche Haltungen. Die Lernziele orientieren sich dabei an den etablierten Kompetenzebenen der Miller-Pyramide, die vom reinen Faktenwissen über das Anwendungswissen bis hin zur autonomen Handlungskompetenz am Patienten reicht.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Zusätzlich forciert der gesundheitspolitische "Masterplan Medizinstudium 2020" eine signifikante Aufwertung der Allgemeinmedizin.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Ziel dieser Initiative ist es, der demografischen Entwicklung, der zunehmenden Multimorbidität der alternden Bevölkerung und dem drohenden Ärztemangel, insbesondere im ländlichen Raum, proaktiv zu begegnen.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Die Allgemeinmedizin rückt aus der Peripherie der medizinischen Spezialfächer in das absolute Zentrum der longitudinalen Ausbildung. Dies schlägt sich in einer verstärkten Präsenz in allen Studienabschnitten nieder, beginnend bei frühen Hospitationen in der Vorklinik bis hin zu verpflichtenden Blockpraktika und Tertialen im Praktischen Jahr.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Der vorliegende detaillierte Lehrplan ist so konzipiert, dass er das gesamte Medizinstudium abbildet, sich didaktisch optimal für das autonome Selbststudium eignet und den Fokus konsequent auf die primärärztliche, hausärztliche Versorgung legt.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Vorklinische Studienabschnitt (M1) und die naturwissenschaftlichen Fundamente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Erste Abschnitt der ärztlichen Ausbildung, gemeinhin als Vorklinik bezeichnet, umfasst in der Regel vier Fachsemester und legt das essenzielle naturwissenschaftliche und theoretische Fundament für das spätere Verständnis komplexer pathologischer Prozesse in der Klinik.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Die Fächerstruktur und der genaue Prüfungsstoff sind detailliert in der Anlage 10 der Approbationsordnung festgelegt.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Ein tiefgreifendes Verständnis dieser präklinischen Grundlagen ist für den späteren Allgemeinmediziner unverzichtbar, da beispielsweise die genauen biochemischen Stoffwechselwege von Lipiden direkte Auswirkungen auf die spätere hausärztliche kardiovaskuläre Präventionsberatung haben.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Das Institut für medizinische und pharmazeutische Prüfungsfragen (IMPP) definiert den sogenannten Gegenstandskatalog, der die exakten Prüfungsinhalte für die bundeseinheitlichen Staatsexamina festlegt.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Die Relevanz der einzelnen Fächer und Unterthemen lässt sich direkt aus der prozentualen Verteilung der 320 Multiple-Choice-Fragen ableiten, die im Ersten Abschnitt der Ärztlichen Prüfung (M1), dem Physikum, gestellt werden.</w:t>
      </w:r>
      <w:r w:rsidDel="00000000" w:rsidR="00000000" w:rsidRPr="00000000">
        <w:rPr>
          <w:rFonts w:ascii="Arial" w:cs="Arial" w:eastAsia="Arial" w:hAnsi="Arial"/>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Fachbereich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Schwerpunktthemen (Auszug)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IMPP-Fragenanteil (ca.)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Anatomie und Histologie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Bewegungsapparat, Neuroanatomie, Situs, Embryologie, mikroskopische Anatomie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30 - 35 %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Physiologie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Herz-Kreislauf-System, Neurophysiologie, Nierenfunktion, Atmungsregulation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Biochemie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Aminosäurestoffwechsel, Lipidstoffwechsel, Genetik, Kohlenhydratabbau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 Psychologie &amp; Soziologie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Arzt-Patienten-Interaktion, Konditionierung, Lerntheorien, Gesundheitsmodelle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15 - 20 %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Naturwissenschaften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Physik (Ionisierende Strahlung, Mechanik), Biologie (Zytologie), Chemie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10 - 15 %</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Für ein erfolgreiches und effizientes Selbststudium in der Vorklinik ist eine Kombination aus hochqualitativer Primärliteratur und modernen digitalen Lernplattformen unerlässlich. Das didaktische Prinzip des "Spaced Repetition" (verteilte, zeitlich gestaffelte Wiederholung) und des "Active Recall" (aktiver Wissensabruf) sollte die unumstößliche Basis des studentischen Lernens bilden. Digitale Plattformen wie </w:t>
      </w:r>
      <w:r w:rsidDel="00000000" w:rsidR="00000000" w:rsidRPr="00000000">
        <w:rPr>
          <w:rFonts w:ascii="Arial" w:cs="Arial" w:eastAsia="Arial" w:hAnsi="Arial"/>
          <w:i w:val="1"/>
          <w:iCs w:val="1"/>
          <w:color w:val="1f1f1f"/>
          <w:rtl w:val="0"/>
        </w:rPr>
        <w:t xml:space="preserve">via medici</w:t>
      </w:r>
      <w:r w:rsidDel="00000000" w:rsidR="00000000" w:rsidRPr="00000000">
        <w:rPr>
          <w:rFonts w:ascii="Arial" w:cs="Arial" w:eastAsia="Arial" w:hAnsi="Arial"/>
          <w:color w:val="1f1f1f"/>
          <w:rtl w:val="0"/>
        </w:rPr>
        <w:t xml:space="preserve"> aus dem Thieme-Verlag oder </w:t>
      </w:r>
      <w:r w:rsidDel="00000000" w:rsidR="00000000" w:rsidRPr="00000000">
        <w:rPr>
          <w:rFonts w:ascii="Arial" w:cs="Arial" w:eastAsia="Arial" w:hAnsi="Arial"/>
          <w:i w:val="1"/>
          <w:iCs w:val="1"/>
          <w:color w:val="1f1f1f"/>
          <w:rtl w:val="0"/>
        </w:rPr>
        <w:t xml:space="preserve">AMBOSS</w:t>
      </w:r>
      <w:r w:rsidDel="00000000" w:rsidR="00000000" w:rsidRPr="00000000">
        <w:rPr>
          <w:rFonts w:ascii="Arial" w:cs="Arial" w:eastAsia="Arial" w:hAnsi="Arial"/>
          <w:color w:val="1f1f1f"/>
          <w:rtl w:val="0"/>
        </w:rPr>
        <w:t xml:space="preserve"> bieten nicht nur das unbegrenzte Kreuzen von zehntausenden IMPP-Altfragen, sondern vernetzen diese Fragen direkt mit korrespondierenden Lernmodulen und Fachbüchern.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Dies ermöglicht eine sofortige Fehleranalyse und Wissenskonsolidierung.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Fachdisziplin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Empfohlene Standardwerke für das autonome Selbststudium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Anatomie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Sobotta Anatomie-Atlas (inkl. Complete Anatomy App für 3D-Visualisierung)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 Taschenlehrbuch Histologie (Lüllmann-Rauch).</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Physiologie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Lehrbuch der Physiologie (Pape/Kurtz/Silbernagl) für das tiefe Verständnis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Taschenatlas Physiologie (Silbernagl) zur schnellen Wiederholung.</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Biochemie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Duale Reihe Biochemie (Rassow) zur Integration klinischer Bezüge in komplexe Stoffwechselkaskaden.</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Skripten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"Endspurt"- oder "Finale"-Skriptenreihen für die fokussierte Examensvorbereitung in den Wochen vor dem Physikum.</w:t>
            </w: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Eine der größten Herausforderungen im vorklinischen Selbststudium ist die kognitive Vernetzung. Der Lernende muss isoliertes Faktenwissen frühzeitig klinisch kontextualisieren. Die anatomische Kenntnis des </w:t>
      </w:r>
      <w:r w:rsidDel="00000000" w:rsidR="00000000" w:rsidRPr="00000000">
        <w:rPr>
          <w:rFonts w:ascii="Arial" w:cs="Arial" w:eastAsia="Arial" w:hAnsi="Arial"/>
          <w:i w:val="1"/>
          <w:iCs w:val="1"/>
          <w:color w:val="1f1f1f"/>
          <w:rtl w:val="0"/>
        </w:rPr>
        <w:t xml:space="preserve">Ductus nasolacrimalis</w:t>
      </w:r>
      <w:r w:rsidDel="00000000" w:rsidR="00000000" w:rsidRPr="00000000">
        <w:rPr>
          <w:rFonts w:ascii="Arial" w:cs="Arial" w:eastAsia="Arial" w:hAnsi="Arial"/>
          <w:color w:val="1f1f1f"/>
          <w:rtl w:val="0"/>
        </w:rPr>
        <w:t xml:space="preserve"> oder der intrakraniellen Verläufe des </w:t>
      </w:r>
      <w:r w:rsidDel="00000000" w:rsidR="00000000" w:rsidRPr="00000000">
        <w:rPr>
          <w:rFonts w:ascii="Arial" w:cs="Arial" w:eastAsia="Arial" w:hAnsi="Arial"/>
          <w:i w:val="1"/>
          <w:iCs w:val="1"/>
          <w:color w:val="1f1f1f"/>
          <w:rtl w:val="0"/>
        </w:rPr>
        <w:t xml:space="preserve">Nervus facialis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ist keine abstrakte Theorie, sondern die direkte Voraussetzung für die spätere allgemeinmedizinische Diagnostik von Augenrötungen, Epiphora oder peripheren Fazialisparesen.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Ebenso erfordert der NKLM 2.0 neuerdings das Verständnis endokriner Disruptoren im Rahmen der Umweltverschmutzung und deren Einfluss auf die Hormonsynthese, was die klassische Biochemie mit moderner "Planetary Health" verbindet.</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Klinische Studienabschnitt (M2) und die hausärztliche Synthese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Nach dem erfolgreichen Bestehen des M1-Examens beginnt der klinische Studienabschnitt, der in der Regel sechs Semester umfasst und mit dem Zweiten Abschnitt der Ärztlichen Prüfung (M2), dem sogenannten Hammerexamen, abschließt. Gemäß Anlage 15 der Approbationsordnung müssen die Studierenden in 22 klinischen Fächern sowie in 14 fächerübergreifenden Querschnittsbereichen Leistungsnachweise erbringen.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Die Allgemeinmedizin nimmt in diesem Abschnitt eine besondere, integrative Rolle ein. Während Spezialdisziplinen wie die Kardiologie oder Gastroenterologie ein vorselektiertes Patientenklientel behandeln und häufig deduktiv von einer bereits gestellten Diagnose zur Therapieplanung übergehen, arbeitet die Allgemeinmedizin primär induktiv. Der Hausarzt wird mit einem völlig unselektierten Klientel konfrontiert und muss vom initialen Leitsymptom des Patienten ausgehend diagnostische Pfade entwickeln.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Das Konzept des "offenen Zuwartens" bei selbstlimitierenden Erkrankungen und der simultane, zwingende Ausschluss "abwendbar gefährlicher Verläufe" (sogenannter Red Flags) sind die zentralen didaktischen Lernziele dieses Fachs.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NKLM-Vorgaben fordern explizit die Beherrschung dieser Konsultationsanlässe und die Anwendung einer patientenzentrierten, biopsychosozialen Kommunikation.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Für das strukturierte Selbststudium der klinischen Medizin und insbesondere der Primärversorgung bilden die Leitlinien der Deutschen Gesellschaft für Allgemeinmedizin und Familienmedizin (DEGAM) das absolute Kerncurriculum.</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Diese Leitlinien fassen die aktuelle wissenschaftliche Evidenz prägnant zusammen und sind speziell auf die Prävalenzen, die Diagnostik und die therapeutischen Möglichkeiten im ambulanten Sektor zugeschnitten.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AWMF-Registernummer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Themenkomplex / Leitsymptom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Zentrale Kernbotschaft für das Studium und die Praxis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Brustschmerz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Der häufigste abwendbar gefährliche Verlauf ist das Akute Koronarsyndrom (ACS). Ein unauffälliges EKG in der Praxis schließt eine Ischämie nicht aus. Nutzung von Scores zur strukturierten Wahrscheinlichkeitseinschätzung zwingend erforderlich.</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Multimorbidität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Paradigmenwechsel: Statt der starren Addition von monomorbiden Einzelleitlinien kommt ein patientenzentrierter "Meta-Algorithmus" zur Anwendung, der die Lebensqualität und die Präferenzen des Patienten priorisiert.</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Multimedikation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Fokus auf die Prävention von Polypharmazie und gefährlichen Arzneimittelinteraktionen. Standardisierter Einsatz der PRISCUS-Liste und des Medication Appropriateness Index (MAI) zur Identifikation inadäquater Medikamente.</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Akuter/chronischer Husten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Ausschluss von Pneumonien mittels klinischer Scores (z.B. CRB-65). Strenge Indikationsstellung für eine rationale Antibiotikatherapie zur Vermeidung globaler Resistenzen, da akute Bronchitiden meist viral bedingt sind.</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Müdigkeit / Fatigue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Systematische Differenzierung zwischen psychosozialer Erschöpfung, postviralen Syndromen (CFS) und organischen Ursachen wie Anämie, Malignomen oder endokrinen Störungen (Hypothyreose).</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053-065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Das anamnestische Erstgespräch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Techniken der validierenden Gesprächsführung. Aufbau einer therapeutischen Allianz, insbesondere bei Patienten mit somatoformen Störungen oder unklaren Beschwerdebildern.</w:t>
            </w:r>
            <w:r w:rsidDel="00000000" w:rsidR="00000000" w:rsidRPr="00000000">
              <w:rPr>
                <w:rFonts w:ascii="Arial" w:cs="Arial" w:eastAsia="Arial" w:hAnsi="Arial"/>
                <w:color w:val="444746"/>
                <w:sz w:val="24"/>
                <w:szCs w:val="24"/>
                <w:vertAlign w:val="superscript"/>
                <w:rtl w:val="0"/>
              </w:rPr>
              <w:t xml:space="preserve">30</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Diagnostische Pitfalls und kognitive Verzerrungen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Ein essenzielles, oft vernachlässigtes Lernziel für angehende Ärzte ist die strukturierte Reflexion eigener kognitiver Fehlerquellen. Studien zu medizinischen Behandlungsfehlern zeigen auf, dass bis zu 15 Prozent aller gestellten Diagnosen falsch sind, was massive Auswirkungen auf die Morbidität und Mortalität der Patienten hat.</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Zu den häufigsten Fehlerquellen in der Allgemeinmedizin gehören falsche anamnestische Angaben, ein zu enger diagnostischer Fokus (der sogenannte Anchoring Bias, bei dem sich der Arzt zu früh auf eine Diagnose festlegt) und die Fehlinterpretation von erhobenen Befunden.</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Besondere Aufmerksamkeit erfordern die sogenannten "Big Three" der Fehldiagnosen, die das größte Potenzial für schwere Patientenschäden bergen: vaskuläre Ereignisse (wie unerkannte Myokardinfarkte oder Apoplexe), Infektionen (wie Sepsis oder Meningitis) und Krebserkrankungen.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Ferner zeigt die psychologische Forschung, dass störendes, forderndes oder aggressives Patientenverhalten die diagnostische Genauigkeit des Arztes signifikant reduzieren kann. Sogenannte "Störenfriede" erhalten signifikant häufiger Fehldiagnosen, was die absolute Notwendigkeit einer hochprofessionellen, reflektierten und wertfreien ärztlichen Gesprächsführung unterstreicht.</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Historisches Bewusstsein: Geschichte, Theorie und Ethik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Medizinische Handlungskompetenz erfordert zwingend ein historisches und ethisches Bewusstsein. Das Studium historischer medizinischer Fehlentwicklungen schärft das ethische Urteilsvermögen und ist in der Approbationsordnung im Querschnittsbereich 2 verankert.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Der Contergan-Skandal in den späten 1950er und frühen 1960er Jahren, bei dem der rezeptfreie Wirkstoff Thalidomid zu tausenden schweren Fehlbildungen (Phokomelien, Dysmelien) bei Neugeborenen führte, revolutionierte in der Folge das gesamte deutsche Arzneimittelrecht und begründete die moderne Pharmakovigilanz.</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Ebenso mahnt das Lübecker Impfunglück von 1930, bei dem die fehlerhafte, mit virulenten Tuberkulosebakterien kontaminierte orale Verabreichung von BCG-Impfstoffen zum Tod zahlreicher Säuglinge führte, bis heute zu strengster Hygiene, Laborkontrolle und ethischer Vorsicht in der klinischen Forschung und Präventivmedizin.</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Strukturierte Examensvorbereitung: Der 100-Tage-Lernplan (M2)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Das M2-Examen prüft die gesamte klinische Medizin in Form von 320 fallbasierten IMPP-Multiple-Choice-Fragen, die an drei aufeinanderfolgenden Tagen absolviert werden müssen.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Für das autonome Selbststudium hat sich der 100-Tage-Lernplan von Plattformen wie AMBOSS als Goldstandard etabliert.</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Dieser Plan strukturiert den immensen klinischen Stoff didaktisch sinnvoll: Die ersten 22 Tage widmen sich der Inneren Medizin (Kardiologie, Pneumologie, Gastroenterologie, Nephrologie, etc.). Die didaktische Erkenntnis hierbei ist, dass durch die Verteilung großer Fächer über mehrere Wochen der "Spaced Repetition"-Effekt maximiert wird. Kreuzfragen zu einem Thema tauchen periodisch immer wieder auf, was neurobiologisch deutlich nachhaltiger ist als das isolierte Blocklernen.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Die Tage 23 bis 40 decken die chirurgischen Fächer und die Orthopädie ab, gefolgt von Pädiatrie, Gynäkologie und Neurologie bis Tag 60. Die Tage 61 bis 85 sind den kleineren Fächern wie Psychiatrie, Dermatologie, HNO, Augenheilkunde und der Allgemeinmedizin gewidmet. Die letzten 15 Tage (Tage 86 bis 100) dienen der reinen Wiederholung und den Generalproben unter realen Examensbedingungen mit Original-IMPP-Examen der Vorjahre.</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Praktische Jahr (PJ) und die mündlich-praktische Prüfung (M3)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Das Praktische Jahr, welches sich an das bestandene M2-Examen anschließt, dient der translationalen Vertiefung der ärztlichen Handlungskompetenz direkt am Patienten. Es umfasst 48 Wochen und gliedert sich klassisch in drei Tertiale zu je 16 Wochen: Innere Medizin, Chirurgie und ein frei wählbares Fachgebiet, in dem die Allgemeinmedizin eine zunehmend prominente Rolle spielt.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Für das Wahltertial in der Allgemeinmedizin hat die DEGAM in Kooperation mit den medizinischen Fakultäten ein detailliertes Musterlogbuch entwickelt. Dieses Logbuch operationalisiert Lernziele und klassifiziert sie in Muss-, Soll- und Kann-Kompetenzen, sogenannte Entrustable Professional Activities (EPAs).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Zu den essenziellen Muss-Lernzielen für Studierende im PJ gehören unter anderem: Die strukturierte Stufendiagnostik anhand von Leitsymptomen unter Berücksichtigung der Prävalenz in der Hausarztpraxis (beispielsweise die Differenzierung von Spannungskopfschmerz, Migräne und abwendbar gefährlichen sekundären Kopfschmerzen).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Ferner müssen die Studierenden die Erhebung des Impfstatus, die Erstellung von Impfplänen und die selbstständige Impfberatung beherrschen.</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Auch administrative und organisatorische Aufgaben, wie die Anwendung kassentechnischer Vorgaben, die Dokumentation in der elektronischen Patientenakte und die präzise Codierung mittels ICPC-2 oder ICD-10, gehören zum Pflichtrepertoire.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Der Dritte Abschnitt der Ärztlichen Prüfung (M3) ist eine rein mündlich-praktische Prüfung, die direkt am Patientenbett sowie in Falldiskussionen vor einer Prüfungskommission abgelegt wird.</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Im autonomen Selbststudium kann die Vorbereitung auf dieses Format durch multimediale klinische Fallbeispiele (wie beispielsweise die AMBOSS-Fälle) simuliert werden. In diesen Modulen werden die Studierenden systematisch von der initialen Anamnese über die körperliche Untersuchung, die Labor- und EKG-Befundung bis hin zur konkreten Therapieplanung und Patientenaufklärung geführt, was das klinische "Clinical Reasoning" massiv trainiert.</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Fachärztliche Weiterbildung Allgemeinmedizin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Die Verleihung der Approbation markiert nicht das Ende, sondern lediglich den Beginn der kontinuierlichen ärztlichen Weiterbildung. Die neue Muster-Weiterbildungsordnung (MWBO 2024) der Bundesärztekammer vollzieht einen historischen Wechsel von rein zeitbasierten Rotationsvorgaben (die oftmals reine Absitzzeiten waren) hin zu einer strikt kompetenzbasierten Weiterbildungssystematik.</w:t>
      </w:r>
      <w:r w:rsidDel="00000000" w:rsidR="00000000" w:rsidRPr="00000000">
        <w:rPr>
          <w:rFonts w:ascii="Arial" w:cs="Arial" w:eastAsia="Arial" w:hAnsi="Arial"/>
          <w:color w:val="444746"/>
          <w:sz w:val="24"/>
          <w:szCs w:val="24"/>
          <w:vertAlign w:val="superscript"/>
          <w:rtl w:val="0"/>
        </w:rPr>
        <w:t xml:space="preserve">64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der neuen Struktur werden die zu erwerbenden ärztlichen Kompetenzen präzise unterteilt in Kognitive- und Methodenkompetenzen (Fähigkeit, Erkrankungen zu beschreiben und systematisch einzuordnen) sowie in Handlungskompetenzen (Fähigkeiten, die unter Anleitung erfüllt oder völlig selbstverantwortlich durchgeführt werden müssen).</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Dies zwingt Weiterbilder und Ärzte in Weiterbildung zu einem stetigen, strukturierten Feedbackprozess. Darüber hinaus regelt die (Muster-)Fortbildungsordnung die Verpflichtung zum lebenslangen Lernen (Continuous Medical Education, CME). Ärzte müssen kontinuierlich Fortbildungspunkte sammeln, um ihre Fachexpertise zu erhalten. Die Ärztekammern legen dabei zunehmend strengere Maßstäbe an die Unabhängigkeit der Fortbildungen an und pochen auf maximale Transparenz beim Sponsoring durch die Pharmaindustrie, um Interessenskonflikte und die Beeinflussung ärztlicher Verordnungsentscheidungen zu minimieren.</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Detailliertes Schulungsmaterial und Prüfungsfragenkatalog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das autonome Selbststudium maximal zu fördern und die geforderte Prüfungstiefe abzubilden, folgt ein hochdetaillierter, in die Tiefe gehender Fragensammlungskatalog (45 Fragen). Dieser deckt das gesamte medizinische Spektrum vom präklinischen Grundlagenwissen (M1) über das klinische Fallwissen (M2) bis hin zur fachärztlichen Expertise (M3 / Facharztprüfung) ab. Die Ausführlichkeit der Musterlösungen simuliert einen interaktiven, didaktischen Lehrdialog und fungiert als primäres Schulungsmaterial.</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Teil A: Vorklinisches Grundlagenwissen (Fokus M1 / Physikum)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 Biochemie / Lipidstoffwechsel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45-jähriger Patient stellt sich zur hausärztlichen Gesundheitsuntersuchung vor. Laborchemisch fällt eine isolierte, massive Hypercholesterinämie (LDL &gt; 300 mg/dl) auf. In der Familienanamnese sind frühe Myokardinfarkte bei den Eltern bekannt. Welches Enzym oder welcher Rezeptor ist bei der familiären Hypercholesterinämie Typ IIa primär defekt, und welches Schlüsselenzym der endogenen Cholesterinsynthese wird therapeutisch durch den Einsatz von Statinen kompetitiv gehemmt?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Lipoproteinlipase (LPL) / Acetyl-CoA-Carboxylase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LDL-Rezeptor / HMG-CoA-Reduktase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ApoE-Rezeptor / HMG-CoA-Synthase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Cholesterinester-Transferprotein (CETP) / Squalen-Epoxidase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VLDL-Rezeptor / HMG-CoA-Reduktase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w:t>
      </w:r>
      <w:r w:rsidDel="00000000" w:rsidR="00000000" w:rsidRPr="00000000">
        <w:rPr>
          <w:rFonts w:ascii="Arial" w:cs="Arial" w:eastAsia="Arial" w:hAnsi="Arial"/>
          <w:color w:val="1f1f1f"/>
          <w:rtl w:val="0"/>
        </w:rPr>
        <w:t xml:space="preserve"> Die korrekte Antwort ist B. Die familiäre Hypercholesterinämie Typ IIa wird in der überwiegenden Zahl der Fälle durch autosomal-dominant vererbte Mutationen im Gen für den LDL-Rezeptor verursacht. Dies führt zu einer drastisch verminderten hepatischen Clearance von zirkulierendem LDL-Cholesterin, was eine vorzeitige Atherosklerose begünstigt. Statine (wie Simvastatin oder Atorvastatin) inhibieren kompetitiv die HMG-CoA-Reduktase, das geschwindigkeitsbestimmende Schrittmacher-Enzym der endogenen Cholesterinbiosynthese in der Leber. Diese Hemmung führt zu einer intrazellulären Cholesterinverarmung der Hepatozyten und in der Folge zu einer kompensatorischen, SREBP-vermittelten Hochregulation von LDL-Rezeptoren auf der Zelloberfläche, was letztlich den Serum-LDL-Spiegel effektiv senkt. Der Lipidstoffwechsel stellt mit über 7 Prozent der Fragen einen massiven, hochgradig prüfungsrelevanten Schwerpunkt im IMPP-Gegenstandskatalog für das M1-Examen dar.</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 Physiologie / Kardiale Elektrophysiologie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 Rahmen eines physiologischen Praktikums betrachten Sie das intrazellulär abgeleitete EKG eines gesunden Probanden. Welcher spezifische Ionenstrom ist maßgeblich für die Repolarisationsphase (Phase 3) des kardialen Aktionspotenzials der Arbeitsmyokardzellen verantwortlich?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Einstrom von Na+ durch Inward-Rectifier-Kanäle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Einstrom von Ca2+ durch L-Typ-Kalziumkanäle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Ausstrom von K+ durch Delayed-Rectifier-Kanäle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Ausstrom von Cl- Ionen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Einstrom von K+ durch die ATP-abhängige Na+/K+-Pumpe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2:</w:t>
      </w:r>
      <w:r w:rsidDel="00000000" w:rsidR="00000000" w:rsidRPr="00000000">
        <w:rPr>
          <w:rFonts w:ascii="Arial" w:cs="Arial" w:eastAsia="Arial" w:hAnsi="Arial"/>
          <w:color w:val="1f1f1f"/>
          <w:rtl w:val="0"/>
        </w:rPr>
        <w:t xml:space="preserve"> Die korrekte Antwort ist C. Das Aktionspotenzial des Arbeitsmyokards durchläuft charakteristische Phasen. Phase 0 entspricht dem schnellen Aufstrich durch den Einstrom von Natriumionen. Phase 2 ist die Plateauphase, die durch ein elektrophysiologisches Gleichgewicht zwischen dem Einstrom von Kalzium (über L-Typ-Kanäle) und dem langsamen Ausstrom von Kalium gekennzeichnet ist. Die Phase 3, die eigentliche Repolarisation, wird durch den massiven Ausstrom von Kaliumionen dominiert (hauptsächlich über </w:t>
      </w:r>
      <w:r w:rsidDel="00000000" w:rsidR="00000000" w:rsidRPr="00000000">
        <w:rPr>
          <w:rFonts w:ascii="Arial" w:cs="Arial" w:eastAsia="Arial" w:hAnsi="Arial"/>
          <w:i w:val="1"/>
          <w:iCs w:val="1"/>
          <w:color w:val="1f1f1f"/>
          <w:rtl w:val="0"/>
        </w:rPr>
        <w:t xml:space="preserve">delayed rectifier potassium channels</w:t>
      </w:r>
      <w:r w:rsidDel="00000000" w:rsidR="00000000" w:rsidRPr="00000000">
        <w:rPr>
          <w:rFonts w:ascii="Arial" w:cs="Arial" w:eastAsia="Arial" w:hAnsi="Arial"/>
          <w:color w:val="1f1f1f"/>
          <w:rtl w:val="0"/>
        </w:rPr>
        <w:t xml:space="preserve">, I_Kr und I_Ks). Dies führt die Zellmembran zügig zurück zum negativen Ruhepotenzial von etwa -90 mV. Die Physiologie des Herzens und der Erregungsleitung ist ein unabdingbares Kernthema der M1-Prüfung und Basis für das spätere Verständnis von Antiarrhythmika.</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3: Neuroanatomie / Hirnnerven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Patient stellt sich mit einem hängenden linken Mundwinkel und der Unfähigkeit, das linke Auge vollständig zu schließen, in der Praxis vor. Sie vermuten eine periphere Fazialisparese. Durch welches Foramen oder welchen Kanal verlässt der Nervus facialis (Hirnnerv VII) regulär die Schädelbasis, bevor er sich in den Plexus parotideus aufzweigt?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Foramen jugulare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Foramen rotundum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Foramen stylomastoideum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Fissura orbitalis superior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Foramen ovale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3:</w:t>
      </w:r>
      <w:r w:rsidDel="00000000" w:rsidR="00000000" w:rsidRPr="00000000">
        <w:rPr>
          <w:rFonts w:ascii="Arial" w:cs="Arial" w:eastAsia="Arial" w:hAnsi="Arial"/>
          <w:color w:val="1f1f1f"/>
          <w:rtl w:val="0"/>
        </w:rPr>
        <w:t xml:space="preserve"> Die korrekte Antwort ist C. Der Nervus facialis tritt am Kleinhirnbrückenwinkel aus dem Hirnstamm aus, zieht zusammen mit dem Nervus vestibulocochlearis in den Meatus acusticus internus, durchläuft den Canalis nervi facialis im Felsenbein und verlässt die knöcherne Schädelbasis schließlich durch das Foramen stylomastoideum. Unmittelbar nach dem Austritt motorisiert er die mimische Muskulatur über den Plexus parotideus. Eine Läsion auf dieser Höhe (oder weiter distal) führt zur klassischen peripheren Fazialisparese mit ipsilateralem Ausfall der gesamten mimischen Muskulatur (inklusive Stirnast, im Gegensatz zur zentralen Parese). Anatomisches Detailwissen dieser Art ist im Physikum stark repräsentiert.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4: Anatomie / Embryologie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Aus welchem der embryonalen Keimblätter entwickeln sich die Basalganglien (z.B. der Globus pallidus) und das zentrale Nervensystem primär?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Entoderm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Mesoderm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Neuroektoderm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Neuralleiste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Chorda dorsalis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4:</w:t>
      </w:r>
      <w:r w:rsidDel="00000000" w:rsidR="00000000" w:rsidRPr="00000000">
        <w:rPr>
          <w:rFonts w:ascii="Arial" w:cs="Arial" w:eastAsia="Arial" w:hAnsi="Arial"/>
          <w:color w:val="1f1f1f"/>
          <w:rtl w:val="0"/>
        </w:rPr>
        <w:t xml:space="preserve"> Die korrekte Antwort ist C. Das gesamte zentrale Nervensystem (Gehirn und Rückenmark), einschließlich der Basalganglien, entwickelt sich aus dem Neuroektoderm (Neuralrohr). Speziell der Globus pallidus entstammt entwicklungsgeschichtlich dem Diencephalon, während Striatum (Caudatus und Putamen) dem Telencephalon entstammen. Die periphere Glia und Teile des peripheren Nervensystems entstammen hingegen der Neuralleiste. Solche entwicklungsgeschichtlichen Zuordnungen sind klassische, differenzierende IMPP-Fragen.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5: Histologie / Hepatologie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Sie betrachten ein histologisches Präparat der menschlichen Leber unter dem Lichtmikroskop. Sie identifizieren ein periportales Feld (Glisson-Trias). Welche drei Leitungsbahnen sind die regulären Bestandteile einer solchen Glisson-Trias?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Vena centralis, Arteria hepatica propria, Ductus choledochus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Vena portae (Ast), Arteria hepatica propria (Ast), Ductus biliferus (Gallengang)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Vena hepatica, Arteria mesenterica superior, Lymphgefäß</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Vena portae, Sinusoide, Vena centralis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Arteria hepatica communis, Vena portae, Canaliculi biliferi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5:</w:t>
      </w:r>
      <w:r w:rsidDel="00000000" w:rsidR="00000000" w:rsidRPr="00000000">
        <w:rPr>
          <w:rFonts w:ascii="Arial" w:cs="Arial" w:eastAsia="Arial" w:hAnsi="Arial"/>
          <w:color w:val="1f1f1f"/>
          <w:rtl w:val="0"/>
        </w:rPr>
        <w:t xml:space="preserve"> Die korrekte Antwort ist B. Das periportale Feld (Glisson-Trias), welches die Ecken der klassischen hexagonalen Leberläppchen markiert, enthält typischerweise Äste der Vena portae hepatis (nährstoffreiches Blut aus dem Darm), Äste der Arteria hepatica propria (sauerstoffreiches Blut) und einen interlobulären Gallengang (Ductus biliferus), der mit einem isoprismatischen Epithel ausgekleidet ist. Die Gallenkapillaren (Canaliculi biliferi) selbst verlaufen zwischen den Hepatozyten, besitzen kein eigenes Endothel und sind lediglich durch Tight Junctions abgedichtet.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6: Histologie / Reproduktionsbiologie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 Hodenpräparat identifizieren Sie hochprismatische Zellen innerhalb der Tubuli seminiferi, die der Blut-Hoden-Schranke dienen und Nährstoffe für die heranreifenden Spermien bereitstellen. Um welche Zellen handelt es sich und welches spezifische Protein wird von ihnen sezerniert, um lokal hohe Testosteronkonzentrationen zu gewährleisten?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Leydig-Zellen / Testosteron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Sertoli-Zellen / Androgen-bindendes Protein (ABP)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Spermatogonien / Inhibin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Myoepithelzellen / Oxytocin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Leydig-Zellen / Androgen-bindendes Protein (ABP)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6:</w:t>
      </w:r>
      <w:r w:rsidDel="00000000" w:rsidR="00000000" w:rsidRPr="00000000">
        <w:rPr>
          <w:rFonts w:ascii="Arial" w:cs="Arial" w:eastAsia="Arial" w:hAnsi="Arial"/>
          <w:color w:val="1f1f1f"/>
          <w:rtl w:val="0"/>
        </w:rPr>
        <w:t xml:space="preserve"> Die korrekte Antwort ist B. Die Sertoli-Zellen fungieren als Stützzellen ("Ammenzellen") in den Hodenkanälchen. Sie bilden durch ihre Tight Junctions die Blut-Hoden-Schranke, die die Keimzellen vor Autoimmunreaktionen schützt. Unter dem Einfluss von FSH sezernieren sie das Androgen-bindende Protein (ABP), welches Testosteron (das von den interstitiellen Leydig-Zellen produziert wird) im Lumen der Tubuli bindet und somit eine extrem hohe lokale Testosteronkonzentration für die Spermatogenese aufrechterhält.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7: Physiologie / Renale Clearance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Welche der folgenden Substanzen wird in der klinischen Praxis (oder experimentell) typischerweise verwendet, um die glomeruläre Filtrationsrate (GFR) exakt zu bestimmen, da sie frei filtriert, aber tubulär weder nennenswert sekretiert noch rückresorbiert wird?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Glukose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Para-Aminohippursäure (PAH)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Inulin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Harnstoff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Penicillin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C. Inulin (ein Fruktose-Polysaccharid) erfüllt alle Kriterien für die exakte Messung der GFR: Es wird glomerulär frei filtriert und im Tubulussystem weder rückresorbiert noch sekretiert. PAH hingegen wird sowohl filtriert als auch aktiv tubulär sekretiert und dient daher der Messung des renalen Plasmaflusses (RPF). Glukose wird normalerweise vollständig rückresorbiert. Im klinischen Alltag wird meist die endogene Kreatinin-Clearance oder Formeln (CKD-EPI) genutzt, Inulin bleibt jedoch der physiologische Goldstandard.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8: Physiologie / Atmung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Patient hyperventiliert massiv im Rahmen einer Panikattacke. Welche Verschiebung der Sauerstoffbindungskurve des Hämoglobins erwarten Sie pathophysiologisch durch die resultierende respiratorische Alkalose?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Rechtsverschiebung mit erleichterter O2-Abgabe im Gewebe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Linksverschiebung mit erschwerter O2-Abgabe im Gewebe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Rechtsverschiebung mit erschwerter O2-Aufnahme in der Lunge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Keine Verschiebung, lediglich die Kapazität sinkt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Denaturierung des Hämoglobins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B. Hyperventilation führt zum übermäßigen Abatmen von CO2, was einen Abfall des pCO2 und einen Anstieg des Blut-pH-Wertes zur Folge hat (respiratorische Alkalose). Gemäß dem Bohr-Effekt führt ein höherer pH-Wert (weniger H+-Ionen) und ein niedrigerer pCO2 zu einer Linksverschiebung der Sauerstoffbindungskurve. Dies bedeutet eine erhöhte Affinität des Hämoglobins zu Sauerstoff. Zwar wird in der Lunge gut O2 gebunden, die Abgabe an die peripheren Gewebe wird jedoch erschwert, was zur zerebralen Hypoxie und den typischen Symptomen (Schwindel, Parästhesien) bei Hyperventilation beiträgt.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9: Biochemie / Kohlenhydratstoffwechsel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Unter anaeroben Bedingungen (z.B. im hart arbeitenden Skelettmuskel oder in Erythrozyten) muss die Glykolyse aufrechterhalten werden, obwohl die Atmungskette mangels Sauerstoff stillsteht. Welches Enzym stellt durch die Reduktion von Pyruvat zu Laktat die Regeneration von NAD+ sicher?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Pyruvatdehydrogenase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Laktatdehydrogenase (LDH)</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Phosphofruktokinase-1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Pyruvatcarboxylase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Aldolase 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B. Die Glykolyse benötigt zwingend NAD+ (am Schritt der Glycerinaldehyd-3-phosphat-Dehydrogenase). Wenn Sauerstoff fehlt, kann NADH/H+ nicht über die mitochondriale Atmungskette reoxidiert werden. Die Laktatdehydrogenase (LDH) überträgt die Wasserstoffionen vom NADH/H+ auf Pyruvat, wodurch Laktat entsteht und NAD+ für die kontinuierliche Fortführung der Glykolyse im Zytosol regeneriert wird.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10: Medizinische Psychologie / Lerntheorien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Patient mit chronischen Rückenschmerzen wird von seiner Familie von allen unangenehmen Pflichten im Haushalt entbunden, sobald er Schmerzverhalten zeigt. Dadurch nimmt sein Schmerzverhalten in Häufigkeit und Intensität zu. Welches lerntheoretische Prinzip aus der Psychologie beschreibt diesen Mechanismus am besten?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Klassische Konditionierung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Positive Verstärkung (Operante Konditionierung)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Negative Verstärkung (Operante Konditionierung)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Habituation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Modelllernen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10:</w:t>
      </w:r>
      <w:r w:rsidDel="00000000" w:rsidR="00000000" w:rsidRPr="00000000">
        <w:rPr>
          <w:rFonts w:ascii="Arial" w:cs="Arial" w:eastAsia="Arial" w:hAnsi="Arial"/>
          <w:color w:val="1f1f1f"/>
          <w:rtl w:val="0"/>
        </w:rPr>
        <w:t xml:space="preserve"> Die korrekte Antwort ist C. Bei der operanten Konditionierung (nach Skinner) ändert sich die Auftretenswahrscheinlichkeit eines Verhaltens durch seine Konsequenzen. Das Entfernen eines unangenehmen Reizes (hier: die Befreiung von unangenehmen Haushaltspflichten) als Folge des Schmerzverhaltens wird als negative Verstärkung bezeichnet. Dies führt dazu, dass das Verhalten in Zukunft häufiger gezeigt wird. (Positive Verstärkung wäre das Hinzufügen eines angenehmen Reizes, z.B. vermehrte Zuwendung). Psychologische Grundlagen des Erlebens und Verhaltens sind detailliert im NKLM und ÄApprO-Gegenstandskatalog verankert.</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11: Humangenetik / Populationsgenetik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einer Population tritt die autosomal-rezessive Erkrankung Mukoviszidose mit einer Häufigkeit von 1:2500 auf. Wie hoch ist die ungefähre Frequenz der heterozygoten Überträger (Konduktoren) in dieser Population unter Annahme des Hardy-Weinberg-Gleichgewichts?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1:25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1:50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1:125</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4 % (1:25)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2 % (1:50)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11: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D. Im Hardy-Weinberg-Gleichgewicht gilt p² + 2pq + q² = 1. Die Krankheitshäufigkeit (q²) beträgt 1/2500. Die Allelfrequenz des rezessiven Allels (q) ist die Wurzel daraus, also 1/50 (0,02). Da p + q = 1, ist p = 49/50 (ca. 1). Die Häufigkeit der Heterozygoten wird mit 2pq berechnet: 2 * 1 * (1/50) = 2/50 = 4/100 = 4 % (oder 1:25). Dieses Wissen ist grundlegend für humangenetische Beratungen in der späteren ärztlichen Praxis.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12: Anatomie / Bewegungsapparat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Patient kann nach einem Motorradunfall mit Beckenverletzung sein linkes Kniegelenk nicht mehr aktiv strecken und zeigt einen fehlenden Patellarsehnenreflex. Eine Sensibilitätsstörung findet sich an der Vorderseite des Oberschenkels. Welcher Nerv ist am wahrscheinlichsten geschädigt?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Nervus ischiadicus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Nervus femoralis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Nervus obturatorius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Nervus tibialis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Nervus fibularis communis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12: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B. Der Nervus femoralis (aus den Segmenten L2-L4 des Plexus lumbalis) innerviert motorisch die Extensoren des Kniegelenks (insbesondere den Musculus quadriceps femoris) sowie Teile der Hüftbeuger (M. iliopsoas). Ein Ausfall führt zur Unfähigkeit der Kniestreckung und zum Ausfall des Patellarsehnenreflexes (L3/L4). Sensibel versorgt er die Vorderseite des Oberschenkels sowie (über den N. saphenus) die mediale Unterschenkelseite.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13: Physiologie / Endokrinologie und Umwelt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Welche kleine endokrine Drüse im Diencephalon ist primär für die Sekretion von Melatonin verantwortlich und fungiert somit als zentrales Organ für die Regulation der zirkadianen Rhythmik und des Schlaf-Wach-Rhythmus, ein Lernziel, das im NKLM 2.0 besonders betont wird?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Neurohypophyse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Adenohypophyse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Epiphyse (Glandula pinealis)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Nebennierenmark</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Hypothalamus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13:</w:t>
      </w:r>
      <w:r w:rsidDel="00000000" w:rsidR="00000000" w:rsidRPr="00000000">
        <w:rPr>
          <w:rFonts w:ascii="Arial" w:cs="Arial" w:eastAsia="Arial" w:hAnsi="Arial"/>
          <w:color w:val="1f1f1f"/>
          <w:rtl w:val="0"/>
        </w:rPr>
        <w:t xml:space="preserve"> Die korrekte Antwort ist C. Die Epiphyse (Zirbeldrüse) produziert Melatonin aus Serotonin. Die Freisetzung wird durch Dunkelheit stimuliert und durch Licht (über den Tractus retinohypothalamicus und den Nucleus suprachiasmaticus) gehemmt. Die Regulation der zirkadianen Rhythmik ist ein explizites neues Lernziel im NKLM 2.0 (VII.1a-18.11.3), das auch im Kontext von "Planetary Health" (Lichtverschmutzung) gelehrt werden soll.</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14: Biochemie / Endokrine Disruptoren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 Rahmen der umweltmedizinischen Grundlagenforschung (gemäß NKLM 2.0) beschäftigen Sie sich mit endokrinen Disruptoren aus der Umwelt (z.B. Bisphenol A). Von welcher organischen Grundstruktur leiten sich die primären physiologischen Steroidhormone ab, deren Synthese durch solche Schadstoffe gestört werden kann?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Arachidonsäure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Tyrosin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Cholesterin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Tryptophan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Sphingomyelin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14:</w:t>
      </w:r>
      <w:r w:rsidDel="00000000" w:rsidR="00000000" w:rsidRPr="00000000">
        <w:rPr>
          <w:rFonts w:ascii="Arial" w:cs="Arial" w:eastAsia="Arial" w:hAnsi="Arial"/>
          <w:color w:val="1f1f1f"/>
          <w:rtl w:val="0"/>
        </w:rPr>
        <w:t xml:space="preserve"> Die korrekte Antwort ist C. Alle Steroidhormone (wie Cortisol, Aldosteron, Testosteron, Östradiol) werden im menschlichen Organismus durch schrittweise enzymatische Modifikationen aus dem lipophilen Grundgerüst des Cholesterins synthetisiert. Die Zunahme der hormonbezogenen Morbidität durch chemische Umweltverschmutzung (endokrine Disruptoren, die oft an Steroidrezeptoren binden) ist ein neu fokussiertes Lernziel in der ärztlichen Ausbildung (VII.1a-05.1.12).</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15: Molekularbiologie / Labormethoden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in der hausärztlichen Praxis eine Infektion mit dem SARS-CoV-2-Virus zweifelsfrei und mit höchster Sensitivität nachzuweisen, wird genetisches Material aus einem Rachenabstrich amplifiziert. Welche Methode ist hierfür der molekularbiologische Goldstandard, bei dem eine reverse Transkription vorgeschaltet werden muss?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Western Blot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ELISA (Enzyme-Linked Immunosorbent Assay)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RT-PCR (Reverse Transkriptase Polymerase-Kettenreaktion)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Southern Blot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Durchflusszytometrie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Musterlösung 15: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korrekte Antwort ist C. Da das Genom von Coronaviren (wie SARS-CoV-2) aus RNA besteht, muss diese RNA im Labor zunächst durch das Enzym Reverse Transkriptase in komplementäre DNA (cDNA) umgeschrieben werden, bevor sie in der Polymerase-Kettenreaktion (PCR) exponentiell amplifiziert und detektiert werden kann. Western Blot dient dem Proteinnachweis, Southern Blot dem DNA-Nachweis, und ELISA detektiert Antigene oder Antikörper auf Proteinebene.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Teil B: Klinisches Wissen und Leitlinien (Fokus M2 / Hammerexamen)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16: Allgemeinmedizin / Abwendbar gefährliche Verläufe (DEGAM 053-023)</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61-jähriger, adipöser Patient mit bekannter arterieller Hypertonie klagt in der Hausarztpraxis über seit einer Stunde bestehende, dumpf-drückende Thoraxschmerzen, die in den linken Unterkiefer ausstrahlen. Der Blutdruck beträgt 150/95 mmHg. Das in der Praxis abgeleitete 12-Kanal-EKG zeigt einen unauffälligen Sinusrhythmus (keine ST-Hebungen, keine T-Negativierungen). Welches Vorgehen ist gemäß der S3-Leitlinie "Brustschmerz" am ehesten indiziert?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Ausschluss eines Akuten Koronarsyndroms (ACS) aufgrund des strikt normalen EKGs und Verordnung von NSAR.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Bestimmung der D-Dimere zum Ausschluss einer Lungenembolie.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Notärztliche Alarmierung und Einweisung in eine Klinik (Chest-Pain-Unit), da ein unauffälliges EKG ein ACS keineswegs ausschließt.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Verordnung eines Protonenpumpeninhibitors (PPI) ex juvantibus bei Verdacht auf Refluxösophagitis.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Ambulante kardiologische Vorstellung zur Belastungs-Ergometrie in vier Wochen.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16:</w:t>
      </w:r>
      <w:r w:rsidDel="00000000" w:rsidR="00000000" w:rsidRPr="00000000">
        <w:rPr>
          <w:rFonts w:ascii="Arial" w:cs="Arial" w:eastAsia="Arial" w:hAnsi="Arial"/>
          <w:color w:val="1f1f1f"/>
          <w:rtl w:val="0"/>
        </w:rPr>
        <w:t xml:space="preserve"> Die korrekte Antwort ist C. Die DEGAM-S3-Leitlinie "Brustschmerz" (Register-Nr. 053-023) warnt explizit davor, ein ACS bei klinisch typischer Symptomatik (Angina pectoris) lediglich aufgrund eines unauffälligen Ruhe-EKGs auszuschließen.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Ein instabiles NSTEMI oder eine instabile Angina pectoris können ohne jegliche EKG-Veränderungen einhergehen. Dies ist einer der gefährlichsten "Pitfalls" (Fehlerquellen) in der Primärdiagnostik.</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Der abwendbar gefährliche Verlauf muss durch lückenlose Überwachung und laborchemische Diagnostik (hochsensitives Troponin in der Zeitkinetik) in der Klinik sicher ausgeschlossen werden.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17: Multimedikation und Geriatrie (DEGAM 053-047 / 053-043)</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Sie betreuen eine 81-jährige multimorbide Patientin. Sie leidet an Herzinsuffizienz, COPD, Osteoarthrose, Vorhofflimmern und leichtem Diabetes Typ 2. Der Medikationsplan umfasst aktuell 14 verschiedene Präparate. In letzter Zeit klagt sie über starken Schwindel, Verwirrtheitszustände und rezidivierende Stürze im Häuslichen. Nach den DEGAM-Leitlinien "Multimorbidität" und "Multimedikation" sollte zur Priorisierung der Therapieziele welches Vorgehen präferiert werden?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Additive und strikte Umsetzung aller existierenden monomorbiden Facharzt-Leitlinien für jede einzelne Diagnose.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Anwendung eines Meta-Algorithmus unter zentraler Einbeziehung der Patientenpräferenzen und systematische Reduktion potentiell inadäquater Medikation (PIM) unter Nutzung der PRISCUS-Liste.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Generelles, abruptes Absetzen aller kardiovaskulären Medikamente zur Sturzprophylaxe.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Überweisung an fünf separate Fachdisziplinen zur isolierten Medikamentenüberprüfung.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Verdopplung der Diuretika-Dosis zur Entlastung des rechten Herzens.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17:</w:t>
      </w:r>
      <w:r w:rsidDel="00000000" w:rsidR="00000000" w:rsidRPr="00000000">
        <w:rPr>
          <w:rFonts w:ascii="Arial" w:cs="Arial" w:eastAsia="Arial" w:hAnsi="Arial"/>
          <w:color w:val="1f1f1f"/>
          <w:rtl w:val="0"/>
        </w:rPr>
        <w:t xml:space="preserve"> Die korrekte Antwort ist B. Die unkritische, reine Addition monomorbider Leitlinien führt bei multimorbiden älteren Patienten fast immer zu schädlicher Polypharmazie und unüberschaubaren Arzneimittelinteraktionen.</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Die DEGAM-Living-Guideline "Multimorbidität" (053-047) hat als Paradigmenwechsel den Einsatz eines "Meta-Algorithmus" eingeführt, der die verbleibende Lebenserwartung, die Funktionalität und vor allem die individuellen Therapieziele des Patienten priorisiert.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Zudem dient die PRISCUS-Liste oder der Medication Appropriateness Index (MAI) der Identifikation von PIMs (Potenziell Inadäquate Medikation), die bei Älteren typischerweise Schwindel, Delir und Stürze auslösen.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18: Atemwegsinfektionen in der Primärversorgung (DEGAM 053-013)</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38-jährige, ansonsten gesunde Patientin stellt sich im Winter mit seit fünf Tagen bestehendem, teils produktivem Husten und leichter Subfebrilität (37,8 °C) vor. Sie fordert explizit ein Antibiotikum. Die Auskultation der Lunge ergibt ein vesikuläres Atemgeräusch ohne Rasselgeräusche, die Atemfrequenz liegt bei 14/min, der Blutdruck bei 125/80 mmHg. Wie verhalten Sie sich gemäß der DEGAM-Leitlinie "Akuter und chronischer Husten" (053-013) korrekt?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Sofortige Verschreibung von Amoxicillin/Clavulansäure zur Verhinderung einer bakteriellen Superinfektion.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Anfertigung eines Röntgenthorax in zwei Ebenen in der Praxis zum sicheren Ausschluss einer atypischen Pneumonie.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Berechnung des CRB-65-Scores (Ergebnis: 0), Aufklärung über die in über 90 % virale Genese der akuten Bronchitis und Empfehlung rein symptomatischer Maßnahmen.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Verschreibung eines codeinhaltigen, zentral dämpfenden Antitussivums zur Nacht und eines Makrolids.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Stationäre Einweisung zur intravenösen Sepsistherapie.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18:</w:t>
      </w:r>
      <w:r w:rsidDel="00000000" w:rsidR="00000000" w:rsidRPr="00000000">
        <w:rPr>
          <w:rFonts w:ascii="Arial" w:cs="Arial" w:eastAsia="Arial" w:hAnsi="Arial"/>
          <w:color w:val="1f1f1f"/>
          <w:rtl w:val="0"/>
        </w:rPr>
        <w:t xml:space="preserve"> Die korrekte Antwort ist C. Akuter Husten bei anderweitig gesunden, immunkompetenten Erwachsenen ist ganz überwiegend die Folge einer viralen akuten Bronchitis, bei der Antibiotika absolut nicht indiziert sind.</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Der CRB-65-Score zur klinischen Risikostratifizierung einer Pneumonie (Confusion, Respiratory rate &gt;30, Blood pressure &lt;90/60, Age &gt;65) liegt hier bei 0. Somit kann sicher und leitliniengerecht eine ambulante, rein symptomatische Behandlung erfolgen.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Eine unkritische Antibiose wäre wirkungslos und fördert gravierend die Resistenzentwicklung. Die Kommunikation sollte im Sinne des "Shared Decision Making" erfolgen.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19: Nackenschmerzen (DEGAM 053-007)</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45-jähriger Büroangestellter klagt über seit drei Wochen bestehende, nicht-spezifische Nackenschmerzen mit Ausstrahlung in die Schulter, ohne neurologische Defizite (keine Paresen, intakte Reflexe). Was ist nach der DEGAM-S3-Leitlinie "Nicht-spezifische Nackenschmerzen" die evidenzbasierte Basisintervention der ersten Wahl?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Sofortige Überweisung zur MRT der Halswirbelsäule zum Ausschluss eines Bandscheibenvorfalls.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Strikte Ruhigstellung mittels einer Halskrawatte (Zervikalstütze) für mindestens 14 Tage.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Aufklärung über die Benignität, Ermutigung zur Beibehaltung der normalen körperlichen Aktivität und ggf. kurzzeitige Analgetikagabe (z.B. Ibuprofen).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Verordnung von stark wirksamen Opioiden nach dem WHO-Stufenschema.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Operative Vorabklärung durch einen Neurochirurgen.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19:</w:t>
      </w:r>
      <w:r w:rsidDel="00000000" w:rsidR="00000000" w:rsidRPr="00000000">
        <w:rPr>
          <w:rFonts w:ascii="Arial" w:cs="Arial" w:eastAsia="Arial" w:hAnsi="Arial"/>
          <w:color w:val="1f1f1f"/>
          <w:rtl w:val="0"/>
        </w:rPr>
        <w:t xml:space="preserve"> Die korrekte Antwort ist C. Bei "nicht-spezifischen" Nackenschmerzen (ohne neurologische Warnsignale / "Red Flags" wie Paresen, Myelopathiezeichen oder Frakturverdacht) ist eine bildgebende Diagnostik in der Akutphase obsolet, da sie oft asymptomatische degenerative Veränderungen zeigt, die zur Chronifizierung durch Nocebo-Effekte beitragen können. Die Leitlinie empfiehlt als Basisintervention die Aufklärung über den meist gutartigen Verlauf, die Vermeidung von Schonhaltung und die aktive Fortführung des Alltags, flankiert durch kurzzeitige NSAR-Gabe.</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20: Perioperatives Management (Anästhesiologie &amp; Hausarzt)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68-jähriger Patient, der wegen eines chronischen Vorhofflimmerns mit dem DOAK Apixaban antikoaguliert ist und wegen eines Diabetes Typ 2 Metformin einnimmt, steht vor einer elektiven großen Bauchoperation. Wie muss die präoperative Medikation evidenzbasiert gesteuert werden?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Apixaban muss 24-72 Stunden (nierenfunktionsabhängig) präoperativ pausiert werden; ein Bridging mit NMH ist bei alleinigem VHF meist nicht indiziert. Metformin sollte wegen des Laktatazidoserisikos präoperativ abgesetzt werden.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Apixaban wird bis zum OP-Morgen unverändert weitergenommen, um Schlaganfälle auf dem OP-Tisch zu verhindern.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Metformin wird durch Insulinperfusoren ersetzt, Apixaban durch eine hochdosierte intravenöse Marcumar-Therapie.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Beide Medikamente erfordern keine Anpassung, da es sich um moderne, sichere Präparate handelt.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Die OP muss zwingend abgesagt werden, bis das Vorhofflimmern kurativ ablatiert wurde.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20:</w:t>
      </w:r>
      <w:r w:rsidDel="00000000" w:rsidR="00000000" w:rsidRPr="00000000">
        <w:rPr>
          <w:rFonts w:ascii="Arial" w:cs="Arial" w:eastAsia="Arial" w:hAnsi="Arial"/>
          <w:color w:val="1f1f1f"/>
          <w:rtl w:val="0"/>
        </w:rPr>
        <w:t xml:space="preserve"> Die korrekte Antwort ist A. DOAKs wie Apixaban haben eine relativ kurze Halbwertszeit und müssen vor Eingriffen mit hohem Blutungsrisiko rechtzeitig pausiert werden. Ein klassisches "Bridging" mit niedermolekularem Heparin (NMH), wie man es früher bei Phenprocoumon (Marcumar) praktiziert hat, wird heute bei alleinigem Vorhofflimmern und DOAKs nicht mehr empfohlen, da es das Blutungsrisiko ohne signifikanten Benefit für die Thromboembolieprophylaxe erhöht. Metformin muss vor großen OPs, Nüchternheit oder Kontrastmittelgabe abgesetzt werden, da bei perioperativer Nierenfunktionseinschränkung die Gefahr einer lebensbedrohlichen Laktatazidose besteht.</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21: Viszeralchirurgie / Akutes Abdomen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22-jährige Patientin stellt sich nachts in der Notaufnahme vor. Sie berichtet von initial diffusen, periumbilikalen Schmerzen am Morgen, die nun in den rechten Unterbauch gewandert sind. Es bestehen Übelkeit, Appetitlosigkeit und Subfebrilität (38,2 °C). Welches spezifische klinische Zeichen überprüfen Sie primär, und wie lautet die wahrscheinlichste Diagnose?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Murphy-Zeichen / Akute Cholezystitis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Druckschmerz am McBurney-Punkt und Blumberg-Zeichen / Akute Appendizitis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Cullen-Zeichen / Hämorrhagische Pankreatitis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Courvoisier-Zeichen / Pankreaskopfkarzinom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Psoas-Schmerz / Nephrolithiasis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21:</w:t>
      </w:r>
      <w:r w:rsidDel="00000000" w:rsidR="00000000" w:rsidRPr="00000000">
        <w:rPr>
          <w:rFonts w:ascii="Arial" w:cs="Arial" w:eastAsia="Arial" w:hAnsi="Arial"/>
          <w:color w:val="1f1f1f"/>
          <w:rtl w:val="0"/>
        </w:rPr>
        <w:t xml:space="preserve"> Die korrekte Antwort ist B. Die Schmerzwanderung vom Epigastrium/Periumbilikalbereich (viszeraler Schmerz) in den rechten Unterbauch (somatischer Schmerz durch peritoneale Reizung) ist der klassische Verlauf der akuten Appendizitis.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Typische klinische Appendizitis-Zeichen sind der Druckschmerz am McBurney-Punkt (1/3 der Distanz von der Spina iliaca anterior superior zum Nabel), der Lanz-Punkt, das Blumberg-Zeichen (kontralateraler Loslassschmerz) und das Rovsing-Zeichen (retrogrades Ausstreichen des Kolons).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22: Kardiologie / Notaufnahme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73-jährige Patientin wird vom Rettungsdienst wegen akut aufgetretener Luftnot und Palpitationen eingeliefert. Der Monitor zeigt eine Tachyarrhythmia absoluta mit einer Herzfrequenz von 145/min und schmalen QRS-Komplexen. Der Blutdruck liegt bei 90/60 mmHg. Die Patientin ist kaltschweißig und zunehmend somnolent. Welches ist die leitliniengerechte Akutmaßnahme bei dieser hämodynamisch instabilen Patientin?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Intravenöse Gabe von Amiodaron über 30 Minuten.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Intravenöse Gabe von Metoprolol zur Frequenzkontrolle.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Sofortige elektrische Kardioversion nach Kurznarkose.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Gabe von Adenosin als rascher Bolus.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Abwarten und Anlage eines 24-Stunden-Langzeit-EKGs.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22:</w:t>
      </w:r>
      <w:r w:rsidDel="00000000" w:rsidR="00000000" w:rsidRPr="00000000">
        <w:rPr>
          <w:rFonts w:ascii="Arial" w:cs="Arial" w:eastAsia="Arial" w:hAnsi="Arial"/>
          <w:color w:val="1f1f1f"/>
          <w:rtl w:val="0"/>
        </w:rPr>
        <w:t xml:space="preserve"> Die korrekte Antwort ist C. Bei tachykarden Rhythmusstörungen (hier ein Vorhofflimmern mit Tachyarrhythmia absoluta) ist die hämodynamische Stabilität das entscheidende Kriterium für den Algorithmus.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Ist die Patientin instabil (Hypotonie &lt;90 mmHg, Schockzeichen, Somnolenz, akute Herzinsuffizienz, Angina pectoris), ist eine medikamentöse Therapie zu langsam und ineffektiv. Die Methode der Wahl ist die sofortige synchronisierte elektrische Kardioversion.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23: Endokrinologie / Schilddrüse (DEGAM 053-058)</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50-jähriger, beschwerdefreier Patient stellt sich zum Check-up vor. Die Palpation des Halses ist unauffällig. Er wünscht ausdrücklich eine Ultraschalluntersuchung der Schilddrüse, da sein Nachbar kürzlich an Krebs erkrankt sei. Die DEGAM-Leitlinie zu Schilddrüsenknoten empfiehlt: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Ein generelles Sonographie-Screening für alle Erwachsenen ab 45 Jahren zur Krebsfrüherkennung.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Ein Ultraschall-Screening asymptomatischer Erwachsener ohne Risikofaktoren wird nicht empfohlen, da es zu massiver Überdiagnostik von klinisch irrelevanten Knoten führt.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Die routinemäßige Bestimmung von Thyreoglobulin als Tumormarker.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Die sofortige Feinnadelpunktion aller sonographisch sichtbaren Areale.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Eine prophylaktische Radiojodtherapie bei positiver Familienanamnese.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23:</w:t>
      </w:r>
      <w:r w:rsidDel="00000000" w:rsidR="00000000" w:rsidRPr="00000000">
        <w:rPr>
          <w:rFonts w:ascii="Arial" w:cs="Arial" w:eastAsia="Arial" w:hAnsi="Arial"/>
          <w:color w:val="1f1f1f"/>
          <w:rtl w:val="0"/>
        </w:rPr>
        <w:t xml:space="preserve"> Die korrekte Antwort ist B. Die S3-Leitlinie "Schilddrüsenknoten" (053-058) positioniert sich klar gegen ein unselektiertes sonographisches Screening der Allgemeinbevölkerung.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Schilddrüsenknoten sind extrem häufig (bei über 30 % der Erwachsenen sonographisch nachweisbar), aber Malignome sind extrem selten. Ein unkritisches Screening führt zu einer Kaskade an unnötiger Diagnostik (Feinnadelpunktionen), Ängsten (Nocebo) und potenziell komplikationsbehafteten Übertherapien (Operationen).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24: Umweltmedizin / Hitze (DEGAM 053-052)</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 Rahmen zunehmender Hitzewellen (Klimawandel) stellt sich ein 82-jähriger, diuretika-pflichtiger Patient mit allgemeiner Schwäche, Verwirrtheit und starkem Durstgefühl in der Praxis vor. Die Hautturgeszenz ist vermindert. Welche Elektrolytstörung ist bei Exsikkose durch inadäquate Flüssigkeitsaufnahme bei älteren Patienten am ehesten zu erwarten und wie lautet die therapeutische Konsequenz der DEGAM-Empfehlung?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Hypertone Dehydration (Hypernatriämie); langsame Rehydrierung zur Vermeidung von Hirnödemen.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Isotone Hyperhydration; Gabe von Schleifendiuretika.</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Hypotone Dehydration (Hyponatriämie); schnelle Infusion von 3%iger NaCl-Lösung.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Hyperkaliämie; Gabe von Resonium.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Isolierte Hyperkalzämie; Gabe von Bisphosphonaten.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24:</w:t>
      </w:r>
      <w:r w:rsidDel="00000000" w:rsidR="00000000" w:rsidRPr="00000000">
        <w:rPr>
          <w:rFonts w:ascii="Arial" w:cs="Arial" w:eastAsia="Arial" w:hAnsi="Arial"/>
          <w:color w:val="1f1f1f"/>
          <w:rtl w:val="0"/>
        </w:rPr>
        <w:t xml:space="preserve"> Die korrekte Antwort ist A. Bei unzureichender Trinkmenge während Hitzewellen (besonders bei Älteren mit vermindertem Durstgefühl und Diuretika-Therapie) kommt es zu einem relativen Wasserverlust, der größer ist als der Elektrolytverlust, was in einer hypertonen Dehydration (Hypernatriämie) resultiert.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Der Ausgleich dieses Defizits muss langsam erfolgen (max. Senkung des Natriums um 10-12 mmol/L in 24h), da ein zu rapider Ausgleich zu osmotischen Flüssigkeitsverschiebungen in die Hirnzellen und damit zu einem tödlichen Hirnödem führen kann.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25: Meldepflicht / Infektionsschutzgesetz (DEGAM 053-067)</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Bei einem 4-jährigen, ungeimpften Kind diagnostizieren Sie klinisch typische Masern (hohes Fieber, katarrhalische Symptome, Koplik-Flecken an der Wangenschleimhaut, anschließendes makulopapulöses Exanthem). Welche gesetzliche Verpflichtung resultiert hieraus für Sie als behandelnden Arzt unverzüglich?</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Keine Meldepflicht, lediglich Isolierung zu Hause.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Namentliche Meldung des klinischen Verdachts an das zuständige Gesundheitsamt innerhalb von 24 Stunden.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Nicht-namentliche Meldung an das Robert Koch-Institut innerhalb einer Woche.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Meldung nur bei labordiagnostischer Bestätigung, nicht bei alleinigem Verdacht.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Verpflichtende stationäre Einweisung in eine Isolierstation.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Musterlösung 25:</w:t>
      </w:r>
      <w:r w:rsidDel="00000000" w:rsidR="00000000" w:rsidRPr="00000000">
        <w:rPr>
          <w:rFonts w:ascii="Arial" w:cs="Arial" w:eastAsia="Arial" w:hAnsi="Arial"/>
          <w:color w:val="1f1f1f"/>
          <w:rtl w:val="0"/>
        </w:rPr>
        <w:t xml:space="preserve"> Die korrekte Antwort ist B. Gemäß § 6 Infektionsschutzgesetz (IfSG) ist bei Masern bereits der klinische Verdacht (sowie die Erkrankung und der Tod) namentlich und unverzüglich (spätestens innerhalb von 24 Stunden) an das Gesundheitsamt zu melden. Dies ermöglicht den Behörden schnelle umgebungspräventive Maßnahmen (z.B. Riegelungsimpfungen, Ausschluss aus Gemeinschaftseinrichtungen). Die DEGAM-S1-Leitlinie (053-067) befasst sich explizit mit diesem Vorgehen in der Primärversorgung.</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Teil C: Facharztniveau und mündlich-praktische Prüfung (M3 / Facharzt)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26: Rheumatologie in der Hausarztpraxis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78-jähriger Patient berichtet in Ihrer Praxis über einen ungewollten Gewichtsverlust von 4 kg in zwei Monaten sowie über neu aufgetretene, massive Schmerzen und Steifigkeit in der Schulter- und Beckengürtelmuskulatur, die besonders morgens quälend sind. Die Blutsenkungsgeschwindigkeit (BSG) ist mit 90 mm/n.W. massiv erhöht. Welches Krankheitsbild vermuten Sie primär, nach welchem hochriskanten Begleitsymptom müssen Sie zwingend anamnestizieren und wie sieht die Initialtherapie aus?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Rheumatoide Arthritis; Frage nach Morgensteifigkeit der kleinen Fingergelenke; Einleitung einer Therapie mit Methotrexat.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Polymyalgia rheumatica; Zwingende Frage nach neuartigen Kopfschmerzen, Sehstörungen oder Kauschmerzen (Ausschluss einer Arteriitis temporalis / Riesenzellarteriitis); rascher Beginn mit oralen Glukokortikoiden.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Fortgeschrittene Osteoporose; Frage nach stattgehabten Wirbelkörperfrakturen; Gabe von Bisphosphonaten.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Somatoformes Schmerzsyndrom; Frage nach depressiven Episoden; Verschreibung von Amitriptylin.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Multiples Myelom; Frage nach nächtlichen Knochenschmerzen; Überweisung zur hochdosierten Chemotherapie.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26:</w:t>
      </w:r>
      <w:r w:rsidDel="00000000" w:rsidR="00000000" w:rsidRPr="00000000">
        <w:rPr>
          <w:rFonts w:ascii="Arial" w:cs="Arial" w:eastAsia="Arial" w:hAnsi="Arial"/>
          <w:color w:val="1f1f1f"/>
          <w:rtl w:val="0"/>
        </w:rPr>
        <w:t xml:space="preserve"> Die korrekte Antwort ist B. Das klinische Bild mit bilateralem, proximalem Schulter- und Beckengürtelschmerz bei Patienten über 65 Jahren, kombiniert mit einer massiv beschleunigten BSG und B-Symptomatik (Gewichtsverlust), ist pathognomonisch für eine Polymyalgia rheumatica (PMR). Da die PMR bei bis zu 20 % der Patienten mit einer Riesenzellarteriitis (Arteriitis temporalis) vergesellschaftet ist, muss der Hausarzt als erste Instanz zwingend nach Kauschmerzen (Claudicatio masticatoria) und neuartigen, bitemporalen Kopfschmerzen oder Sehstörungen (Amaurosis fugax) fragen.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Bei einer Ischämie des N. opticus droht die irreversible Erblindung, weshalb bei Verdacht sofort und hochdosiert mit Glukokortikoiden behandelt werden muss.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27: Palliativmedizin &amp; End-of-Life Care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Sie betreuen hausärztlich eine 68-jährige Patientin mit fortgeschrittener Amyotropher Lateralsklerose (ALS). Sie leidet zunehmend unter Dyspnoe und äußert unter Tränen massive Angst, am Ende ihrer Erkrankung "grausam und wach bei vollem Bewusstsein ersticken zu müssen". Welchen pathophysiologischen Mechanismus können Sie der Patientin in einfacher Sprache erklären, um ihr diese spezifische, panische Angst vor dem Erstickungstod zu nehmen?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Die Gabe von hochdosiertem Sauerstoff über eine Maske verhindert jegliches Gefühl der Atemnot bis zur letzten Sekunde zuverlässig.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Die chronische Atempumpenschwäche führt unweigerlich zu einer schleichenden Hyperkapnie (CO2-Anstieg im Blut). CO2 wirkt ab einem gewissen Partialdruck narkotisierend auf das Gehirn, sodass ALS-Patienten in der Regel schmerzfrei und sanft eindämmern (sogenannte CO2-Narkose), statt qualvoll zu ersticken.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Nur durch einen raschen Luftröhrenschnitt (Tracheotomie) wird der Tod durch Ersticken verhindert.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Das Atemzentrum im Hirnstamm fällt durch die Krankheit komplett aus, sodass gar kein physiologisches Bedürfnis mehr nach Luft besteht.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Sie klären auf, dass Ersticken unvermeidlich ist, aber durch tiefe Sedierung gelindert werden muss.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27:</w:t>
      </w:r>
      <w:r w:rsidDel="00000000" w:rsidR="00000000" w:rsidRPr="00000000">
        <w:rPr>
          <w:rFonts w:ascii="Arial" w:cs="Arial" w:eastAsia="Arial" w:hAnsi="Arial"/>
          <w:color w:val="1f1f1f"/>
          <w:rtl w:val="0"/>
        </w:rPr>
        <w:t xml:space="preserve"> Die korrekte Antwort ist B. Die Palliativmedizin ist als Querschnittsbereich 13 ein hochrelevantes Prüfungsthema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und eine ethische Kernkompetenz der Allgemeinmedizin.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Bei neuromuskulären Erkrankungen wie der ALS kommt es terminal zur Erschöpfung der Atemmuskulatur (ventilatorische Insuffizienz). Dadurch kann Kohlendioxid nicht mehr adäquat abgeatmet werden. Der ansteigende pCO2-Wert im Blut wirkt stark dämpfend und narkotisierend auf das zentrale Nervensystem. Dies führt zu zunehmender Somnolenz, dann zum Koma und schließlich zum Tod (CO2-Narkose). Dieses Wissen ist im ärztlichen Aufklärungsgespräch elementar, um dem Patienten und den Angehörigen die Panik vor einem vermeintlichen "Erstickungskampf" zu nehmen.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28: Pädiatrie im hausärztlichen Setting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Eine besorgte Mutter stellt in Ihrer Hausarztpraxis ihr 9-jähriges Mädchen vor. Sie klagt über rezidivierende Phasen von Atemnot und trockenem Husten, die besonders ausgeprägt bei körperlicher Anstrengung (z.B. im Sportunterricht) und nach harmlosen Infekten der oberen Luftwege auftreten. Welche Verdachtsdiagnose ist am wahrscheinlichsten und welche apparative Basisdiagnostik veranlassen Sie noch in der Praxis?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Zystische Fibrose (Mukoviszidose) / Zuweisung zum Schweißtest.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Belastungsinduziertes Asthma bronchiale / Durchführung einer Spirometrie mit anschließendem Bronchospasmolyse-Test.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Akute bakterielle Epiglottitis / Sofortige Laryngoskopie.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Unbemerkte Fremdkörperaspiration / Überweisung zum Röntgenthorax.</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Psychogene Hyperventilation / Überweisung zur Kinder- und Jugendpsychiatrie.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28:</w:t>
      </w:r>
      <w:r w:rsidDel="00000000" w:rsidR="00000000" w:rsidRPr="00000000">
        <w:rPr>
          <w:rFonts w:ascii="Arial" w:cs="Arial" w:eastAsia="Arial" w:hAnsi="Arial"/>
          <w:color w:val="1f1f1f"/>
          <w:rtl w:val="0"/>
        </w:rPr>
        <w:t xml:space="preserve"> Die korrekte Antwort ist B. Die Symptomtrias aus anfallsartigem Husten und Dyspnoe, die typischerweise durch körperliche Anstrengung (Belastungsasthma), Kälte oder respiratorische Infekte getriggert wird, ist im Kindesalter hochverdächtig für ein Asthma bronchiale.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Die lungenfachärztliche Grunddiagnostik mittels Spirometrie gehört zum unabdingbaren Repertoire des Allgemeinmediziners. Zeigt die Lungenfunktion eine obstruktive Ventilationsstörung (z.B. verminderte FEV1), die nach Inhalation eines kurzwirksamen Beta-2-Sympathomimetikums (SABA wie Salbutamol) signifikant reversibel ist, gilt die Diagnose Asthma bronchiale als gesichert.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29: Psychosomatik und somatoforme Störungen (DEGAM 053-065)</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45-jähriger Patient sucht Ihre Praxis auf. Er hat in den letzten zehn Monaten wiederholt diverse Fachärzte (Kardiologen, Gastroenterologen, Orthopäden) konsultiert, um unklare, wandernde Schmerzen abklären zu lassen. Alle apparativen Befunde (inklusive MRT, Koloskopie und Herzkatheter) blieben ohne jedes organische Korrelat. Sie vermuten stark eine somatoforme autonome Funktionsstörung. Was ist die wichtigste primäre ärztliche Aufgabe in diesem spezifischen anamnestischen Erstgespräch, um eine iatrogene Chronifizierung zu vermeiden?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Dem Patienten direkt und konfrontativ mitteilen, dass er "nichts Körperliches" hat und die Schmerzen rein psychogen eingebildet sind.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Der proaktive Aufbau einer stabilen, wertschätzenden Vertrauensbeziehung, die Validierung der Beschwerden ("Ihre Symptome sind real und spürbar") sowie eine integrierte biopsychosoziale Anamneseerhebung.</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Die Anordnung einer weiteren, feingeweblichen Diagnostik, um auch den allerletzten Patienten-Zweifel auszuräumen.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Die sofortige Verschreibung von hochdosierten trizyklischen Antidepressiva.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Die sofortige Abweisung des Patienten an eine psychiatrische Klinik, da die Hausarztpraxis hierfür nicht zuständig sei.</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29:</w:t>
      </w:r>
      <w:r w:rsidDel="00000000" w:rsidR="00000000" w:rsidRPr="00000000">
        <w:rPr>
          <w:rFonts w:ascii="Arial" w:cs="Arial" w:eastAsia="Arial" w:hAnsi="Arial"/>
          <w:color w:val="1f1f1f"/>
          <w:rtl w:val="0"/>
        </w:rPr>
        <w:t xml:space="preserve"> Die korrekte Antwort ist B. Bei Patienten mit funktionellen oder somatoformen Beschwerden ist ein tragfähiges Arzt-Patienten-Verhältnis der mit Abstand wichtigste therapeutische Hebel.</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Die DEGAM-S1-Leitlinie zum anamnestischen Erstgespräch (Register-Nr. 053-065) und das biopsychosoziale Grundmodell fordern zwingend, die subjektiven Beschwerden des Patienten vollumfänglich ernst zu nehmen (Validierung) und parallel – nicht erst nach endlosem somatischem Ausschluss – psychosoziale Stressoren zu explorieren.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Eine rein biomedizinische Fixierung (das Verordnen von immer noch mehr apparativer Technik) verschärft die Somatisierung durch iatrogene Fixierung und gefährdet den Patienten ("Doctor Hopping").</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30: Onkologische Schnittstellen und Viszeralchirurgie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Ihrer Landarztpraxis stellt sich ein 62-jähriger Patient mit histologisch gesichertem und lokal fortgeschrittenem Rektumkarzinom vor. Der Entlassbrief der Klinik listet das Tumorstadium mit UICC III auf. Der Patient ist sichtlich verunsichert und fragt Sie, was das "TNT-Konzept" bedeutet, von dem der Tumorboard-Chirurg gesprochen habe. Was erklären Sie ihm fachlich korrekt und empathisch?</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TNT bedeutet "Total Neoadjuvant Therapy". Dies meint, dass die Chemotherapie und die Bestrahlung komplett </w:t>
      </w:r>
      <w:r w:rsidDel="00000000" w:rsidR="00000000" w:rsidRPr="00000000">
        <w:rPr>
          <w:rFonts w:ascii="Arial" w:cs="Arial" w:eastAsia="Arial" w:hAnsi="Arial"/>
          <w:i w:val="1"/>
          <w:iCs w:val="1"/>
          <w:color w:val="1f1f1f"/>
          <w:rtl w:val="0"/>
        </w:rPr>
        <w:t xml:space="preserve">vor</w:t>
      </w:r>
      <w:r w:rsidDel="00000000" w:rsidR="00000000" w:rsidRPr="00000000">
        <w:rPr>
          <w:rFonts w:ascii="Arial" w:cs="Arial" w:eastAsia="Arial" w:hAnsi="Arial"/>
          <w:color w:val="1f1f1f"/>
          <w:rtl w:val="0"/>
        </w:rPr>
        <w:t xml:space="preserve"> der eigentlichen chirurgischen Darm-Resektion stattfinden, um den Tumor maximal zu verkleinern und unsichtbare Mikrometastasen frühzeitig im ganzen Körper zu bekämpfen.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TNT steht für "Tumor-Nekrose-Therapie", was lediglich eine rein palliative Schmerzbehandlung ohne Heilungschance bedeutet.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TNT ist eine radikale Operationsmethode, bei der zwingend und immer ein dauerhafter künstlicher Darmausgang (Anus praeter) angelegt wird.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Es handelt sich um ein spezielles onkologisches Nachsorgeschema, bei dem der Tumor-Marker CEA monatlich im Blut bestimmt wird.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TNT ist ein experimentelles pflanzliches Immuntherapeutikum, das in der Hausarztpraxis intravenös verabreicht wird.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30:</w:t>
      </w:r>
      <w:r w:rsidDel="00000000" w:rsidR="00000000" w:rsidRPr="00000000">
        <w:rPr>
          <w:rFonts w:ascii="Arial" w:cs="Arial" w:eastAsia="Arial" w:hAnsi="Arial"/>
          <w:color w:val="1f1f1f"/>
          <w:rtl w:val="0"/>
        </w:rPr>
        <w:t xml:space="preserve"> Die korrekte Antwort ist A. Viszeralchirurgische Krankheitsbilder und das ärztliche Schnittstellenmanagement (etwa das patientengerechte Erklären von komplexen Tumorboard-Empfehlungen) sind regelmäßige, höchst relevante Themen in der Facharztprüfung für Allgemeinmedizin.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Beim lokal fortgeschrittenen Rektumkarzinom (ab Stadium UICC II/III) wird in spezialisierten Zentren zunehmend das Konzept der "Totalen Neoadjuvanten Therapie (TNT)" angewandt. Hierbei wird die gesamte geplante multimodale Vorbehandlung (Radiochemotherapie kombiniert mit systemischer Chemotherapie) noch </w:t>
      </w:r>
      <w:r w:rsidDel="00000000" w:rsidR="00000000" w:rsidRPr="00000000">
        <w:rPr>
          <w:rFonts w:ascii="Arial" w:cs="Arial" w:eastAsia="Arial" w:hAnsi="Arial"/>
          <w:i w:val="1"/>
          <w:iCs w:val="1"/>
          <w:color w:val="1f1f1f"/>
          <w:rtl w:val="0"/>
        </w:rPr>
        <w:t xml:space="preserve">vor</w:t>
      </w:r>
      <w:r w:rsidDel="00000000" w:rsidR="00000000" w:rsidRPr="00000000">
        <w:rPr>
          <w:rFonts w:ascii="Arial" w:cs="Arial" w:eastAsia="Arial" w:hAnsi="Arial"/>
          <w:color w:val="1f1f1f"/>
          <w:rtl w:val="0"/>
        </w:rPr>
        <w:t xml:space="preserve"> die kurative chirurgische R0-Resektion (Totale Mesorektale Exzision, TME) gezogen. Dies verbessert die Therapieadhärenz der Patienten, verringert Fernmetastasierungen und erhöht die Rate an pathologisch kompletten Remissionen (pCR) signifikant, was teils sogar einen Organerhalt ("Watch and Wait") ermöglichen kann.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31: Augenheilkunde in der Primärversorgung</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Ein 71-jähriger, immungeschwächter Patient sucht Sie wegen brennender Schmerzen und eines einseitigen, streifenförmigen, blasigen Hautausschlags an der rechten Stirnseite auf. Der Ausschlag reicht hinab bis auf die Nasenspitze. Das rechte Auge ist stark gerötet und tränt. Sie stellen die klinische Blickdiagnose eines Herpes Zoster ophthalmicus. Warum ist die scheinbar banale Beteiligung der Nasenspitze (das sogenannte Hutchinson-Zeichen) von so immenser klinischer Bedeutung?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Es beweist laborunabhängig, dass es sich nicht um das Varizella-Zoster-Virus, sondern um Herpes Simplex Typ 1 handelt.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Das Hutchinson-Zeichen indiziert die Mitbeteiligung des Ramus nasociliaris (Ast des N. ophthalmicus). Dies bedeutet eine sehr hohe Wahrscheinlichkeit für eine gefährliche intraokulare Augenbeteiligung (Keratitis, Uveitis) und erzwingt eine sofortige augenärztliche Vorstellung.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Es indiziert die sofortige plastisch-chirurgische Exzision der Nasenspitze zur Vermeidung einer Nekrose.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Es ist ein verlässliches Zeichen dafür, dass die Erkrankung nicht mehr ansteckend ist.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Es schließt das Risiko einer chronischen postzosterischen Neuralgie für die Zukunft sicher aus.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31:</w:t>
      </w:r>
      <w:r w:rsidDel="00000000" w:rsidR="00000000" w:rsidRPr="00000000">
        <w:rPr>
          <w:rFonts w:ascii="Arial" w:cs="Arial" w:eastAsia="Arial" w:hAnsi="Arial"/>
          <w:color w:val="1f1f1f"/>
          <w:rtl w:val="0"/>
        </w:rPr>
        <w:t xml:space="preserve"> Die korrekte Antwort ist B. Der Herpes Zoster ophthalmicus ist ein klassischer Blickdiagnose-Fall in der Hausarztpraxis und im Examen.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Da der Ramus nasociliaris (ein Ast des Nervus ophthalmicus, dem 1. Trigeminusast) anatomisch sowohl die Nasenspitze sensibel versorgt als auch sensible Äste zur Cornea (Hornhaut des Auges) entsendet, ist der bläschenförmige Befall der Nasenspitze (Hutchinson-Zeichen) ein starker prädiktiver Marker für eine direkte virale Augenbeteiligung. Ohne eine rasche systemische virostatische (Aciclovir/Brivudin) und fachärztlich-ophthalmologische Therapie drohen schwere Hornhautvernarbungen bis hin zur dauerhaften Erblindung.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Frage 32: Arzneimittel- und Kassenrecht (Aut-idem)</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Sie behandeln einen Patienten, der medikamentös gut auf ein spezifisches Schilddrüsenpräparat (L-Thyroxin eines bestimmten Herstellers) eingestellt ist. Da selbst minimale Bioverfügbarkeitsschwankungen bei Schilddrüsenhormonen klinisch relevant sein können, setzen Sie auf dem Kassenrezept handschriftlich ein Kreuz im Feld "aut idem". Welche unmittelbare rechtliche Konsequenz hat dieses Kreuz für die abgebende Apotheke?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Der Apotheker muss zwingend das billigste Generikum abgeben, das auf dem Markt verfügbar ist.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Der Apotheker darf das Medikament gegen ein Rabattvertrag-Medikament der Krankenkasse austauschen, wenn der Patient zustimmt.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Der Apotheker darf das Medikament unter keinen Umständen austauschen und muss exakt das von Ihnen namentlich verordnete Präparat dieses einen Herstellers abgeben.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Das Rezept verliert nach 7 Tagen seine Gültigkeit.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Der Patient ist durch dieses Kreuz vollständig von der gesetzlichen Rezeptzuzahlung befreit.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Musterlösung 32:</w:t>
      </w:r>
      <w:r w:rsidDel="00000000" w:rsidR="00000000" w:rsidRPr="00000000">
        <w:rPr>
          <w:rFonts w:ascii="Arial" w:cs="Arial" w:eastAsia="Arial" w:hAnsi="Arial"/>
          <w:color w:val="1f1f1f"/>
          <w:rtl w:val="0"/>
        </w:rPr>
        <w:t xml:space="preserve"> Die korrekte Antwort ist C. Das kassenarztrechtliche Wissen ist essenzieller Bestandteil der Facharztprüfung für Allgemeinmedizin.</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"Aut idem" (lateinisch für "oder das Gleiche") bedeutet im apothekenrechtlichen Kontext, dass der Apotheker ein vom Arzt namentlich verordnetes Medikament gegen ein wirkstoffgleiches, oft preisgünstigeres Generikum (meist aus Rabattverträgen der Krankenkassen) austauschen </w:t>
      </w:r>
      <w:r w:rsidDel="00000000" w:rsidR="00000000" w:rsidRPr="00000000">
        <w:rPr>
          <w:rFonts w:ascii="Arial" w:cs="Arial" w:eastAsia="Arial" w:hAnsi="Arial"/>
          <w:i w:val="1"/>
          <w:iCs w:val="1"/>
          <w:color w:val="1f1f1f"/>
          <w:rtl w:val="0"/>
        </w:rPr>
        <w:t xml:space="preserve">darf</w:t>
      </w:r>
      <w:r w:rsidDel="00000000" w:rsidR="00000000" w:rsidRPr="00000000">
        <w:rPr>
          <w:rFonts w:ascii="Arial" w:cs="Arial" w:eastAsia="Arial" w:hAnsi="Arial"/>
          <w:color w:val="1f1f1f"/>
          <w:rtl w:val="0"/>
        </w:rPr>
        <w:t xml:space="preserve">. Setzt der Arzt jedoch aktiv ein Kreuz im Feld "aut idem" (sogenanntes Aut-idem-Kreuz), </w:t>
      </w:r>
      <w:r w:rsidDel="00000000" w:rsidR="00000000" w:rsidRPr="00000000">
        <w:rPr>
          <w:rFonts w:ascii="Arial" w:cs="Arial" w:eastAsia="Arial" w:hAnsi="Arial"/>
          <w:b w:val="1"/>
          <w:bCs w:val="1"/>
          <w:color w:val="1f1f1f"/>
          <w:rtl w:val="0"/>
        </w:rPr>
        <w:t xml:space="preserve">schließt er diese Austauschbarkeit rechtlich bindend aus</w:t>
      </w:r>
      <w:r w:rsidDel="00000000" w:rsidR="00000000" w:rsidRPr="00000000">
        <w:rPr>
          <w:rFonts w:ascii="Arial" w:cs="Arial" w:eastAsia="Arial" w:hAnsi="Arial"/>
          <w:color w:val="1f1f1f"/>
          <w:rtl w:val="0"/>
        </w:rPr>
        <w:t xml:space="preserve">. Die Apotheke muss dann zwingend exakt das verordnete Präparat abgeben. Dies ist medizinisch indiziert bei Medikamenten mit enger therapeutischer Breite, bei denen Herstellerwechsel zu klinisch relevanten Schwankungen führen können (z.B. L-Thyroxin, Antiepileptika, Immunsuppressiva).</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Zusammenfassendes Fazit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Medizinstudium mit dem klaren Endziel einer qualitativ hochwertigen, evidenzbasierten primärärztlichen Versorgung ist ein hochkomplexer, kognitiv tief ineinandergreifender Prozess. Der Vorklinische Abschnitt legt das unabdingbare, mechanistische naturwissenschaftliche Rüstzeug (Anatomie, Biochemie, Physiologie), während der Klinische Abschnitt und das Praktische Jahr das klinische Auge für abwendbar gefährliche Verläufe, die Bewältigung von komplexer Multimorbidität und die hohe Kunst der validierenden Arzt-Patienten-Kommunikation schulen.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hier präsentierte, detaillierte Curriculum belegt eindrucksvoll, dass die Allgemeinmedizin keinesfalls als bloßes Sammelbecken trivialer Erkrankungen misszuverstehen ist, sondern als kognitiv höchst anspruchsvolle, integrative Disziplin agiert, die sich der neuesten wissenschaftlichen Evidenz (DEGAM-Leitlinien) und tiefgreifenden biopsychosozialen Modellen bedient. Ein erfolgreiches, autonomes Selbststudium der Medizin erfordert ein Höchstmaß an intrinsischer Disziplin, die strukturierte, intelligente Nutzung moderner digitaler Lehrplattformen (wie den Amboss 100-Tage-Lernplan) und eine ständige, kritische Selbstreflexion des eigenen Handelns zur Vermeidung gefährlicher diagnostischer Fehlerquellen.</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Referenzen</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ÄApprO Approbationsordnung für Ärzte - Buzer.de, Zugriff am Mai 8, 2026, </w:t>
      </w:r>
      <w:hyperlink r:id="rId6">
        <w:r w:rsidDel="00000000" w:rsidR="00000000" w:rsidRPr="00000000">
          <w:rPr>
            <w:rFonts w:ascii="Arial" w:cs="Arial" w:eastAsia="Arial" w:hAnsi="Arial"/>
            <w:color w:val="0000ee"/>
            <w:sz w:val="24"/>
            <w:szCs w:val="24"/>
            <w:u w:val="single"/>
            <w:rtl w:val="0"/>
          </w:rPr>
          <w:t xml:space="preserve">https://www.buzer.de/gesetz/4576/index.htm</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Approbationsordnung für Ärzte - Gesetze im Internet, Zugriff am Mai 8, 2026, </w:t>
      </w:r>
      <w:hyperlink r:id="rId7">
        <w:r w:rsidDel="00000000" w:rsidR="00000000" w:rsidRPr="00000000">
          <w:rPr>
            <w:rFonts w:ascii="Arial" w:cs="Arial" w:eastAsia="Arial" w:hAnsi="Arial"/>
            <w:color w:val="0000ee"/>
            <w:sz w:val="24"/>
            <w:szCs w:val="24"/>
            <w:u w:val="single"/>
            <w:rtl w:val="0"/>
          </w:rPr>
          <w:t xml:space="preserve">https://www.gesetze-im-internet.de/_appro_2002/%C3%84ApprO_2002.pdf</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Kompetenzbasierte Lernzielkataloge NKLM &amp; NKLZ - Medizinischer Fakultätentag, Zugriff am Mai 8, 2026, </w:t>
      </w:r>
      <w:hyperlink r:id="rId8">
        <w:r w:rsidDel="00000000" w:rsidR="00000000" w:rsidRPr="00000000">
          <w:rPr>
            <w:rFonts w:ascii="Arial" w:cs="Arial" w:eastAsia="Arial" w:hAnsi="Arial"/>
            <w:color w:val="0000ee"/>
            <w:sz w:val="24"/>
            <w:szCs w:val="24"/>
            <w:u w:val="single"/>
            <w:rtl w:val="0"/>
          </w:rPr>
          <w:t xml:space="preserve">https://medizinische-fakultaeten.de/themen/studium/kompetenzbasierte-lernzielkataloge-nklm-nklz/</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Nationaler Kompetenzbasierter Lernzielkatalog Medizin 2015 - GMDS, Zugriff am Mai 8, 2026, </w:t>
      </w:r>
      <w:hyperlink r:id="rId9">
        <w:r w:rsidDel="00000000" w:rsidR="00000000" w:rsidRPr="00000000">
          <w:rPr>
            <w:rFonts w:ascii="Arial" w:cs="Arial" w:eastAsia="Arial" w:hAnsi="Arial"/>
            <w:color w:val="0000ee"/>
            <w:sz w:val="24"/>
            <w:szCs w:val="24"/>
            <w:u w:val="single"/>
            <w:rtl w:val="0"/>
          </w:rPr>
          <w:t xml:space="preserve">https://www.gmds.de/fileadmin/user_upload/Publikationen/Empfehlungen_Veroeffentlichungen/150604_Lernzielkatalog_Medizin.pdf</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Lernziele für das Seminar Allgemeinmedizin Institut für Allgemeinmedizin, Universität zu Lübeck, Zugriff am Mai 8, 2026, </w:t>
      </w:r>
      <w:hyperlink r:id="rId10">
        <w:r w:rsidDel="00000000" w:rsidR="00000000" w:rsidRPr="00000000">
          <w:rPr>
            <w:rFonts w:ascii="Arial" w:cs="Arial" w:eastAsia="Arial" w:hAnsi="Arial"/>
            <w:color w:val="0000ee"/>
            <w:sz w:val="24"/>
            <w:szCs w:val="24"/>
            <w:u w:val="single"/>
            <w:rtl w:val="0"/>
          </w:rPr>
          <w:t xml:space="preserve">https://www.uni-luebeck.de/fileadmin/uzl_med/pdf/studierende/Klinik/Lernziele_fuer_das_Seminar_102018.pdf</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Entwicklung von Lernzielen für das Tertial Allgemeinmedizin im Praktischen Jahr - Publisso, Zugriff am Mai 8, 2026, </w:t>
      </w:r>
      <w:hyperlink r:id="rId11">
        <w:r w:rsidDel="00000000" w:rsidR="00000000" w:rsidRPr="00000000">
          <w:rPr>
            <w:rFonts w:ascii="Arial" w:cs="Arial" w:eastAsia="Arial" w:hAnsi="Arial"/>
            <w:color w:val="0000ee"/>
            <w:sz w:val="24"/>
            <w:szCs w:val="24"/>
            <w:u w:val="single"/>
            <w:rtl w:val="0"/>
          </w:rPr>
          <w:t xml:space="preserve">https://books.publisso.de/de/publisso_gold/export/pdf/article/3868/Entwicklung_von_Lernzielen_f%C3%BCr_das_Tertial_Allgemeinmedizin_im_Praktischen_Jahr.pdf</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Masterplan Medizinstudium 2020 - Mitteilung - Kultusministerkonferenz, Zugriff am Mai 8, 2026, </w:t>
      </w:r>
      <w:hyperlink r:id="rId12">
        <w:r w:rsidDel="00000000" w:rsidR="00000000" w:rsidRPr="00000000">
          <w:rPr>
            <w:rFonts w:ascii="Arial" w:cs="Arial" w:eastAsia="Arial" w:hAnsi="Arial"/>
            <w:color w:val="0000ee"/>
            <w:sz w:val="24"/>
            <w:szCs w:val="24"/>
            <w:u w:val="single"/>
            <w:rtl w:val="0"/>
          </w:rPr>
          <w:t xml:space="preserve">https://www.kmk.org/en/aktuelles/pressearchiv/mitteilung/masterplan-medizinstudium-2020.html</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AWMF-Workshop zur Approbationsordnung für Ärzte und Ärztinnen, Zugriff am Mai 8, 2026, </w:t>
      </w:r>
      <w:hyperlink r:id="rId13">
        <w:r w:rsidDel="00000000" w:rsidR="00000000" w:rsidRPr="00000000">
          <w:rPr>
            <w:rFonts w:ascii="Arial" w:cs="Arial" w:eastAsia="Arial" w:hAnsi="Arial"/>
            <w:color w:val="0000ee"/>
            <w:sz w:val="24"/>
            <w:szCs w:val="24"/>
            <w:u w:val="single"/>
            <w:rtl w:val="0"/>
          </w:rPr>
          <w:t xml:space="preserve">https://www.awmf.org/fileadmin/user_upload/dateien/veranstaltungen/serviceseminare-treede-bericht-zu-appo-2019.pdf</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BMG Synopse Approbationsordnung für Ärzte (ÄApprO) aktuelle Fassung – Arbeitsentwurf - nur für den Dienst - Marburger Bund, Zugriff am Mai 8, 2026, </w:t>
      </w:r>
      <w:hyperlink r:id="rId14">
        <w:r w:rsidDel="00000000" w:rsidR="00000000" w:rsidRPr="00000000">
          <w:rPr>
            <w:rFonts w:ascii="Arial" w:cs="Arial" w:eastAsia="Arial" w:hAnsi="Arial"/>
            <w:color w:val="0000ee"/>
            <w:sz w:val="24"/>
            <w:szCs w:val="24"/>
            <w:u w:val="single"/>
            <w:rtl w:val="0"/>
          </w:rPr>
          <w:t xml:space="preserve">https://www.marburger-bund.de/sites/default/files/files/2020-01/2020-01-24_MB_SN_Synopse_%C3%84ApprO%20%28002%29_0.pdf</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Curriculum Vorklinik, Studiengang Humanmedizin WiSe 2024/25, Zugriff am Mai 8, 2026, </w:t>
      </w:r>
      <w:hyperlink r:id="rId15">
        <w:r w:rsidDel="00000000" w:rsidR="00000000" w:rsidRPr="00000000">
          <w:rPr>
            <w:rFonts w:ascii="Arial" w:cs="Arial" w:eastAsia="Arial" w:hAnsi="Arial"/>
            <w:color w:val="0000ee"/>
            <w:sz w:val="24"/>
            <w:szCs w:val="24"/>
            <w:u w:val="single"/>
            <w:rtl w:val="0"/>
          </w:rPr>
          <w:t xml:space="preserve">https://www.umg.eu/fileadmin/Redaktion/Dachportal/005_Studium_Lehre/CONTENT_NEU/id87_Humanmedizin/id88_Vorklinik/id331_Lehrveranstaltungen/Curriculum_HM_WiSe_2024.pdf</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Vorklinik Einführung: Struktur und Ablauf des ersten Studienabschnitts Medizin, Zugriff am Mai 8, 2026, </w:t>
      </w:r>
      <w:hyperlink r:id="rId16">
        <w:r w:rsidDel="00000000" w:rsidR="00000000" w:rsidRPr="00000000">
          <w:rPr>
            <w:rFonts w:ascii="Arial" w:cs="Arial" w:eastAsia="Arial" w:hAnsi="Arial"/>
            <w:color w:val="0000ee"/>
            <w:sz w:val="24"/>
            <w:szCs w:val="24"/>
            <w:u w:val="single"/>
            <w:rtl w:val="0"/>
          </w:rPr>
          <w:t xml:space="preserve">https://www.praktischarzt.de/medizinstudium/vorklinik-einfuehrung/</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Anlage 10 ÄApprO 2002 - Einzelnorm - Gesetze im Internet, Zugriff am Mai 8, 2026, </w:t>
      </w:r>
      <w:hyperlink r:id="rId17">
        <w:r w:rsidDel="00000000" w:rsidR="00000000" w:rsidRPr="00000000">
          <w:rPr>
            <w:rFonts w:ascii="Arial" w:cs="Arial" w:eastAsia="Arial" w:hAnsi="Arial"/>
            <w:color w:val="0000ee"/>
            <w:sz w:val="24"/>
            <w:szCs w:val="24"/>
            <w:u w:val="single"/>
            <w:rtl w:val="0"/>
          </w:rPr>
          <w:t xml:space="preserve">https://www.gesetze-im-internet.de/_appro_2002/anlage_10.html</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Stex Pharmazie Gegenstandskatalog: Vollständiger Überblick aller Prüfungsinhalte, Zugriff am Mai 8, 2026, </w:t>
      </w:r>
      <w:hyperlink r:id="rId18">
        <w:r w:rsidDel="00000000" w:rsidR="00000000" w:rsidRPr="00000000">
          <w:rPr>
            <w:rFonts w:ascii="Arial" w:cs="Arial" w:eastAsia="Arial" w:hAnsi="Arial"/>
            <w:color w:val="0000ee"/>
            <w:sz w:val="24"/>
            <w:szCs w:val="24"/>
            <w:u w:val="single"/>
            <w:rtl w:val="0"/>
          </w:rPr>
          <w:t xml:space="preserve">https://relaxed-ins-stex.de/blog/1-stex-pharmazie-gegenstandskatalog.html</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Gegenstandskataloge - www.impp.de, Zugriff am Mai 8, 2026, </w:t>
      </w:r>
      <w:hyperlink r:id="rId19">
        <w:r w:rsidDel="00000000" w:rsidR="00000000" w:rsidRPr="00000000">
          <w:rPr>
            <w:rFonts w:ascii="Arial" w:cs="Arial" w:eastAsia="Arial" w:hAnsi="Arial"/>
            <w:color w:val="0000ee"/>
            <w:sz w:val="24"/>
            <w:szCs w:val="24"/>
            <w:u w:val="single"/>
            <w:rtl w:val="0"/>
          </w:rPr>
          <w:t xml:space="preserve">https://www.impp.de/pruefungen/allgemein/gegenstandskataloge.html</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Medizin - www.impp.de, Zugriff am Mai 8, 2026, </w:t>
      </w:r>
      <w:hyperlink r:id="rId20">
        <w:r w:rsidDel="00000000" w:rsidR="00000000" w:rsidRPr="00000000">
          <w:rPr>
            <w:rFonts w:ascii="Arial" w:cs="Arial" w:eastAsia="Arial" w:hAnsi="Arial"/>
            <w:color w:val="0000ee"/>
            <w:sz w:val="24"/>
            <w:szCs w:val="24"/>
            <w:u w:val="single"/>
            <w:rtl w:val="0"/>
          </w:rPr>
          <w:t xml:space="preserve">https://www.impp.de/pruefungen/medizin.html</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Die im Physikum am häufigsten geprüften Themen - MEDI-LEARN Examens-Statistiken, Zugriff am Mai 8, 2026, </w:t>
      </w:r>
      <w:hyperlink r:id="rId21">
        <w:r w:rsidDel="00000000" w:rsidR="00000000" w:rsidRPr="00000000">
          <w:rPr>
            <w:rFonts w:ascii="Arial" w:cs="Arial" w:eastAsia="Arial" w:hAnsi="Arial"/>
            <w:color w:val="0000ee"/>
            <w:sz w:val="24"/>
            <w:szCs w:val="24"/>
            <w:u w:val="single"/>
            <w:rtl w:val="0"/>
          </w:rPr>
          <w:t xml:space="preserve">https://www.medi-learn.de/statistik/physikum/themenrelevanz/</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IMPP-Fragen - via medici: leichter lernen - mehr verstehen, Zugriff am Mai 8, 2026, </w:t>
      </w:r>
      <w:hyperlink r:id="rId22">
        <w:r w:rsidDel="00000000" w:rsidR="00000000" w:rsidRPr="00000000">
          <w:rPr>
            <w:rFonts w:ascii="Arial" w:cs="Arial" w:eastAsia="Arial" w:hAnsi="Arial"/>
            <w:color w:val="0000ee"/>
            <w:sz w:val="24"/>
            <w:szCs w:val="24"/>
            <w:u w:val="single"/>
            <w:rtl w:val="0"/>
          </w:rPr>
          <w:t xml:space="preserve">https://viamedici-testen.thieme.de/impp-fragen/</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Fachliteratur &amp; Lehrbücher für das Medizinstudium bei Elsevier | Studienbeginn &amp; Vorklinik, Zugriff am Mai 8, 2026, </w:t>
      </w:r>
      <w:hyperlink r:id="rId23">
        <w:r w:rsidDel="00000000" w:rsidR="00000000" w:rsidRPr="00000000">
          <w:rPr>
            <w:rFonts w:ascii="Arial" w:cs="Arial" w:eastAsia="Arial" w:hAnsi="Arial"/>
            <w:color w:val="0000ee"/>
            <w:sz w:val="24"/>
            <w:szCs w:val="24"/>
            <w:u w:val="single"/>
            <w:rtl w:val="0"/>
          </w:rPr>
          <w:t xml:space="preserve">https://shop.elsevier.de/vorklinik-alle-buecher</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Buchempfehlungen für das Medizinstudium in Köln - Lehmanns.de, Zugriff am Mai 8, 2026, </w:t>
      </w:r>
      <w:hyperlink r:id="rId24">
        <w:r w:rsidDel="00000000" w:rsidR="00000000" w:rsidRPr="00000000">
          <w:rPr>
            <w:rFonts w:ascii="Arial" w:cs="Arial" w:eastAsia="Arial" w:hAnsi="Arial"/>
            <w:color w:val="0000ee"/>
            <w:sz w:val="24"/>
            <w:szCs w:val="24"/>
            <w:u w:val="single"/>
            <w:rtl w:val="0"/>
          </w:rPr>
          <w:t xml:space="preserve">https://www.lehmanns.de/listing/3313-buchempfehlungen-fuer-das-medizinstudium-in-koeln</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Vorklinik Bücher - Fachverein Medizin der Universität Zürich, Zugriff am Mai 8, 2026, </w:t>
      </w:r>
      <w:hyperlink r:id="rId25">
        <w:r w:rsidDel="00000000" w:rsidR="00000000" w:rsidRPr="00000000">
          <w:rPr>
            <w:rFonts w:ascii="Arial" w:cs="Arial" w:eastAsia="Arial" w:hAnsi="Arial"/>
            <w:color w:val="0000ee"/>
            <w:sz w:val="24"/>
            <w:szCs w:val="24"/>
            <w:u w:val="single"/>
            <w:rtl w:val="0"/>
          </w:rPr>
          <w:t xml:space="preserve">https://fvmed.ch/vorklinik-buecher/</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Studierende Humanmedizin Vorklinik im Thieme Shop: Bücher, E-Books, digitale Angebote, Zugriff am Mai 8, 2026, </w:t>
      </w:r>
      <w:hyperlink r:id="rId26">
        <w:r w:rsidDel="00000000" w:rsidR="00000000" w:rsidRPr="00000000">
          <w:rPr>
            <w:rFonts w:ascii="Arial" w:cs="Arial" w:eastAsia="Arial" w:hAnsi="Arial"/>
            <w:color w:val="0000ee"/>
            <w:sz w:val="24"/>
            <w:szCs w:val="24"/>
            <w:u w:val="single"/>
            <w:rtl w:val="0"/>
          </w:rPr>
          <w:t xml:space="preserve">https://shop.thieme.de/Studium-Humanmedizin-Vorklinik</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Fachbücher fürs Medizin-Studium versandkostenfrei bestellen - Lehmanns.de, Zugriff am Mai 8, 2026, </w:t>
      </w:r>
      <w:hyperlink r:id="rId27">
        <w:r w:rsidDel="00000000" w:rsidR="00000000" w:rsidRPr="00000000">
          <w:rPr>
            <w:rFonts w:ascii="Arial" w:cs="Arial" w:eastAsia="Arial" w:hAnsi="Arial"/>
            <w:color w:val="0000ee"/>
            <w:sz w:val="24"/>
            <w:szCs w:val="24"/>
            <w:u w:val="single"/>
            <w:rtl w:val="0"/>
          </w:rPr>
          <w:t xml:space="preserve">https://www.lehmanns.de/tab/buecher/medizin-psychologie/1-medizin-studium</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Prüfungsprotokoll - 1. Ärztliche Prüfung - Leipzig-Medizin.de, Zugriff am Mai 8, 2026, </w:t>
      </w:r>
      <w:hyperlink r:id="rId28">
        <w:r w:rsidDel="00000000" w:rsidR="00000000" w:rsidRPr="00000000">
          <w:rPr>
            <w:rFonts w:ascii="Arial" w:cs="Arial" w:eastAsia="Arial" w:hAnsi="Arial"/>
            <w:color w:val="0000ee"/>
            <w:sz w:val="24"/>
            <w:szCs w:val="24"/>
            <w:u w:val="single"/>
            <w:rtl w:val="0"/>
          </w:rPr>
          <w:t xml:space="preserve">http://www.leipzig-medizin.de/downloads/protokolle/physikum/Engele-Eschrich-Eilers-ss07.pdf</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Kompetenzbasiertes Curriculum Allgemeinmedizin - DEGAM, Zugriff am Mai 8, 2026, </w:t>
      </w:r>
      <w:hyperlink r:id="rId29">
        <w:r w:rsidDel="00000000" w:rsidR="00000000" w:rsidRPr="00000000">
          <w:rPr>
            <w:rFonts w:ascii="Arial" w:cs="Arial" w:eastAsia="Arial" w:hAnsi="Arial"/>
            <w:color w:val="0000ee"/>
            <w:sz w:val="24"/>
            <w:szCs w:val="24"/>
            <w:u w:val="single"/>
            <w:rtl w:val="0"/>
          </w:rPr>
          <w:t xml:space="preserve">https://www.degam.de/files/inhalt/sektionen/weiterbildung/2021_Kompetenzbasiertes_Curriculum.pdf</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Liste der Lernziele aus dem NKLM 2.0 mit Anwendungsbeispielen aus dem Bereich Planetare und Globale Gesundheit, Zugriff am Mai 8, 2026, </w:t>
      </w:r>
      <w:hyperlink r:id="rId30">
        <w:r w:rsidDel="00000000" w:rsidR="00000000" w:rsidRPr="00000000">
          <w:rPr>
            <w:rFonts w:ascii="Arial" w:cs="Arial" w:eastAsia="Arial" w:hAnsi="Arial"/>
            <w:color w:val="0000ee"/>
            <w:sz w:val="24"/>
            <w:szCs w:val="24"/>
            <w:u w:val="single"/>
            <w:rtl w:val="0"/>
          </w:rPr>
          <w:t xml:space="preserve">https://www.med.uni-wuerzburg.de/fileadmin/0300-planetaregesundheit/2023/Liste_der_Planetare_Gesundheit_Lernziele_aus_dem_NKLM_2.0_AEnderungen_Angenommen.pdf</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Anlage 15 ÄApprO 2002 - Einzelnorm - Gesetze im Internet, Zugriff am Mai 8, 2026, </w:t>
      </w:r>
      <w:hyperlink r:id="rId31">
        <w:r w:rsidDel="00000000" w:rsidR="00000000" w:rsidRPr="00000000">
          <w:rPr>
            <w:rFonts w:ascii="Arial" w:cs="Arial" w:eastAsia="Arial" w:hAnsi="Arial"/>
            <w:color w:val="0000ee"/>
            <w:sz w:val="24"/>
            <w:szCs w:val="24"/>
            <w:u w:val="single"/>
            <w:rtl w:val="0"/>
          </w:rPr>
          <w:t xml:space="preserve">https://www.gesetze-im-internet.de/_appro_2002/anlage_15.html</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Zweiter Unterabschnitt ÄApprO Zweiter Abschnitt der Ärztlichen Prüfung Approbationsordnung für - Buzer.de, Zugriff am Mai 8, 2026, </w:t>
      </w:r>
      <w:hyperlink r:id="rId32">
        <w:r w:rsidDel="00000000" w:rsidR="00000000" w:rsidRPr="00000000">
          <w:rPr>
            <w:rFonts w:ascii="Arial" w:cs="Arial" w:eastAsia="Arial" w:hAnsi="Arial"/>
            <w:color w:val="0000ee"/>
            <w:sz w:val="24"/>
            <w:szCs w:val="24"/>
            <w:u w:val="single"/>
            <w:rtl w:val="0"/>
          </w:rPr>
          <w:t xml:space="preserve">https://www.buzer.de/gesetz/4576/b12286.htm</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Themenkatalog - Österreichische Akademie der Ärzte, Zugriff am Mai 8, 2026, </w:t>
      </w:r>
      <w:hyperlink r:id="rId33">
        <w:r w:rsidDel="00000000" w:rsidR="00000000" w:rsidRPr="00000000">
          <w:rPr>
            <w:rFonts w:ascii="Arial" w:cs="Arial" w:eastAsia="Arial" w:hAnsi="Arial"/>
            <w:color w:val="0000ee"/>
            <w:sz w:val="24"/>
            <w:szCs w:val="24"/>
            <w:u w:val="single"/>
            <w:rtl w:val="0"/>
          </w:rPr>
          <w:t xml:space="preserve">https://www.arztakademie.at/documents/1032702/1846209/Themenkatalog.pdf/f0847c25-bb8b-e299-218c-a991abb7298a?t=1678269071923</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Folien zum Vortrag Dr. Max Kaplan: TOP 2 - Prävention in der Hausarztpraxis - Bundesärztekammer, Zugriff am Mai 8, 2026, </w:t>
      </w:r>
      <w:hyperlink r:id="rId34">
        <w:r w:rsidDel="00000000" w:rsidR="00000000" w:rsidRPr="00000000">
          <w:rPr>
            <w:rFonts w:ascii="Arial" w:cs="Arial" w:eastAsia="Arial" w:hAnsi="Arial"/>
            <w:color w:val="0000ee"/>
            <w:sz w:val="24"/>
            <w:szCs w:val="24"/>
            <w:u w:val="single"/>
            <w:rtl w:val="0"/>
          </w:rPr>
          <w:t xml:space="preserve">https://www.bundesaerztekammer.de/fileadmin/user_upload/_old-files/downloads/117DAETTop02Kaplan.pdf</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DEGAM-Leitlinien - DEGAM, Zugriff am Mai 8, 2026, </w:t>
      </w:r>
      <w:hyperlink r:id="rId35">
        <w:r w:rsidDel="00000000" w:rsidR="00000000" w:rsidRPr="00000000">
          <w:rPr>
            <w:rFonts w:ascii="Arial" w:cs="Arial" w:eastAsia="Arial" w:hAnsi="Arial"/>
            <w:color w:val="0000ee"/>
            <w:sz w:val="24"/>
            <w:szCs w:val="24"/>
            <w:u w:val="single"/>
            <w:rtl w:val="0"/>
          </w:rPr>
          <w:t xml:space="preserve">https://www.degam.de/leitlinien/fuer-aerzte/leitlinienuebersicht</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Brustschmerz – DEGAM-Leitlinie für die primärärztliche Versorgung, Zugriff am Mai 8, 2026, </w:t>
      </w:r>
      <w:hyperlink r:id="rId36">
        <w:r w:rsidDel="00000000" w:rsidR="00000000" w:rsidRPr="00000000">
          <w:rPr>
            <w:rFonts w:ascii="Arial" w:cs="Arial" w:eastAsia="Arial" w:hAnsi="Arial"/>
            <w:color w:val="0000ee"/>
            <w:sz w:val="24"/>
            <w:szCs w:val="24"/>
            <w:u w:val="single"/>
            <w:rtl w:val="0"/>
          </w:rPr>
          <w:t xml:space="preserve">https://register.awmf.org/de/leitlinien/detail/053-023</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Brustschmerz – DEGAM-Leitlinie für die primärärztliche Versorgung, Zugriff am Mai 8, 2026, </w:t>
      </w:r>
      <w:hyperlink r:id="rId37">
        <w:r w:rsidDel="00000000" w:rsidR="00000000" w:rsidRPr="00000000">
          <w:rPr>
            <w:rFonts w:ascii="Arial" w:cs="Arial" w:eastAsia="Arial" w:hAnsi="Arial"/>
            <w:color w:val="0000ee"/>
            <w:sz w:val="24"/>
            <w:szCs w:val="24"/>
            <w:u w:val="single"/>
            <w:rtl w:val="0"/>
          </w:rPr>
          <w:t xml:space="preserve">https://register.awmf.org/assets/guidelines/053-023l_S3_Brustschmerz%E2%80%93primaeraerztliche-Versorgung_2025-07.pdf</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DEGAM präsentiert neue S3-Leitlinie Multimorbidität - Humanmedizin - Verband medizinischer Fachberufe e.V., Zugriff am Mai 8, 2026, </w:t>
      </w:r>
      <w:hyperlink r:id="rId38">
        <w:r w:rsidDel="00000000" w:rsidR="00000000" w:rsidRPr="00000000">
          <w:rPr>
            <w:rFonts w:ascii="Arial" w:cs="Arial" w:eastAsia="Arial" w:hAnsi="Arial"/>
            <w:color w:val="0000ee"/>
            <w:sz w:val="24"/>
            <w:szCs w:val="24"/>
            <w:u w:val="single"/>
            <w:rtl w:val="0"/>
          </w:rPr>
          <w:t xml:space="preserve">https://www.vmf-online.de/mfa/leitlinien-allgemein-mfa/humanmedizin/2017-11-29-multimorbiditaet</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Multimorbidität – Living guideline | AWMF, Zugriff am Mai 8, 2026, </w:t>
      </w:r>
      <w:hyperlink r:id="rId39">
        <w:r w:rsidDel="00000000" w:rsidR="00000000" w:rsidRPr="00000000">
          <w:rPr>
            <w:rFonts w:ascii="Arial" w:cs="Arial" w:eastAsia="Arial" w:hAnsi="Arial"/>
            <w:color w:val="0000ee"/>
            <w:sz w:val="24"/>
            <w:szCs w:val="24"/>
            <w:u w:val="single"/>
            <w:rtl w:val="0"/>
          </w:rPr>
          <w:t xml:space="preserve">https://register.awmf.org/assets/guidelines/053-047l_S3_Multimorbiditaet_2024-11-abgelaufen.pdf</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Jetzt online: Konsultationsfassung der S3-Leitlinie „Multimorbidität“ - DGOU, Zugriff am Mai 8, 2026, </w:t>
      </w:r>
      <w:hyperlink r:id="rId40">
        <w:r w:rsidDel="00000000" w:rsidR="00000000" w:rsidRPr="00000000">
          <w:rPr>
            <w:rFonts w:ascii="Arial" w:cs="Arial" w:eastAsia="Arial" w:hAnsi="Arial"/>
            <w:color w:val="0000ee"/>
            <w:sz w:val="24"/>
            <w:szCs w:val="24"/>
            <w:u w:val="single"/>
            <w:rtl w:val="0"/>
          </w:rPr>
          <w:t xml:space="preserve">https://dgou.de/aktuelles/detail/jetzt-online-konsultationsfassung-der-s3-leitlinie-multimorbiditaet</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Hausärztliche Leitlinie Multimedikation - DEGAM, Zugriff am Mai 8, 2026, </w:t>
      </w:r>
      <w:hyperlink r:id="rId41">
        <w:r w:rsidDel="00000000" w:rsidR="00000000" w:rsidRPr="00000000">
          <w:rPr>
            <w:rFonts w:ascii="Arial" w:cs="Arial" w:eastAsia="Arial" w:hAnsi="Arial"/>
            <w:color w:val="0000ee"/>
            <w:sz w:val="24"/>
            <w:szCs w:val="24"/>
            <w:u w:val="single"/>
            <w:rtl w:val="0"/>
          </w:rPr>
          <w:t xml:space="preserve">https://www.degam.de/files/Inhalte/Leitlinien-Inhalte/Dokumente/DEGAM-S3-Leitlinien/053-043_Multimedikation/oeffentlich/053-043l_Multimedikation_31-07-21.pdf</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Deutsche Gesellschaft für Allgemeinmedizin und Familienmedizin e.V. (DEGAM) - AWMF Leitlinienregister, Zugriff am Mai 8, 2026, </w:t>
      </w:r>
      <w:hyperlink r:id="rId42">
        <w:r w:rsidDel="00000000" w:rsidR="00000000" w:rsidRPr="00000000">
          <w:rPr>
            <w:rFonts w:ascii="Arial" w:cs="Arial" w:eastAsia="Arial" w:hAnsi="Arial"/>
            <w:color w:val="0000ee"/>
            <w:sz w:val="24"/>
            <w:szCs w:val="24"/>
            <w:u w:val="single"/>
            <w:rtl w:val="0"/>
          </w:rPr>
          <w:t xml:space="preserve">https://register.awmf.org/de/leitlinien/aktuelle-leitlinien/fachgesellschaft/053</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MEDI-LEARN, Zugriff am Mai 8, 2026, </w:t>
      </w:r>
      <w:hyperlink r:id="rId43">
        <w:r w:rsidDel="00000000" w:rsidR="00000000" w:rsidRPr="00000000">
          <w:rPr>
            <w:rFonts w:ascii="Arial" w:cs="Arial" w:eastAsia="Arial" w:hAnsi="Arial"/>
            <w:color w:val="0000ee"/>
            <w:sz w:val="24"/>
            <w:szCs w:val="24"/>
            <w:u w:val="single"/>
            <w:rtl w:val="0"/>
          </w:rPr>
          <w:t xml:space="preserve">https://www.medi-learn.de/pruefungsprotokolle/facharztpruefung</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S3-Leitlinie Müdigkeit - AWMF Leitlinienregister, Zugriff am Mai 8, 2026, </w:t>
      </w:r>
      <w:hyperlink r:id="rId44">
        <w:r w:rsidDel="00000000" w:rsidR="00000000" w:rsidRPr="00000000">
          <w:rPr>
            <w:rFonts w:ascii="Arial" w:cs="Arial" w:eastAsia="Arial" w:hAnsi="Arial"/>
            <w:color w:val="0000ee"/>
            <w:sz w:val="24"/>
            <w:szCs w:val="24"/>
            <w:u w:val="single"/>
            <w:rtl w:val="0"/>
          </w:rPr>
          <w:t xml:space="preserve">https://register.awmf.org/de/leitlinien/detail/053-002</w:t>
        </w:r>
      </w:hyperlink>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Arztfehler: Bis zu 15 Prozent aller Diagnosen sind falsch - DER SPIEGEL, Zugriff am Mai 8, 2026, </w:t>
      </w:r>
      <w:hyperlink r:id="rId45">
        <w:r w:rsidDel="00000000" w:rsidR="00000000" w:rsidRPr="00000000">
          <w:rPr>
            <w:rFonts w:ascii="Arial" w:cs="Arial" w:eastAsia="Arial" w:hAnsi="Arial"/>
            <w:color w:val="0000ee"/>
            <w:sz w:val="24"/>
            <w:szCs w:val="24"/>
            <w:u w:val="single"/>
            <w:rtl w:val="0"/>
          </w:rPr>
          <w:t xml:space="preserve">https://www.spiegel.de/wissenschaft/mensch/arztfehler-bis-zu-15-prozent-aller-diagnosen-sind-falsch-a-550594.html</w:t>
        </w:r>
      </w:hyperlink>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Fehldiagnosen: Zweitmeinung beim Arzt kann wichtig sein - DER SPIEGEL, Zugriff am Mai 8, 2026, </w:t>
      </w:r>
      <w:hyperlink r:id="rId46">
        <w:r w:rsidDel="00000000" w:rsidR="00000000" w:rsidRPr="00000000">
          <w:rPr>
            <w:rFonts w:ascii="Arial" w:cs="Arial" w:eastAsia="Arial" w:hAnsi="Arial"/>
            <w:color w:val="0000ee"/>
            <w:sz w:val="24"/>
            <w:szCs w:val="24"/>
            <w:u w:val="single"/>
            <w:rtl w:val="0"/>
          </w:rPr>
          <w:t xml:space="preserve">https://www.spiegel.de/gesundheit/diagnose/fehldiagnosen-zweitmeinung-beim-arzt-kann-wichtig-sein-a-1142733.html</w:t>
        </w:r>
      </w:hyperlink>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Fehldiagnose - DocCheck Flexikon, Zugriff am Mai 8, 2026, </w:t>
      </w:r>
      <w:hyperlink r:id="rId47">
        <w:r w:rsidDel="00000000" w:rsidR="00000000" w:rsidRPr="00000000">
          <w:rPr>
            <w:rFonts w:ascii="Arial" w:cs="Arial" w:eastAsia="Arial" w:hAnsi="Arial"/>
            <w:color w:val="0000ee"/>
            <w:sz w:val="24"/>
            <w:szCs w:val="24"/>
            <w:u w:val="single"/>
            <w:rtl w:val="0"/>
          </w:rPr>
          <w:t xml:space="preserve">https://flexikon.doccheck.com/de/Fehldiagnose</w:t>
        </w:r>
      </w:hyperlink>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Haftung bei Fehldiagnosen und Haftung des Arztes verstehen, Zugriff am Mai 8, 2026, </w:t>
      </w:r>
      <w:hyperlink r:id="rId48">
        <w:r w:rsidDel="00000000" w:rsidR="00000000" w:rsidRPr="00000000">
          <w:rPr>
            <w:rFonts w:ascii="Arial" w:cs="Arial" w:eastAsia="Arial" w:hAnsi="Arial"/>
            <w:color w:val="0000ee"/>
            <w:sz w:val="24"/>
            <w:szCs w:val="24"/>
            <w:u w:val="single"/>
            <w:rtl w:val="0"/>
          </w:rPr>
          <w:t xml:space="preserve">https://medizin-anwalt.net/haftung-fuer-diagnosefehler-ein-gesamtueberblick/</w:t>
        </w:r>
      </w:hyperlink>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Big Three": Das sind die häufigsten Fehldiagnosen - Coliquio, Zugriff am Mai 8, 2026, </w:t>
      </w:r>
      <w:hyperlink r:id="rId49">
        <w:r w:rsidDel="00000000" w:rsidR="00000000" w:rsidRPr="00000000">
          <w:rPr>
            <w:rFonts w:ascii="Arial" w:cs="Arial" w:eastAsia="Arial" w:hAnsi="Arial"/>
            <w:color w:val="0000ee"/>
            <w:sz w:val="24"/>
            <w:szCs w:val="24"/>
            <w:u w:val="single"/>
            <w:rtl w:val="0"/>
          </w:rPr>
          <w:t xml:space="preserve">https://www.coliquio.de/wissen/medizinische-news-100/big-three-fehldiagnosen-100</w:t>
        </w:r>
      </w:hyperlink>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42 % mehr Fehldiagnosen bei Störenfried-Patienten - praktischArzt, Zugriff am Mai 8, 2026, </w:t>
      </w:r>
      <w:hyperlink r:id="rId50">
        <w:r w:rsidDel="00000000" w:rsidR="00000000" w:rsidRPr="00000000">
          <w:rPr>
            <w:rFonts w:ascii="Arial" w:cs="Arial" w:eastAsia="Arial" w:hAnsi="Arial"/>
            <w:color w:val="0000ee"/>
            <w:sz w:val="24"/>
            <w:szCs w:val="24"/>
            <w:u w:val="single"/>
            <w:rtl w:val="0"/>
          </w:rPr>
          <w:t xml:space="preserve">https://www.praktischarzt.de/magazin/stoerenfriede-als-patienten/</w:t>
        </w:r>
      </w:hyperlink>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Contergan-Skandal - Wikipedia, Zugriff am Mai 8, 2026, </w:t>
      </w:r>
      <w:hyperlink r:id="rId51">
        <w:r w:rsidDel="00000000" w:rsidR="00000000" w:rsidRPr="00000000">
          <w:rPr>
            <w:rFonts w:ascii="Arial" w:cs="Arial" w:eastAsia="Arial" w:hAnsi="Arial"/>
            <w:color w:val="0000ee"/>
            <w:sz w:val="24"/>
            <w:szCs w:val="24"/>
            <w:u w:val="single"/>
            <w:rtl w:val="0"/>
          </w:rPr>
          <w:t xml:space="preserve">https://de.wikipedia.org/wiki/Contergan-Skandal</w:t>
        </w:r>
      </w:hyperlink>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Der Contergan-Skandal: eine Tragödie und ihre Geschichte, Zugriff am Mai 8, 2026, </w:t>
      </w:r>
      <w:hyperlink r:id="rId52">
        <w:r w:rsidDel="00000000" w:rsidR="00000000" w:rsidRPr="00000000">
          <w:rPr>
            <w:rFonts w:ascii="Arial" w:cs="Arial" w:eastAsia="Arial" w:hAnsi="Arial"/>
            <w:color w:val="0000ee"/>
            <w:sz w:val="24"/>
            <w:szCs w:val="24"/>
            <w:u w:val="single"/>
            <w:rtl w:val="0"/>
          </w:rPr>
          <w:t xml:space="preserve">https://www.contergan-skandal.de/der-contergan-skandal</w:t>
        </w:r>
      </w:hyperlink>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DIE HALTUNG DES LANDES NRW ZUM CONTERGAN-SKANDAL UND SEINEN FOLGEN (1956–1972) - Uni Münster, Zugriff am Mai 8, 2026, </w:t>
      </w:r>
      <w:hyperlink r:id="rId53">
        <w:r w:rsidDel="00000000" w:rsidR="00000000" w:rsidRPr="00000000">
          <w:rPr>
            <w:rFonts w:ascii="Arial" w:cs="Arial" w:eastAsia="Arial" w:hAnsi="Arial"/>
            <w:color w:val="0000ee"/>
            <w:sz w:val="24"/>
            <w:szCs w:val="24"/>
            <w:u w:val="single"/>
            <w:rtl w:val="0"/>
          </w:rPr>
          <w:t xml:space="preserve">https://www.uni-muenster.de/imperia/md/content/geschichte/neuzeit_2/expose__contergan-forschungsvorhaben_.pdf</w:t>
        </w:r>
      </w:hyperlink>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Das Lübecker Impfunglück 1930 in der Wahrnehmung von Zeitzeuginnen und Zeitzeugen, Zugriff am Mai 8, 2026, </w:t>
      </w:r>
      <w:hyperlink r:id="rId54">
        <w:r w:rsidDel="00000000" w:rsidR="00000000" w:rsidRPr="00000000">
          <w:rPr>
            <w:rFonts w:ascii="Arial" w:cs="Arial" w:eastAsia="Arial" w:hAnsi="Arial"/>
            <w:color w:val="0000ee"/>
            <w:sz w:val="24"/>
            <w:szCs w:val="24"/>
            <w:u w:val="single"/>
            <w:rtl w:val="0"/>
          </w:rPr>
          <w:t xml:space="preserve">https://www.zhb.uni-luebeck.de/epubs/ediss1952.pdf</w:t>
        </w:r>
      </w:hyperlink>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Lernplan für das 2. Staatsexamen (M2) | AMBOSS, Zugriff am Mai 8, 2026, </w:t>
      </w:r>
      <w:hyperlink r:id="rId55">
        <w:r w:rsidDel="00000000" w:rsidR="00000000" w:rsidRPr="00000000">
          <w:rPr>
            <w:rFonts w:ascii="Arial" w:cs="Arial" w:eastAsia="Arial" w:hAnsi="Arial"/>
            <w:color w:val="0000ee"/>
            <w:sz w:val="24"/>
            <w:szCs w:val="24"/>
            <w:u w:val="single"/>
            <w:rtl w:val="0"/>
          </w:rPr>
          <w:t xml:space="preserve">https://www.amboss.com/de/examen/m2-lernplan</w:t>
        </w:r>
      </w:hyperlink>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100-Tage-Lernplan (M2) - AMBOSS Help Center, Zugriff am Mai 8, 2026, </w:t>
      </w:r>
      <w:hyperlink r:id="rId56">
        <w:r w:rsidDel="00000000" w:rsidR="00000000" w:rsidRPr="00000000">
          <w:rPr>
            <w:rFonts w:ascii="Arial" w:cs="Arial" w:eastAsia="Arial" w:hAnsi="Arial"/>
            <w:color w:val="0000ee"/>
            <w:sz w:val="24"/>
            <w:szCs w:val="24"/>
            <w:u w:val="single"/>
            <w:rtl w:val="0"/>
          </w:rPr>
          <w:t xml:space="preserve">https://support.amboss.com/hc/de/articles/360033497192-100-Tage-Lernplan-M2</w:t>
        </w:r>
      </w:hyperlink>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Lernplan Hammerexamen F23 - AMBOSS, Zugriff am Mai 8, 2026, </w:t>
      </w:r>
      <w:hyperlink r:id="rId57">
        <w:r w:rsidDel="00000000" w:rsidR="00000000" w:rsidRPr="00000000">
          <w:rPr>
            <w:rFonts w:ascii="Arial" w:cs="Arial" w:eastAsia="Arial" w:hAnsi="Arial"/>
            <w:color w:val="0000ee"/>
            <w:sz w:val="24"/>
            <w:szCs w:val="24"/>
            <w:u w:val="single"/>
            <w:rtl w:val="0"/>
          </w:rPr>
          <w:t xml:space="preserve">https://www.amboss.com/media/de/lernplan-f23-m2</w:t>
        </w:r>
      </w:hyperlink>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EXAMENS LERNPLAN - AMBOSS, Zugriff am Mai 8, 2026, </w:t>
      </w:r>
      <w:hyperlink r:id="rId58">
        <w:r w:rsidDel="00000000" w:rsidR="00000000" w:rsidRPr="00000000">
          <w:rPr>
            <w:rFonts w:ascii="Arial" w:cs="Arial" w:eastAsia="Arial" w:hAnsi="Arial"/>
            <w:color w:val="0000ee"/>
            <w:sz w:val="24"/>
            <w:szCs w:val="24"/>
            <w:u w:val="single"/>
            <w:rtl w:val="0"/>
          </w:rPr>
          <w:t xml:space="preserve">https://www.amboss.com/media/de/m2-lernplan-h20</w:t>
        </w:r>
      </w:hyperlink>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Lernpläne und Examensvorbereitung für M2 &amp; M3 - AMBOSS, Zugriff am Mai 8, 2026, </w:t>
      </w:r>
      <w:hyperlink r:id="rId59">
        <w:r w:rsidDel="00000000" w:rsidR="00000000" w:rsidRPr="00000000">
          <w:rPr>
            <w:rFonts w:ascii="Arial" w:cs="Arial" w:eastAsia="Arial" w:hAnsi="Arial"/>
            <w:color w:val="0000ee"/>
            <w:sz w:val="24"/>
            <w:szCs w:val="24"/>
            <w:u w:val="single"/>
            <w:rtl w:val="0"/>
          </w:rPr>
          <w:t xml:space="preserve">https://www.amboss.com/de/examen-m2-m3</w:t>
        </w:r>
      </w:hyperlink>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Musterlogbuch für das Praktische Jahr Allgemeinmedizin - DEGAM, Zugriff am Mai 8, 2026, </w:t>
      </w:r>
      <w:hyperlink r:id="rId60">
        <w:r w:rsidDel="00000000" w:rsidR="00000000" w:rsidRPr="00000000">
          <w:rPr>
            <w:rFonts w:ascii="Arial" w:cs="Arial" w:eastAsia="Arial" w:hAnsi="Arial"/>
            <w:color w:val="0000ee"/>
            <w:sz w:val="24"/>
            <w:szCs w:val="24"/>
            <w:u w:val="single"/>
            <w:rtl w:val="0"/>
          </w:rPr>
          <w:t xml:space="preserve">https://www.degam.de/studium-und-hochschule?file=files/inhalt/Sektionen_und_Arbeitsgruppen/Sektion_StudiumHochschule/Muster_PJ-Logbuch_3.1.pdf&amp;cid=8326</w:t>
        </w:r>
      </w:hyperlink>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LOGBUCH - Institut für Allgemeinmedizin, Zugriff am Mai 8, 2026, </w:t>
      </w:r>
      <w:hyperlink r:id="rId61">
        <w:r w:rsidDel="00000000" w:rsidR="00000000" w:rsidRPr="00000000">
          <w:rPr>
            <w:rFonts w:ascii="Arial" w:cs="Arial" w:eastAsia="Arial" w:hAnsi="Arial"/>
            <w:color w:val="0000ee"/>
            <w:sz w:val="24"/>
            <w:szCs w:val="24"/>
            <w:u w:val="single"/>
            <w:rtl w:val="0"/>
          </w:rPr>
          <w:t xml:space="preserve">https://allgemeinmedizin.med.uni-rostock.de/fileadmin/Institute/iallmed/Studium/20190307_Logbuch_PJ-Allgem_A5-einseitig_PRINT.pdf</w:t>
        </w:r>
      </w:hyperlink>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Praktisches Jahr Allgemeinmedizin, Zugriff am Mai 8, 2026, </w:t>
      </w:r>
      <w:hyperlink r:id="rId62">
        <w:r w:rsidDel="00000000" w:rsidR="00000000" w:rsidRPr="00000000">
          <w:rPr>
            <w:rFonts w:ascii="Arial" w:cs="Arial" w:eastAsia="Arial" w:hAnsi="Arial"/>
            <w:color w:val="0000ee"/>
            <w:sz w:val="24"/>
            <w:szCs w:val="24"/>
            <w:u w:val="single"/>
            <w:rtl w:val="0"/>
          </w:rPr>
          <w:t xml:space="preserve">https://www.uniklinikum-jena.de/allgemeinmedizin_media/04+Lehre/Ausbildung/PJ+Begleitheft+%C3%84rztinnen+und+%C3%84rzte+%28Stand+21_03_21%29-p-2400.pdf</w:t>
        </w:r>
      </w:hyperlink>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Lernziele – Pflicht - MedUni Wien, Zugriff am Mai 8, 2026, </w:t>
      </w:r>
      <w:hyperlink r:id="rId63">
        <w:r w:rsidDel="00000000" w:rsidR="00000000" w:rsidRPr="00000000">
          <w:rPr>
            <w:rFonts w:ascii="Arial" w:cs="Arial" w:eastAsia="Arial" w:hAnsi="Arial"/>
            <w:color w:val="0000ee"/>
            <w:sz w:val="24"/>
            <w:szCs w:val="24"/>
            <w:u w:val="single"/>
            <w:rtl w:val="0"/>
          </w:rPr>
          <w:t xml:space="preserve">https://www.meduniwien.ac.at/web/fileadmin/content/auftritte/klinisch_praktisches_jahr_kpj/Unterlagen_2025_2026/Lernziele_deutsch/Allgemeinmedizin-Lernziele-de-2025.pdf</w:t>
        </w:r>
      </w:hyperlink>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Approbationsordnung für Ärzte, Zugriff am Mai 8, 2026, </w:t>
      </w:r>
      <w:hyperlink r:id="rId64">
        <w:r w:rsidDel="00000000" w:rsidR="00000000" w:rsidRPr="00000000">
          <w:rPr>
            <w:rFonts w:ascii="Arial" w:cs="Arial" w:eastAsia="Arial" w:hAnsi="Arial"/>
            <w:color w:val="0000ee"/>
            <w:sz w:val="24"/>
            <w:szCs w:val="24"/>
            <w:u w:val="single"/>
            <w:rtl w:val="0"/>
          </w:rPr>
          <w:t xml:space="preserve">https://download.uni-mainz.de/verwaltung-sl/ordnungen/Approbationsordnung_fuer_Aerzte_aktuell.pdf</w:t>
        </w:r>
      </w:hyperlink>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Zweiter Abschnitt ÄApprO Allgemeine Prüfungsbestimmungen Approbationsordnung für Ärzte - Buzer.de, Zugriff am Mai 8, 2026, </w:t>
      </w:r>
      <w:hyperlink r:id="rId65">
        <w:r w:rsidDel="00000000" w:rsidR="00000000" w:rsidRPr="00000000">
          <w:rPr>
            <w:rFonts w:ascii="Arial" w:cs="Arial" w:eastAsia="Arial" w:hAnsi="Arial"/>
            <w:color w:val="0000ee"/>
            <w:sz w:val="24"/>
            <w:szCs w:val="24"/>
            <w:u w:val="single"/>
            <w:rtl w:val="0"/>
          </w:rPr>
          <w:t xml:space="preserve">https://www.buzer.de/gesetz/4576/b12283.htm</w:t>
        </w:r>
      </w:hyperlink>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AMBOSS-Fälle für die mündliche Prüfung (M3), Zugriff am Mai 8, 2026, </w:t>
      </w:r>
      <w:hyperlink r:id="rId66">
        <w:r w:rsidDel="00000000" w:rsidR="00000000" w:rsidRPr="00000000">
          <w:rPr>
            <w:rFonts w:ascii="Arial" w:cs="Arial" w:eastAsia="Arial" w:hAnsi="Arial"/>
            <w:color w:val="0000ee"/>
            <w:sz w:val="24"/>
            <w:szCs w:val="24"/>
            <w:u w:val="single"/>
            <w:rtl w:val="0"/>
          </w:rPr>
          <w:t xml:space="preserve">https://www.amboss.com/de/faelle-m3</w:t>
        </w:r>
      </w:hyperlink>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M3 Fälle: Über 500 Fallbeispiele für das 3. Staatsexamen - CasePrep, Zugriff am Mai 8, 2026, </w:t>
      </w:r>
      <w:hyperlink r:id="rId67">
        <w:r w:rsidDel="00000000" w:rsidR="00000000" w:rsidRPr="00000000">
          <w:rPr>
            <w:rFonts w:ascii="Arial" w:cs="Arial" w:eastAsia="Arial" w:hAnsi="Arial"/>
            <w:color w:val="0000ee"/>
            <w:sz w:val="24"/>
            <w:szCs w:val="24"/>
            <w:u w:val="single"/>
            <w:rtl w:val="0"/>
          </w:rPr>
          <w:t xml:space="preserve">https://www.caseprep.de/m3-faelle</w:t>
        </w:r>
      </w:hyperlink>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Fälle für die mündliche Prüfung (M3) | AMBOSS - YouTube, Zugriff am Mai 8, 2026, </w:t>
      </w:r>
      <w:hyperlink r:id="rId68">
        <w:r w:rsidDel="00000000" w:rsidR="00000000" w:rsidRPr="00000000">
          <w:rPr>
            <w:rFonts w:ascii="Arial" w:cs="Arial" w:eastAsia="Arial" w:hAnsi="Arial"/>
            <w:color w:val="0000ee"/>
            <w:sz w:val="24"/>
            <w:szCs w:val="24"/>
            <w:u w:val="single"/>
            <w:rtl w:val="0"/>
          </w:rPr>
          <w:t xml:space="preserve">https://www.youtube.com/watch?v=GAVNlT2ZdeE</w:t>
        </w:r>
      </w:hyperlink>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Bundesärztekammer beschließt neue Muster-Weiterbildungsordnung - DGOU, Zugriff am Mai 8, 2026, </w:t>
      </w:r>
      <w:hyperlink r:id="rId69">
        <w:r w:rsidDel="00000000" w:rsidR="00000000" w:rsidRPr="00000000">
          <w:rPr>
            <w:rFonts w:ascii="Arial" w:cs="Arial" w:eastAsia="Arial" w:hAnsi="Arial"/>
            <w:color w:val="0000ee"/>
            <w:sz w:val="24"/>
            <w:szCs w:val="24"/>
            <w:u w:val="single"/>
            <w:rtl w:val="0"/>
          </w:rPr>
          <w:t xml:space="preserve">https://dgou.de/aktuelles/detail/bundesaerztekammer-beschliesst-neue-muster-weiterbildungsordnung</w:t>
        </w:r>
      </w:hyperlink>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Entwurf (Muster-)Fortbildungsordnung (MFBO) 2024 Regelungstext Begründung Inhaltsübersicht Präambel § 1 Begriffsbestimmungen - Bundesärztekammer, Zugriff am Mai 8, 2026, </w:t>
      </w:r>
      <w:hyperlink r:id="rId70">
        <w:r w:rsidDel="00000000" w:rsidR="00000000" w:rsidRPr="00000000">
          <w:rPr>
            <w:rFonts w:ascii="Arial" w:cs="Arial" w:eastAsia="Arial" w:hAnsi="Arial"/>
            <w:color w:val="0000ee"/>
            <w:sz w:val="24"/>
            <w:szCs w:val="24"/>
            <w:u w:val="single"/>
            <w:rtl w:val="0"/>
          </w:rPr>
          <w:t xml:space="preserve">https://128daet.baek.de/data/attachments/92_Tabelle%201.pdf</w:t>
        </w:r>
      </w:hyperlink>
      <w:r w:rsidDel="00000000" w:rsidR="00000000" w:rsidRPr="00000000">
        <w:rPr>
          <w:rtl w:val="0"/>
        </w:rPr>
      </w:r>
    </w:p>
    <w:p w:rsidR="00000000" w:rsidDel="00000000" w:rsidP="00000000" w:rsidRDefault="00000000" w:rsidRPr="00000000" w14:paraId="000001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(Muster-)Fortbildungsordnung 09.05.2024.docx - Bundesärztekammer, Zugriff am Mai 8, 2026, </w:t>
      </w:r>
      <w:hyperlink r:id="rId71">
        <w:r w:rsidDel="00000000" w:rsidR="00000000" w:rsidRPr="00000000">
          <w:rPr>
            <w:rFonts w:ascii="Arial" w:cs="Arial" w:eastAsia="Arial" w:hAnsi="Arial"/>
            <w:color w:val="0000ee"/>
            <w:sz w:val="24"/>
            <w:szCs w:val="24"/>
            <w:u w:val="single"/>
            <w:rtl w:val="0"/>
          </w:rPr>
          <w:t xml:space="preserve">https://www.bundesaerztekammer.de/fileadmin/user_upload/BAEK/Themen/Aus-Fort-Weiterbildung/Fortbildung/_Muster-_Fortbildungsordnung_09.05.2024.pdf</w:t>
        </w:r>
      </w:hyperlink>
      <w:r w:rsidDel="00000000" w:rsidR="00000000" w:rsidRPr="00000000">
        <w:rPr>
          <w:rtl w:val="0"/>
        </w:rPr>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Allgemeinmediziner stellen S3-Leitlinie zur Multimorbidität vor - Deutsches Ärzteblatt, Zugriff am Mai 8, 2026, </w:t>
      </w:r>
      <w:hyperlink r:id="rId72">
        <w:r w:rsidDel="00000000" w:rsidR="00000000" w:rsidRPr="00000000">
          <w:rPr>
            <w:rFonts w:ascii="Arial" w:cs="Arial" w:eastAsia="Arial" w:hAnsi="Arial"/>
            <w:color w:val="0000ee"/>
            <w:sz w:val="24"/>
            <w:szCs w:val="24"/>
            <w:u w:val="single"/>
            <w:rtl w:val="0"/>
          </w:rPr>
          <w:t xml:space="preserve">https://www.aerzteblatt.de/news/allgemeinmediziner-stellen-s3-leitlinie-zur-multimorbiditaet-vor-d95adb4a-74f6-4851-9104-7dcec597c1e7</w:t>
        </w:r>
      </w:hyperlink>
      <w:r w:rsidDel="00000000" w:rsidR="00000000" w:rsidRPr="00000000">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Prüfungsprotokolle Facharztprüfung - MEDI-LEARN, Zugriff am Mai 8, 2026, </w:t>
      </w:r>
      <w:hyperlink r:id="rId73">
        <w:r w:rsidDel="00000000" w:rsidR="00000000" w:rsidRPr="00000000">
          <w:rPr>
            <w:rFonts w:ascii="Arial" w:cs="Arial" w:eastAsia="Arial" w:hAnsi="Arial"/>
            <w:color w:val="0000ee"/>
            <w:sz w:val="24"/>
            <w:szCs w:val="24"/>
            <w:u w:val="single"/>
            <w:rtl w:val="0"/>
          </w:rPr>
          <w:t xml:space="preserve">https://www.medi-learn.de/pruefungsprotokolle/facharztpruefung?seitenNr=181</w:t>
        </w:r>
      </w:hyperlink>
      <w:r w:rsidDel="00000000" w:rsidR="00000000" w:rsidRPr="00000000">
        <w:rPr>
          <w:rtl w:val="0"/>
        </w:rPr>
      </w:r>
    </w:p>
    <w:p w:rsidR="00000000" w:rsidDel="00000000" w:rsidP="00000000" w:rsidRDefault="00000000" w:rsidRPr="00000000" w14:paraId="000001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Musterfragen ÖÄK Prüfung Arzt für Allgemeinmedizin, Zugriff am Mai 8, 2026, </w:t>
      </w:r>
      <w:hyperlink r:id="rId74">
        <w:r w:rsidDel="00000000" w:rsidR="00000000" w:rsidRPr="00000000">
          <w:rPr>
            <w:rFonts w:ascii="Arial" w:cs="Arial" w:eastAsia="Arial" w:hAnsi="Arial"/>
            <w:color w:val="0000ee"/>
            <w:sz w:val="24"/>
            <w:szCs w:val="24"/>
            <w:u w:val="single"/>
            <w:rtl w:val="0"/>
          </w:rPr>
          <w:t xml:space="preserve">https://www.arztakademie.at/documents/1032702/1846209/Musterfragen+%C3%96%C3%84K+Pr%C3%BCfung+Arzt+f%C3%BCr+Allgemeinmedizin.pdf/370521e4-46c8-af1c-ddae-4776a4938560?t=1678352358784</w:t>
        </w:r>
      </w:hyperlink>
      <w:r w:rsidDel="00000000" w:rsidR="00000000" w:rsidRPr="00000000">
        <w:rPr>
          <w:rtl w:val="0"/>
        </w:rPr>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Musterklausur MFA-Zwischenprüfung mit Lösungen - aekn.de, Zugriff am Mai 8, 2026, </w:t>
      </w:r>
      <w:hyperlink r:id="rId75">
        <w:r w:rsidDel="00000000" w:rsidR="00000000" w:rsidRPr="00000000">
          <w:rPr>
            <w:rFonts w:ascii="Arial" w:cs="Arial" w:eastAsia="Arial" w:hAnsi="Arial"/>
            <w:color w:val="0000ee"/>
            <w:sz w:val="24"/>
            <w:szCs w:val="24"/>
            <w:u w:val="single"/>
            <w:rtl w:val="0"/>
          </w:rPr>
          <w:t xml:space="preserve">https://www.aekn.de/fileadmin/inhalte/pdf/mfa/ausbildung-und-beruf/Musterklausur_Zwischenpruefung.pdf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gou.de/aktuelles/detail/jetzt-online-konsultationsfassung-der-s3-leitlinie-multimorbiditaet" TargetMode="External"/><Relationship Id="rId42" Type="http://schemas.openxmlformats.org/officeDocument/2006/relationships/hyperlink" Target="https://register.awmf.org/de/leitlinien/aktuelle-leitlinien/fachgesellschaft/053" TargetMode="External"/><Relationship Id="rId41" Type="http://schemas.openxmlformats.org/officeDocument/2006/relationships/hyperlink" Target="https://www.degam.de/files/Inhalte/Leitlinien-Inhalte/Dokumente/DEGAM-S3-Leitlinien/053-043_Multimedikation/oeffentlich/053-043l_Multimedikation_31-07-21.pdf" TargetMode="External"/><Relationship Id="rId44" Type="http://schemas.openxmlformats.org/officeDocument/2006/relationships/hyperlink" Target="https://register.awmf.org/de/leitlinien/detail/053-002" TargetMode="External"/><Relationship Id="rId43" Type="http://schemas.openxmlformats.org/officeDocument/2006/relationships/hyperlink" Target="https://www.medi-learn.de/pruefungsprotokolle/facharztpruefung" TargetMode="External"/><Relationship Id="rId46" Type="http://schemas.openxmlformats.org/officeDocument/2006/relationships/hyperlink" Target="https://www.spiegel.de/gesundheit/diagnose/fehldiagnosen-zweitmeinung-beim-arzt-kann-wichtig-sein-a-1142733.html" TargetMode="External"/><Relationship Id="rId45" Type="http://schemas.openxmlformats.org/officeDocument/2006/relationships/hyperlink" Target="https://www.spiegel.de/wissenschaft/mensch/arztfehler-bis-zu-15-prozent-aller-diagnosen-sind-falsch-a-55059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mds.de/fileadmin/user_upload/Publikationen/Empfehlungen_Veroeffentlichungen/150604_Lernzielkatalog_Medizin.pdf" TargetMode="External"/><Relationship Id="rId48" Type="http://schemas.openxmlformats.org/officeDocument/2006/relationships/hyperlink" Target="https://medizin-anwalt.net/haftung-fuer-diagnosefehler-ein-gesamtueberblick/" TargetMode="External"/><Relationship Id="rId47" Type="http://schemas.openxmlformats.org/officeDocument/2006/relationships/hyperlink" Target="https://flexikon.doccheck.com/de/Fehldiagnose" TargetMode="External"/><Relationship Id="rId49" Type="http://schemas.openxmlformats.org/officeDocument/2006/relationships/hyperlink" Target="https://www.coliquio.de/wissen/medizinische-news-100/big-three-fehldiagnosen-100" TargetMode="External"/><Relationship Id="rId5" Type="http://schemas.openxmlformats.org/officeDocument/2006/relationships/styles" Target="styles.xml"/><Relationship Id="rId6" Type="http://schemas.openxmlformats.org/officeDocument/2006/relationships/hyperlink" Target="https://www.buzer.de/gesetz/4576/index.htm" TargetMode="External"/><Relationship Id="rId7" Type="http://schemas.openxmlformats.org/officeDocument/2006/relationships/hyperlink" Target="https://www.gesetze-im-internet.de/_appro_2002/%C3%84ApprO_2002.pdf" TargetMode="External"/><Relationship Id="rId8" Type="http://schemas.openxmlformats.org/officeDocument/2006/relationships/hyperlink" Target="https://medizinische-fakultaeten.de/themen/studium/kompetenzbasierte-lernzielkataloge-nklm-nklz/" TargetMode="External"/><Relationship Id="rId73" Type="http://schemas.openxmlformats.org/officeDocument/2006/relationships/hyperlink" Target="https://www.medi-learn.de/pruefungsprotokolle/facharztpruefung?seitenNr=181" TargetMode="External"/><Relationship Id="rId72" Type="http://schemas.openxmlformats.org/officeDocument/2006/relationships/hyperlink" Target="https://www.aerzteblatt.de/news/allgemeinmediziner-stellen-s3-leitlinie-zur-multimorbiditaet-vor-d95adb4a-74f6-4851-9104-7dcec597c1e7" TargetMode="External"/><Relationship Id="rId31" Type="http://schemas.openxmlformats.org/officeDocument/2006/relationships/hyperlink" Target="https://www.gesetze-im-internet.de/_appro_2002/anlage_15.html" TargetMode="External"/><Relationship Id="rId75" Type="http://schemas.openxmlformats.org/officeDocument/2006/relationships/hyperlink" Target="https://www.aekn.de/fileadmin/inhalte/pdf/mfa/ausbildung-und-beruf/Musterklausur_Zwischenpruefung.pdf" TargetMode="External"/><Relationship Id="rId30" Type="http://schemas.openxmlformats.org/officeDocument/2006/relationships/hyperlink" Target="https://www.med.uni-wuerzburg.de/fileadmin/0300-planetaregesundheit/2023/Liste_der_Planetare_Gesundheit_Lernziele_aus_dem_NKLM_2.0_AEnderungen_Angenommen.pdf" TargetMode="External"/><Relationship Id="rId74" Type="http://schemas.openxmlformats.org/officeDocument/2006/relationships/hyperlink" Target="https://www.arztakademie.at/documents/1032702/1846209/Musterfragen+%C3%96%C3%84K+Pr%C3%BCfung+Arzt+f%C3%BCr+Allgemeinmedizin.pdf/370521e4-46c8-af1c-ddae-4776a4938560?t=1678352358784" TargetMode="External"/><Relationship Id="rId33" Type="http://schemas.openxmlformats.org/officeDocument/2006/relationships/hyperlink" Target="https://www.arztakademie.at/documents/1032702/1846209/Themenkatalog.pdf/f0847c25-bb8b-e299-218c-a991abb7298a?t=1678269071923" TargetMode="External"/><Relationship Id="rId32" Type="http://schemas.openxmlformats.org/officeDocument/2006/relationships/hyperlink" Target="https://www.buzer.de/gesetz/4576/b12286.htm" TargetMode="External"/><Relationship Id="rId35" Type="http://schemas.openxmlformats.org/officeDocument/2006/relationships/hyperlink" Target="https://www.degam.de/leitlinien/fuer-aerzte/leitlinienuebersicht" TargetMode="External"/><Relationship Id="rId34" Type="http://schemas.openxmlformats.org/officeDocument/2006/relationships/hyperlink" Target="https://www.bundesaerztekammer.de/fileadmin/user_upload/_old-files/downloads/117DAETTop02Kaplan.pdf" TargetMode="External"/><Relationship Id="rId71" Type="http://schemas.openxmlformats.org/officeDocument/2006/relationships/hyperlink" Target="https://www.bundesaerztekammer.de/fileadmin/user_upload/BAEK/Themen/Aus-Fort-Weiterbildung/Fortbildung/_Muster-_Fortbildungsordnung_09.05.2024.pdf" TargetMode="External"/><Relationship Id="rId70" Type="http://schemas.openxmlformats.org/officeDocument/2006/relationships/hyperlink" Target="https://128daet.baek.de/data/attachments/92_Tabelle%201.pdf" TargetMode="External"/><Relationship Id="rId37" Type="http://schemas.openxmlformats.org/officeDocument/2006/relationships/hyperlink" Target="https://register.awmf.org/assets/guidelines/053-023l_S3_Brustschmerz%E2%80%93primaeraerztliche-Versorgung_2025-07.pdf" TargetMode="External"/><Relationship Id="rId36" Type="http://schemas.openxmlformats.org/officeDocument/2006/relationships/hyperlink" Target="https://register.awmf.org/de/leitlinien/detail/053-023" TargetMode="External"/><Relationship Id="rId39" Type="http://schemas.openxmlformats.org/officeDocument/2006/relationships/hyperlink" Target="https://register.awmf.org/assets/guidelines/053-047l_S3_Multimorbiditaet_2024-11-abgelaufen.pdf" TargetMode="External"/><Relationship Id="rId38" Type="http://schemas.openxmlformats.org/officeDocument/2006/relationships/hyperlink" Target="https://www.vmf-online.de/mfa/leitlinien-allgemein-mfa/humanmedizin/2017-11-29-multimorbiditaet" TargetMode="External"/><Relationship Id="rId62" Type="http://schemas.openxmlformats.org/officeDocument/2006/relationships/hyperlink" Target="https://www.uniklinikum-jena.de/allgemeinmedizin_media/04+Lehre/Ausbildung/PJ+Begleitheft+%C3%84rztinnen+und+%C3%84rzte+%28Stand+21_03_21%29-p-2400.pdf" TargetMode="External"/><Relationship Id="rId61" Type="http://schemas.openxmlformats.org/officeDocument/2006/relationships/hyperlink" Target="https://allgemeinmedizin.med.uni-rostock.de/fileadmin/Institute/iallmed/Studium/20190307_Logbuch_PJ-Allgem_A5-einseitig_PRINT.pdf" TargetMode="External"/><Relationship Id="rId20" Type="http://schemas.openxmlformats.org/officeDocument/2006/relationships/hyperlink" Target="https://www.impp.de/pruefungen/medizin.html" TargetMode="External"/><Relationship Id="rId64" Type="http://schemas.openxmlformats.org/officeDocument/2006/relationships/hyperlink" Target="https://download.uni-mainz.de/verwaltung-sl/ordnungen/Approbationsordnung_fuer_Aerzte_aktuell.pdf" TargetMode="External"/><Relationship Id="rId63" Type="http://schemas.openxmlformats.org/officeDocument/2006/relationships/hyperlink" Target="https://www.meduniwien.ac.at/web/fileadmin/content/auftritte/klinisch_praktisches_jahr_kpj/Unterlagen_2025_2026/Lernziele_deutsch/Allgemeinmedizin-Lernziele-de-2025.pdf" TargetMode="External"/><Relationship Id="rId22" Type="http://schemas.openxmlformats.org/officeDocument/2006/relationships/hyperlink" Target="https://viamedici-testen.thieme.de/impp-fragen/" TargetMode="External"/><Relationship Id="rId66" Type="http://schemas.openxmlformats.org/officeDocument/2006/relationships/hyperlink" Target="https://www.amboss.com/de/faelle-m3" TargetMode="External"/><Relationship Id="rId21" Type="http://schemas.openxmlformats.org/officeDocument/2006/relationships/hyperlink" Target="https://www.medi-learn.de/statistik/physikum/themenrelevanz/" TargetMode="External"/><Relationship Id="rId65" Type="http://schemas.openxmlformats.org/officeDocument/2006/relationships/hyperlink" Target="https://www.buzer.de/gesetz/4576/b12283.htm" TargetMode="External"/><Relationship Id="rId24" Type="http://schemas.openxmlformats.org/officeDocument/2006/relationships/hyperlink" Target="https://www.lehmanns.de/listing/3313-buchempfehlungen-fuer-das-medizinstudium-in-koeln" TargetMode="External"/><Relationship Id="rId68" Type="http://schemas.openxmlformats.org/officeDocument/2006/relationships/hyperlink" Target="https://www.youtube.com/watch?v=GAVNlT2ZdeE" TargetMode="External"/><Relationship Id="rId23" Type="http://schemas.openxmlformats.org/officeDocument/2006/relationships/hyperlink" Target="https://shop.elsevier.de/vorklinik-alle-buecher" TargetMode="External"/><Relationship Id="rId67" Type="http://schemas.openxmlformats.org/officeDocument/2006/relationships/hyperlink" Target="https://www.caseprep.de/m3-faelle" TargetMode="External"/><Relationship Id="rId60" Type="http://schemas.openxmlformats.org/officeDocument/2006/relationships/hyperlink" Target="https://www.degam.de/studium-und-hochschule?file=files/inhalt/Sektionen_und_Arbeitsgruppen/Sektion_StudiumHochschule/Muster_PJ-Logbuch_3.1.pdf&amp;cid=8326" TargetMode="External"/><Relationship Id="rId26" Type="http://schemas.openxmlformats.org/officeDocument/2006/relationships/hyperlink" Target="https://shop.thieme.de/Studium-Humanmedizin-Vorklinik" TargetMode="External"/><Relationship Id="rId25" Type="http://schemas.openxmlformats.org/officeDocument/2006/relationships/hyperlink" Target="https://fvmed.ch/vorklinik-buecher/" TargetMode="External"/><Relationship Id="rId69" Type="http://schemas.openxmlformats.org/officeDocument/2006/relationships/hyperlink" Target="https://dgou.de/aktuelles/detail/bundesaerztekammer-beschliesst-neue-muster-weiterbildungsordnung" TargetMode="External"/><Relationship Id="rId28" Type="http://schemas.openxmlformats.org/officeDocument/2006/relationships/hyperlink" Target="http://www.leipzig-medizin.de/downloads/protokolle/physikum/Engele-Eschrich-Eilers-ss07.pdf" TargetMode="External"/><Relationship Id="rId27" Type="http://schemas.openxmlformats.org/officeDocument/2006/relationships/hyperlink" Target="https://www.lehmanns.de/tab/buecher/medizin-psychologie/1-medizin-studium" TargetMode="External"/><Relationship Id="rId29" Type="http://schemas.openxmlformats.org/officeDocument/2006/relationships/hyperlink" Target="https://www.degam.de/files/inhalt/sektionen/weiterbildung/2021_Kompetenzbasiertes_Curriculum.pdf" TargetMode="External"/><Relationship Id="rId51" Type="http://schemas.openxmlformats.org/officeDocument/2006/relationships/hyperlink" Target="https://de.wikipedia.org/wiki/Contergan-Skandal" TargetMode="External"/><Relationship Id="rId50" Type="http://schemas.openxmlformats.org/officeDocument/2006/relationships/hyperlink" Target="https://www.praktischarzt.de/magazin/stoerenfriede-als-patienten/" TargetMode="External"/><Relationship Id="rId53" Type="http://schemas.openxmlformats.org/officeDocument/2006/relationships/hyperlink" Target="https://www.uni-muenster.de/imperia/md/content/geschichte/neuzeit_2/expose__contergan-forschungsvorhaben_.pdf" TargetMode="External"/><Relationship Id="rId52" Type="http://schemas.openxmlformats.org/officeDocument/2006/relationships/hyperlink" Target="https://www.contergan-skandal.de/der-contergan-skandal" TargetMode="External"/><Relationship Id="rId11" Type="http://schemas.openxmlformats.org/officeDocument/2006/relationships/hyperlink" Target="https://books.publisso.de/de/publisso_gold/export/pdf/article/3868/Entwicklung_von_Lernzielen_f%C3%BCr_das_Tertial_Allgemeinmedizin_im_Praktischen_Jahr.pdf" TargetMode="External"/><Relationship Id="rId55" Type="http://schemas.openxmlformats.org/officeDocument/2006/relationships/hyperlink" Target="https://www.amboss.com/de/examen/m2-lernplan" TargetMode="External"/><Relationship Id="rId10" Type="http://schemas.openxmlformats.org/officeDocument/2006/relationships/hyperlink" Target="https://www.uni-luebeck.de/fileadmin/uzl_med/pdf/studierende/Klinik/Lernziele_fuer_das_Seminar_102018.pdf" TargetMode="External"/><Relationship Id="rId54" Type="http://schemas.openxmlformats.org/officeDocument/2006/relationships/hyperlink" Target="https://www.zhb.uni-luebeck.de/epubs/ediss1952.pdf" TargetMode="External"/><Relationship Id="rId13" Type="http://schemas.openxmlformats.org/officeDocument/2006/relationships/hyperlink" Target="https://www.awmf.org/fileadmin/user_upload/dateien/veranstaltungen/serviceseminare-treede-bericht-zu-appo-2019.pdf" TargetMode="External"/><Relationship Id="rId57" Type="http://schemas.openxmlformats.org/officeDocument/2006/relationships/hyperlink" Target="https://www.amboss.com/media/de/lernplan-f23-m2" TargetMode="External"/><Relationship Id="rId12" Type="http://schemas.openxmlformats.org/officeDocument/2006/relationships/hyperlink" Target="https://www.kmk.org/en/aktuelles/pressearchiv/mitteilung/masterplan-medizinstudium-2020.html" TargetMode="External"/><Relationship Id="rId56" Type="http://schemas.openxmlformats.org/officeDocument/2006/relationships/hyperlink" Target="https://support.amboss.com/hc/de/articles/360033497192-100-Tage-Lernplan-M2" TargetMode="External"/><Relationship Id="rId15" Type="http://schemas.openxmlformats.org/officeDocument/2006/relationships/hyperlink" Target="https://www.umg.eu/fileadmin/Redaktion/Dachportal/005_Studium_Lehre/CONTENT_NEU/id87_Humanmedizin/id88_Vorklinik/id331_Lehrveranstaltungen/Curriculum_HM_WiSe_2024.pdf" TargetMode="External"/><Relationship Id="rId59" Type="http://schemas.openxmlformats.org/officeDocument/2006/relationships/hyperlink" Target="https://www.amboss.com/de/examen-m2-m3" TargetMode="External"/><Relationship Id="rId14" Type="http://schemas.openxmlformats.org/officeDocument/2006/relationships/hyperlink" Target="https://www.marburger-bund.de/sites/default/files/files/2020-01/2020-01-24_MB_SN_Synopse_%C3%84ApprO%20%28002%29_0.pdf" TargetMode="External"/><Relationship Id="rId58" Type="http://schemas.openxmlformats.org/officeDocument/2006/relationships/hyperlink" Target="https://www.amboss.com/media/de/m2-lernplan-h20" TargetMode="External"/><Relationship Id="rId17" Type="http://schemas.openxmlformats.org/officeDocument/2006/relationships/hyperlink" Target="https://www.gesetze-im-internet.de/_appro_2002/anlage_10.html" TargetMode="External"/><Relationship Id="rId16" Type="http://schemas.openxmlformats.org/officeDocument/2006/relationships/hyperlink" Target="https://www.praktischarzt.de/medizinstudium/vorklinik-einfuehrung/" TargetMode="External"/><Relationship Id="rId19" Type="http://schemas.openxmlformats.org/officeDocument/2006/relationships/hyperlink" Target="https://www.impp.de/pruefungen/allgemein/gegenstandskataloge.html" TargetMode="External"/><Relationship Id="rId18" Type="http://schemas.openxmlformats.org/officeDocument/2006/relationships/hyperlink" Target="https://relaxed-ins-stex.de/blog/1-stex-pharmazie-gegenstandskatalo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