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and health predictors of insufficient sleep</w:t>
      </w:r>
    </w:p>
    <w:p>
      <w:r>
        <w:t>Revised project proposal | Introduction to Data Science | October 2026</w:t>
      </w:r>
    </w:p>
    <w:p>
      <w:r>
        <w:t>Elav Cohen (208698100) | Neta Ronen (318595956)</w:t>
      </w:r>
    </w:p>
    <w:p>
      <w:pPr>
        <w:pStyle w:val="Heading1"/>
      </w:pPr>
      <w:r>
        <w:t>1 Research question</w:t>
      </w:r>
    </w:p>
    <w:p>
      <w:r>
        <w:t>How well can insufficient sleep be predicted from structural characteristics alone, and how much does predictive performance improve when self-reported lifestyle and health variables are added?</w:t>
      </w:r>
    </w:p>
    <w:p>
      <w:r>
        <w:t>Following the lecturer’s feedback, the main finding will be the performance difference between two feature sets, compared within the same algorithms. Our audience is public-health organizations and policy makers interested in what demographic and socioeconomic information can reveal about short sleep. This is a cross-sectional prediction study: associations and predictive gains do not establish causes, future risk, or the effects of interventions.</w:t>
      </w:r>
    </w:p>
    <w:p>
      <w:r>
        <w:t>Grandner et al. (2015) used BRFSS 2009 to predict days of perceived insufficient rest or sleep, and compared models with and without mental health. Their target differs from our binary hours-based outcome. DelRosso and Vodapally (2025) studied short sleep using survey-weighted logistic regression on BRFSS 2022. Pankowska et al. (2023) reported BRFSS 2020 prevalence. Our contribution is a specified structural-versus-extended comparison across three classifiers; we do not claim this is the first comparison of feature sets in BRFSS.</w:t>
      </w:r>
    </w:p>
    <w:p>
      <w:pPr>
        <w:pStyle w:val="Heading1"/>
      </w:pPr>
      <w:r>
        <w:t>2 Dataset and variables</w:t>
      </w:r>
    </w:p>
    <w:p>
      <w:r>
        <w:t>We use the CDC’s BRFSS 2022 combined public-use file: 445,132 records from 50 states, Washington, DC, Guam, Puerto Rico and the US Virgin Islands. The downloaded XPT has 328 columns; the CDC webpage lists 326. We will document the file version and observed schema. We selected 2022 because the required sleep and predictor variables are available.</w:t>
      </w:r>
    </w:p>
    <w:p>
      <w:r>
        <w:t xml:space="preserve">Official data and documentation: </w:t>
      </w:r>
      <w:hyperlink r:id="rId9">
        <w:r>
          <w:rPr>
            <w:color w:val="245A81"/>
          </w:rPr>
          <w:t>CDC BRFSS 2022</w:t>
        </w:r>
      </w:hyperlink>
    </w:p>
    <w:p>
      <w:r>
        <w:rPr>
          <w:b/>
        </w:rPr>
        <w:t xml:space="preserve">Target. </w:t>
      </w:r>
      <w:r>
        <w:t>SLEPTIM1 records hours slept per 24 hours. Among valid integer responses from 1 to 24, insufficient_sleep = 1 for fewer than seven hours and 0 otherwise. Unknown (77), refused (99) and missing responses are excluded.</w:t>
      </w:r>
    </w:p>
    <w:p>
      <w:r>
        <w:rPr>
          <w:b/>
        </w:rPr>
        <w:t xml:space="preserve">Group A for both feature sets. </w:t>
      </w:r>
      <w:r>
        <w:t>Age (_AGEG5YR), sex (SEXVAR), race/ethnicity (_IMPRACE), income (_INCOMG1), education (_EDUCAG), employment (EMPLOY1), marital status (MARITAL), and geography derived from _STATE. Age has 13 substantive categories; code 14 is missing/unknown. _IMPRACE includes CDC-imputed values, which will be disclosed. States and DC map to four Census regions; territories form a separate category.</w:t>
      </w:r>
    </w:p>
    <w:p>
      <w:r>
        <w:rPr>
          <w:b/>
        </w:rPr>
        <w:t xml:space="preserve">Group B added to the extended set. </w:t>
      </w:r>
      <w:r>
        <w:t>General health (GENHLTH), poor mental/physical-health days (MENTHLTH, PHYSHLTH), BMI (_BMI5CAT), activity (_TOTINDA), smoking (_SMOKER3), alcohol measures (_DRNKWK2 / _RFDRHV8), diabetes (DIABETE4), asthma (ASTHMA3), and diagnosed depression (ADDEPEV3). Alcohol encoding will be fixed after codebook review, before fitting.</w:t>
      </w:r>
    </w:p>
    <w:p>
      <w:r>
        <w:rPr>
          <w:b/>
        </w:rPr>
        <w:t xml:space="preserve">Survey design. </w:t>
      </w:r>
      <w:r>
        <w:t>Use _LLCPWT for descriptive population estimates within explicitly stated coverage. Survey weights and design identifiers are not predictors. Models will be unweighted, so their performance describes the analyzed sample.</w:t>
      </w:r>
    </w:p>
    <w:p>
      <w:pPr>
        <w:pStyle w:val="Heading1"/>
        <w:pageBreakBefore/>
      </w:pPr>
      <w:r>
        <w:t>3 Planned methods</w:t>
      </w:r>
    </w:p>
    <w:p>
      <w:r>
        <w:rPr>
          <w:b/>
        </w:rPr>
        <w:t xml:space="preserve">Loading and cleaning. </w:t>
      </w:r>
      <w:r>
        <w:t>Read the XPT with pandas.read_sas in chunks, retaining selected columns from each chunk; this function does not support usecols. Verify archive integrity, record count, required columns and response codes. Retain the same target-valid respondents for both feature sets.</w:t>
      </w:r>
    </w:p>
    <w:p>
      <w:r>
        <w:rPr>
          <w:b/>
        </w:rPr>
        <w:t xml:space="preserve">Preprocessing. </w:t>
      </w:r>
      <w:r>
        <w:t>Recode special values according to each variable’s codebook, including 88 as zero for poor-health days. Fit numeric median and categorical mode imputation, one-hot encoding and any scaling on training data only. Use pandas, NumPy, scikit-learn and Matplotlib; record versions and final parameters in the notebook.</w:t>
      </w:r>
    </w:p>
    <w:p>
      <w:r>
        <w:rPr>
          <w:b/>
        </w:rPr>
        <w:t xml:space="preserve">External validation. </w:t>
      </w:r>
      <w:r>
        <w:t>Use a separate BRFSS 2020 extract to reproduce the CDC’s crude weighted national prevalence, 32.7%, with the same target definition and 50-states-plus-DC coverage. The published 33.2% is age-adjusted and is not a direct benchmark for a crude estimate. Where variables and definitions permit, check published subgroup estimates too. Agreement supports pipeline validation; it does not prove every step correct. Analyze 2022 separately without requiring its prevalence to match 2020.</w:t>
      </w:r>
    </w:p>
    <w:p>
      <w:r>
        <w:rPr>
          <w:b/>
        </w:rPr>
        <w:t xml:space="preserve">Exploration. </w:t>
      </w:r>
      <w:r>
        <w:t>Compare weighted and unweighted prevalence, sleep-hour distributions, missingness, and rates by age, sex, income, education, race/ethnicity and region. Examine relationships using measures appropriate to variable types. Any ordinary chi-square tests will be labeled as exploratory sample comparisons, not survey-adjusted population inference.</w:t>
      </w:r>
    </w:p>
    <w:p>
      <w:r>
        <w:rPr>
          <w:b/>
        </w:rPr>
        <w:t xml:space="preserve">Models and evaluation design. </w:t>
      </w:r>
      <w:r>
        <w:t>Use a fixed-seed, target-stratified 60%/20%/20% train/validation/test split shared by both feature sets. Compare Logistic Regression, Random Forest and Gradient Boosting under comparable, bounded tuning procedures using training/validation data only. Include a majority-class baseline. Choose settings and any class weights or decision thresholds before final test evaluation. Disclose earlier exploratory analyses and any reuse of an already-inspected test set.</w:t>
      </w:r>
    </w:p>
    <w:p>
      <w:r>
        <w:rPr>
          <w:b/>
        </w:rPr>
        <w:t xml:space="preserve">Evaluation. </w:t>
      </w:r>
      <w:r>
        <w:t>Report accuracy, precision, recall, F1, ROC-AUC, Average Precision (the specified precision–recall summary), and confusion matrices. Emphasize Average Precision and the precision–recall trade-off. Compare structural and extended results within each algorithm, so the feature effect is not confused with switching algorithms. Modest performance or little improvement remains a valid answer; no numerical outcome is assumed in advance.</w:t>
      </w:r>
    </w:p>
    <w:p>
      <w:r>
        <w:rPr>
          <w:b/>
        </w:rPr>
        <w:t xml:space="preserve">Interpretation. </w:t>
      </w:r>
      <w:r>
        <w:t>Use logistic-regression coefficient contrasts for association direction and permutation importance across algorithms for predictive contribution, with caution about correlated features. Check performance by age, sex and income categories. Discuss self-report, missingness, CDC imputation, unweighted modeling, and reverse causation. Separating feature groups does not remove confounding. Clustering is optional and supplementary.</w:t>
      </w:r>
    </w:p>
    <w:p>
      <w:r>
        <w:rPr>
          <w:b/>
        </w:rPr>
        <w:t xml:space="preserve">AI usage. </w:t>
      </w:r>
      <w:r>
        <w:t>Claude assisted with the earlier revised proposal. ChatGPT/Codex assisted with proposal revisions, source and data checks, code generation, debugging and exploratory execution. The authors remain responsible for verifying and understanding the work. The final report will describe actual uses and include the prompts from both tools; AI suggestions are not evidence or results.</w:t>
      </w:r>
    </w:p>
    <w:p>
      <w:pPr>
        <w:spacing w:before="60"/>
      </w:pPr>
      <w:r>
        <w:t xml:space="preserve">References. </w:t>
      </w:r>
      <w:hyperlink r:id="rId10">
        <w:r>
          <w:rPr>
            <w:color w:val="245A81"/>
          </w:rPr>
          <w:t>Grandner et al. (2015), Frontiers in Neurology, 6:112</w:t>
        </w:r>
      </w:hyperlink>
      <w:r>
        <w:t xml:space="preserve">; </w:t>
      </w:r>
      <w:hyperlink r:id="rId11">
        <w:r>
          <w:rPr>
            <w:color w:val="245A81"/>
          </w:rPr>
          <w:t>DelRosso &amp; Vodapally (2025), Clocks &amp; Sleep, 7(4):59</w:t>
        </w:r>
      </w:hyperlink>
      <w:r>
        <w:t xml:space="preserve">; </w:t>
      </w:r>
      <w:hyperlink r:id="rId12">
        <w:r>
          <w:rPr>
            <w:color w:val="245A81"/>
          </w:rPr>
          <w:t>Pankowska et al. (2023), Preventing Chronic Disease, 20:220400</w:t>
        </w:r>
      </w:hyperlink>
      <w:r>
        <w:t>.</w:t>
      </w:r>
    </w:p>
    <w:sectPr w:rsidR="00FC693F" w:rsidRPr="0006063C" w:rsidSect="00034616">
      <w:footerReference w:type="default" r:id="rId13"/>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brfss/annual_data/annual_2022.html" TargetMode="External"/><Relationship Id="rId10" Type="http://schemas.openxmlformats.org/officeDocument/2006/relationships/hyperlink" Target="https://doi.org/10.3389/fneur.2015.00112" TargetMode="External"/><Relationship Id="rId11" Type="http://schemas.openxmlformats.org/officeDocument/2006/relationships/hyperlink" Target="https://doi.org/10.3390/clockssleep7040059" TargetMode="External"/><Relationship Id="rId12" Type="http://schemas.openxmlformats.org/officeDocument/2006/relationships/hyperlink" Target="https://doi.org/10.5888/pcd20.220400"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and health predictors of insufficient sleep</dc:title>
  <dc:subject>Corrected BRFSS 2022 project proposal</dc:subject>
  <dc:creator>Elav Cohen and Neta Ronen</dc:creator>
  <cp:keywords/>
  <dc:description>generated by python-docx</dc:description>
  <cp:lastModifiedBy/>
  <cp:revision>1</cp:revision>
  <dcterms:created xsi:type="dcterms:W3CDTF">2013-12-23T23:15:00Z</dcterms:created>
  <dcterms:modified xsi:type="dcterms:W3CDTF">2013-12-23T23:15:00Z</dcterms:modified>
  <cp:category/>
</cp:coreProperties>
</file>