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Cosplay照片防盗图工具</w:t>
      </w:r>
      <w:r>
        <w:t xml:space="preserve"> </w:t>
      </w:r>
      <w:r>
        <w:t xml:space="preserve">企划草案</w:t>
      </w:r>
    </w:p>
    <w:p>
      <w:pPr>
        <w:pStyle w:val="FirstParagraph"/>
      </w:pPr>
      <w:r>
        <w:t xml:space="preserve">2026-09-24 · 石川宗</w:t>
      </w:r>
    </w:p>
    <w:p>
      <w:pPr>
        <w:pStyle w:val="BodyText"/>
      </w:pPr>
      <w:r>
        <w:t xml:space="preserve">© 2026 株式会社流山ソフトウェア開発（NRSD）负责开发者　石川宗　本企划草案以及根据本企划开发的软件，其著作权归株式会社流山ソフトウェア開発（NRSD）所有。（目前不明示许可证类型）但本企划所采用的第三方标准、算法及软件的权利，归各自的权利人所有（参见第14节）。</w:t>
      </w:r>
    </w:p>
    <w:bookmarkStart w:id="20" w:name="背景及目的"/>
    <w:p>
      <w:pPr>
        <w:pStyle w:val="Heading2"/>
      </w:pPr>
      <w:r>
        <w:t xml:space="preserve">1. 背景及目的</w:t>
      </w:r>
    </w:p>
    <w:p>
      <w:pPr>
        <w:pStyle w:val="FirstParagraph"/>
      </w:pPr>
      <w:r>
        <w:t xml:space="preserve">本企划旨在使Cosplay照片的著作者及被摄者（以下称“权利人”）能够以较少的负担，对违背著作者意愿的转载及其他违法转载行为进行检测、证明和法律应对。所开发的工具将在GitHub上于许可证规定的范围内免费公开。</w:t>
      </w:r>
    </w:p>
    <w:p>
      <w:pPr>
        <w:pStyle w:val="BodyText"/>
      </w:pPr>
      <w:r>
        <w:t xml:space="preserve">Cosplay是一项需要在服装、假发、道具、国际运费等方面投入相当费用的活动，照片既是其成果，在某些情况下也是权利人的收入来源。然而，未经授权的转载行为十分普遍，转载者中将转载视为“分享”的人不在少数。由于转载者人数众多，可见个人权利人放弃应对的情况。</w:t>
      </w:r>
    </w:p>
    <w:p>
      <w:pPr>
        <w:pStyle w:val="BodyText"/>
      </w:pPr>
      <w:r>
        <w:t xml:space="preserve">本企划旨在减轻主张权利所需的负担，使个人权利人也能做好主张权利所需的准备，并为使用同一机制的权利人共同应对奠定基础。</w:t>
      </w:r>
    </w:p>
    <w:bookmarkEnd w:id="20"/>
    <w:bookmarkStart w:id="21" w:name="基本方针"/>
    <w:p>
      <w:pPr>
        <w:pStyle w:val="Heading2"/>
      </w:pPr>
      <w:r>
        <w:t xml:space="preserve">2. 基本方针</w:t>
      </w:r>
    </w:p>
    <w:p>
      <w:pPr>
        <w:pStyle w:val="FirstParagraph"/>
      </w:pPr>
      <w:r>
        <w:t xml:space="preserve">目前，从技术上阻止违背著作者意愿的转载及其他违法转载行为本身仍有困难，本系统作为其前期阶段，旨在实现“检测、证明、威慑”。</w:t>
      </w:r>
    </w:p>
    <w:p>
      <w:pPr>
        <w:numPr>
          <w:ilvl w:val="0"/>
          <w:numId w:val="1001"/>
        </w:numPr>
        <w:pStyle w:val="Compact"/>
      </w:pPr>
      <w:r>
        <w:rPr>
          <w:bCs/>
          <w:b/>
        </w:rPr>
        <w:t xml:space="preserve">检测</w:t>
      </w:r>
      <w:r>
        <w:t xml:space="preserve">：以机器方式检测签名或水印被去除的图片，或经过篡改的图片。</w:t>
      </w:r>
    </w:p>
    <w:p>
      <w:pPr>
        <w:numPr>
          <w:ilvl w:val="0"/>
          <w:numId w:val="1001"/>
        </w:numPr>
        <w:pStyle w:val="Compact"/>
      </w:pPr>
      <w:r>
        <w:rPr>
          <w:bCs/>
          <w:b/>
        </w:rPr>
        <w:t xml:space="preserve">证明</w:t>
      </w:r>
      <w:r>
        <w:t xml:space="preserve">：以第三方可验证的形式，证明该图片为权利人最先发布的原图。</w:t>
      </w:r>
    </w:p>
    <w:p>
      <w:pPr>
        <w:numPr>
          <w:ilvl w:val="0"/>
          <w:numId w:val="1001"/>
        </w:numPr>
        <w:pStyle w:val="Compact"/>
      </w:pPr>
      <w:r>
        <w:rPr>
          <w:bCs/>
          <w:b/>
        </w:rPr>
        <w:t xml:space="preserve">威慑</w:t>
      </w:r>
      <w:r>
        <w:t xml:space="preserve">：事先明示权利及应对意图，并附上对照编号发布，使浏览者能够识别未经授权的转载。</w:t>
      </w:r>
    </w:p>
    <w:p>
      <w:pPr>
        <w:pStyle w:val="FirstParagraph"/>
      </w:pPr>
      <w:r>
        <w:t xml:space="preserve">去除签名或水印的行为本身，可能构成删除权利管理信息的违法行为［16］［19］［20］。因此，签名也可能成为证明去除者存在故意的材料。</w:t>
      </w:r>
    </w:p>
    <w:bookmarkEnd w:id="21"/>
    <w:bookmarkStart w:id="22" w:name="生效前提在各发布平台上发布声明"/>
    <w:p>
      <w:pPr>
        <w:pStyle w:val="Heading2"/>
      </w:pPr>
      <w:r>
        <w:t xml:space="preserve">3. 生效前提：在各发布平台上发布声明</w:t>
      </w:r>
    </w:p>
    <w:p>
      <w:pPr>
        <w:pStyle w:val="FirstParagraph"/>
      </w:pPr>
      <w:r>
        <w:rPr>
          <w:bCs/>
          <w:b/>
        </w:rPr>
        <w:t xml:space="preserve">本系统的效力，以权利人本人在发布作品的所有网站上声明其对未经授权转载的应对方针为前提。</w:t>
      </w:r>
      <w:r>
        <w:t xml:space="preserve"> </w:t>
      </w:r>
      <w:r>
        <w:t xml:space="preserve">仅附加签名和对照编号，并不能向浏览者及各平台表明权利人具有应对的意图。</w:t>
      </w:r>
    </w:p>
    <w:p>
      <w:pPr>
        <w:pStyle w:val="BodyText"/>
      </w:pPr>
      <w:r>
        <w:t xml:space="preserve">声明中应载明以下事项：</w:t>
      </w:r>
    </w:p>
    <w:p>
      <w:pPr>
        <w:numPr>
          <w:ilvl w:val="0"/>
          <w:numId w:val="1002"/>
        </w:numPr>
        <w:pStyle w:val="Compact"/>
      </w:pPr>
      <w:r>
        <w:t xml:space="preserve">权利归属（著作权及肖像权）</w:t>
      </w:r>
    </w:p>
    <w:p>
      <w:pPr>
        <w:numPr>
          <w:ilvl w:val="0"/>
          <w:numId w:val="1002"/>
        </w:numPr>
        <w:pStyle w:val="Compact"/>
      </w:pPr>
      <w:r>
        <w:t xml:space="preserve">未经授权的转载以及去除签名和水印可能构成违法</w:t>
      </w:r>
    </w:p>
    <w:p>
      <w:pPr>
        <w:numPr>
          <w:ilvl w:val="0"/>
          <w:numId w:val="1002"/>
        </w:numPr>
        <w:pStyle w:val="Compact"/>
      </w:pPr>
      <w:r>
        <w:t xml:space="preserve">确认存在未经授权的转载时，将提出删除申请并要求损害赔偿</w:t>
      </w:r>
    </w:p>
    <w:p>
      <w:pPr>
        <w:numPr>
          <w:ilvl w:val="0"/>
          <w:numId w:val="1002"/>
        </w:numPr>
        <w:pStyle w:val="Compact"/>
      </w:pPr>
      <w:r>
        <w:t xml:space="preserve">对照编号的含义及确认照片是否为正版的方法</w:t>
      </w:r>
    </w:p>
    <w:p>
      <w:pPr>
        <w:numPr>
          <w:ilvl w:val="0"/>
          <w:numId w:val="1002"/>
        </w:numPr>
        <w:pStyle w:val="Compact"/>
      </w:pPr>
      <w:r>
        <w:t xml:space="preserve">作品登记号（如已取得）</w:t>
      </w:r>
    </w:p>
    <w:p>
      <w:pPr>
        <w:pStyle w:val="FirstParagraph"/>
      </w:pPr>
      <w:r>
        <w:t xml:space="preserve">声明应发布在Patreon、X、Instagram、微博、小红书等所有发布作品的网站上。未发布声明时，转载者仍有主张不知道权利人意愿或出于分享目的的余地。发布声明后，转载即成为违背权利人明示意愿的行为，预计在证明故意及请求赔偿方面将更为有利。</w:t>
      </w:r>
    </w:p>
    <w:bookmarkEnd w:id="22"/>
    <w:bookmarkStart w:id="29" w:name="系统概要"/>
    <w:p>
      <w:pPr>
        <w:pStyle w:val="Heading2"/>
      </w:pPr>
      <w:r>
        <w:t xml:space="preserve">4. 系统概要</w:t>
      </w:r>
    </w:p>
    <w:p>
      <w:pPr>
        <w:pStyle w:val="FirstParagraph"/>
      </w:pPr>
      <w:r>
        <w:t xml:space="preserve">本系统的构成如图1所示。</w:t>
      </w:r>
    </w:p>
    <w:p>
      <w:pPr>
        <w:pStyle w:val="CaptionedFigure"/>
      </w:pPr>
      <w:r>
        <w:drawing>
          <wp:inline>
            <wp:extent cx="5334000" cy="2727297"/>
            <wp:effectExtent b="0" l="0" r="0" t="0"/>
            <wp:docPr descr="图1　系统构成图" title="" id="24" name="Picture"/>
            <a:graphic>
              <a:graphicData uri="http://schemas.openxmlformats.org/drawingml/2006/picture">
                <pic:pic>
                  <pic:nvPicPr>
                    <pic:cNvPr descr="arch_zh.png" id="25" name="Picture"/>
                    <pic:cNvPicPr>
                      <a:picLocks noChangeArrowheads="1" noChangeAspect="1"/>
                    </pic:cNvPicPr>
                  </pic:nvPicPr>
                  <pic:blipFill>
                    <a:blip r:embed="rId23"/>
                    <a:stretch>
                      <a:fillRect/>
                    </a:stretch>
                  </pic:blipFill>
                  <pic:spPr bwMode="auto">
                    <a:xfrm>
                      <a:off x="0" y="0"/>
                      <a:ext cx="5334000" cy="2727297"/>
                    </a:xfrm>
                    <a:prstGeom prst="rect">
                      <a:avLst/>
                    </a:prstGeom>
                    <a:noFill/>
                    <a:ln w="9525">
                      <a:noFill/>
                      <a:headEnd/>
                      <a:tailEnd/>
                    </a:ln>
                  </pic:spPr>
                </pic:pic>
              </a:graphicData>
            </a:graphic>
          </wp:inline>
        </w:drawing>
      </w:r>
    </w:p>
    <w:p>
      <w:pPr>
        <w:pStyle w:val="ImageCaption"/>
      </w:pPr>
      <w:r>
        <w:t xml:space="preserve">图1　系统构成图</w:t>
      </w:r>
    </w:p>
    <w:p>
      <w:pPr>
        <w:pStyle w:val="BodyText"/>
      </w:pPr>
      <w:r>
        <w:t xml:space="preserve">每张照片均通过以下三个层级附加信息，即使其中任一层级被去除，也能够参照原图的记录。</w:t>
      </w:r>
    </w:p>
    <w:tbl>
      <w:tblPr>
        <w:tblStyle w:val="Table"/>
        <w:tblW w:type="pct" w:w="5000"/>
        <w:tblLook w:firstRow="1" w:lastRow="0" w:firstColumn="0" w:lastColumn="0" w:noHBand="0" w:noVBand="0" w:val="0020"/>
        <w:jc w:val="start"/>
      </w:tblPr>
      <w:tblGrid>
        <w:gridCol w:w="1205"/>
        <w:gridCol w:w="3615"/>
        <w:gridCol w:w="3099"/>
      </w:tblGrid>
      <w:tr>
        <w:trPr>
          <w:tblHeader w:val="true"/>
        </w:trPr>
        <w:tc>
          <w:tcPr/>
          <w:p>
            <w:pPr>
              <w:pStyle w:val="Compact"/>
              <w:jc w:val="left"/>
            </w:pPr>
            <w:r>
              <w:t xml:space="preserve">层级</w:t>
            </w:r>
          </w:p>
        </w:tc>
        <w:tc>
          <w:tcPr/>
          <w:p>
            <w:pPr>
              <w:pStyle w:val="Compact"/>
              <w:jc w:val="left"/>
            </w:pPr>
            <w:r>
              <w:t xml:space="preserve">内容</w:t>
            </w:r>
          </w:p>
        </w:tc>
        <w:tc>
          <w:tcPr/>
          <w:p>
            <w:pPr>
              <w:pStyle w:val="Compact"/>
              <w:jc w:val="left"/>
            </w:pPr>
            <w:r>
              <w:t xml:space="preserve">功能</w:t>
            </w:r>
          </w:p>
        </w:tc>
      </w:tr>
      <w:tr>
        <w:tc>
          <w:tcPr/>
          <w:p>
            <w:pPr>
              <w:pStyle w:val="Compact"/>
              <w:jc w:val="left"/>
            </w:pPr>
            <w:r>
              <w:t xml:space="preserve">C2PA签名［1］［3］［4］</w:t>
            </w:r>
          </w:p>
        </w:tc>
        <w:tc>
          <w:tcPr/>
          <w:p>
            <w:pPr>
              <w:pStyle w:val="Compact"/>
              <w:jc w:val="left"/>
            </w:pPr>
            <w:r>
              <w:t xml:space="preserve">基于国际标准的数字签名。记录作者、日期时间及识别编号，并附加基于RFC 3161的可信时间戳［8］</w:t>
            </w:r>
          </w:p>
        </w:tc>
        <w:tc>
          <w:tcPr/>
          <w:p>
            <w:pPr>
              <w:pStyle w:val="Compact"/>
              <w:jc w:val="left"/>
            </w:pPr>
            <w:r>
              <w:t xml:space="preserve">可检测像素级的篡改。第三方可在现有的公开验证网站上进行验证［15］</w:t>
            </w:r>
          </w:p>
        </w:tc>
      </w:tr>
      <w:tr>
        <w:tc>
          <w:tcPr/>
          <w:p>
            <w:pPr>
              <w:pStyle w:val="Compact"/>
              <w:jc w:val="left"/>
            </w:pPr>
            <w:r>
              <w:t xml:space="preserve">隐形水印</w:t>
            </w:r>
          </w:p>
        </w:tc>
        <w:tc>
          <w:tcPr/>
          <w:p>
            <w:pPr>
              <w:pStyle w:val="Compact"/>
              <w:jc w:val="left"/>
            </w:pPr>
            <w:r>
              <w:t xml:space="preserve">嵌入像素中的不可见信息（拟采用TrustMark等开源实现）［9］［10］［11］</w:t>
            </w:r>
          </w:p>
        </w:tc>
        <w:tc>
          <w:tcPr/>
          <w:p>
            <w:pPr>
              <w:pStyle w:val="Compact"/>
              <w:jc w:val="left"/>
            </w:pPr>
            <w:r>
              <w:t xml:space="preserve">即使签名在社交平台等处被去除，也能从图片参照原图的记录</w:t>
            </w:r>
          </w:p>
        </w:tc>
      </w:tr>
      <w:tr>
        <w:tc>
          <w:tcPr/>
          <w:p>
            <w:pPr>
              <w:pStyle w:val="Compact"/>
              <w:jc w:val="left"/>
            </w:pPr>
            <w:r>
              <w:t xml:space="preserve">比对用哈希</w:t>
            </w:r>
          </w:p>
        </w:tc>
        <w:tc>
          <w:tcPr/>
          <w:p>
            <w:pPr>
              <w:pStyle w:val="Compact"/>
              <w:jc w:val="left"/>
            </w:pPr>
            <w:r>
              <w:t xml:space="preserve">PDQ等感知哈希及图像特征［12］［13］</w:t>
            </w:r>
          </w:p>
        </w:tc>
        <w:tc>
          <w:tcPr/>
          <w:p>
            <w:pPr>
              <w:pStyle w:val="Compact"/>
              <w:jc w:val="left"/>
            </w:pPr>
            <w:r>
              <w:t xml:space="preserve">对经过重新压缩、缩放或裁剪的转载图片也能进行比对</w:t>
            </w:r>
          </w:p>
        </w:tc>
      </w:tr>
    </w:tbl>
    <w:p>
      <w:pPr>
        <w:pStyle w:val="BodyText"/>
      </w:pPr>
      <w:r>
        <w:t xml:space="preserve">识别编号按作品逐一发放，并同时记录在C2PA清单及文件名中。文件名中的编号供权利人发布时参照；即使各平台更改了文件名，也可通过清单及水印进行比对。</w:t>
      </w:r>
    </w:p>
    <w:p>
      <w:pPr>
        <w:pStyle w:val="BodyText"/>
      </w:pPr>
      <w:r>
        <w:t xml:space="preserve">处理流程如图2所示。</w:t>
      </w:r>
    </w:p>
    <w:p>
      <w:pPr>
        <w:pStyle w:val="CaptionedFigure"/>
      </w:pPr>
      <w:r>
        <w:drawing>
          <wp:inline>
            <wp:extent cx="5334000" cy="1440953"/>
            <wp:effectExtent b="0" l="0" r="0" t="0"/>
            <wp:docPr descr="图2　处理流程" title="" id="27" name="Picture"/>
            <a:graphic>
              <a:graphicData uri="http://schemas.openxmlformats.org/drawingml/2006/picture">
                <pic:pic>
                  <pic:nvPicPr>
                    <pic:cNvPr descr="flow_zh.png" id="28" name="Picture"/>
                    <pic:cNvPicPr>
                      <a:picLocks noChangeArrowheads="1" noChangeAspect="1"/>
                    </pic:cNvPicPr>
                  </pic:nvPicPr>
                  <pic:blipFill>
                    <a:blip r:embed="rId26"/>
                    <a:stretch>
                      <a:fillRect/>
                    </a:stretch>
                  </pic:blipFill>
                  <pic:spPr bwMode="auto">
                    <a:xfrm>
                      <a:off x="0" y="0"/>
                      <a:ext cx="5334000" cy="1440953"/>
                    </a:xfrm>
                    <a:prstGeom prst="rect">
                      <a:avLst/>
                    </a:prstGeom>
                    <a:noFill/>
                    <a:ln w="9525">
                      <a:noFill/>
                      <a:headEnd/>
                      <a:tailEnd/>
                    </a:ln>
                  </pic:spPr>
                </pic:pic>
              </a:graphicData>
            </a:graphic>
          </wp:inline>
        </w:drawing>
      </w:r>
    </w:p>
    <w:p>
      <w:pPr>
        <w:pStyle w:val="ImageCaption"/>
      </w:pPr>
      <w:r>
        <w:t xml:space="preserve">图2　处理流程</w:t>
      </w:r>
    </w:p>
    <w:p>
      <w:pPr>
        <w:pStyle w:val="BodyText"/>
      </w:pPr>
      <w:r>
        <w:t xml:space="preserve">本处理不会改变照片的外观。</w:t>
      </w:r>
    </w:p>
    <w:bookmarkEnd w:id="29"/>
    <w:bookmarkStart w:id="30" w:name="使用者的作业"/>
    <w:p>
      <w:pPr>
        <w:pStyle w:val="Heading2"/>
      </w:pPr>
      <w:r>
        <w:t xml:space="preserve">5. 使用者的作业</w:t>
      </w:r>
    </w:p>
    <w:p>
      <w:pPr>
        <w:pStyle w:val="FirstParagraph"/>
      </w:pPr>
      <w:r>
        <w:t xml:space="preserve">使用者需进行的作业如下。</w:t>
      </w:r>
    </w:p>
    <w:tbl>
      <w:tblPr>
        <w:tblStyle w:val="Table"/>
        <w:tblW w:type="pct" w:w="5000"/>
        <w:tblLook w:firstRow="1" w:lastRow="0" w:firstColumn="0" w:lastColumn="0" w:noHBand="0" w:noVBand="0" w:val="0020"/>
        <w:jc w:val="start"/>
      </w:tblPr>
      <w:tblGrid>
        <w:gridCol w:w="920"/>
        <w:gridCol w:w="5525"/>
        <w:gridCol w:w="1473"/>
      </w:tblGrid>
      <w:tr>
        <w:trPr>
          <w:tblHeader w:val="true"/>
        </w:trPr>
        <w:tc>
          <w:tcPr/>
          <w:p>
            <w:pPr>
              <w:pStyle w:val="Compact"/>
              <w:jc w:val="left"/>
            </w:pPr>
            <w:r>
              <w:t xml:space="preserve">类别</w:t>
            </w:r>
          </w:p>
        </w:tc>
        <w:tc>
          <w:tcPr/>
          <w:p>
            <w:pPr>
              <w:pStyle w:val="Compact"/>
              <w:jc w:val="left"/>
            </w:pPr>
            <w:r>
              <w:t xml:space="preserve">作业内容</w:t>
            </w:r>
          </w:p>
        </w:tc>
        <w:tc>
          <w:tcPr/>
          <w:p>
            <w:pPr>
              <w:pStyle w:val="Compact"/>
              <w:jc w:val="left"/>
            </w:pPr>
            <w:r>
              <w:t xml:space="preserve">实施时间</w:t>
            </w:r>
          </w:p>
        </w:tc>
      </w:tr>
      <w:tr>
        <w:tc>
          <w:tcPr/>
          <w:p>
            <w:pPr>
              <w:pStyle w:val="Compact"/>
              <w:jc w:val="left"/>
            </w:pPr>
            <w:r>
              <w:t xml:space="preserve">准备</w:t>
            </w:r>
          </w:p>
        </w:tc>
        <w:tc>
          <w:tcPr/>
          <w:p>
            <w:pPr>
              <w:pStyle w:val="Compact"/>
              <w:jc w:val="left"/>
            </w:pPr>
            <w:r>
              <w:t xml:space="preserve">将照片或文件夹拖放至工具（也可从右键菜单执行）</w:t>
            </w:r>
          </w:p>
        </w:tc>
        <w:tc>
          <w:tcPr/>
          <w:p>
            <w:pPr>
              <w:pStyle w:val="Compact"/>
              <w:jc w:val="left"/>
            </w:pPr>
            <w:r>
              <w:t xml:space="preserve">每次发布前</w:t>
            </w:r>
          </w:p>
        </w:tc>
      </w:tr>
      <w:tr>
        <w:tc>
          <w:tcPr/>
          <w:p>
            <w:pPr>
              <w:pStyle w:val="Compact"/>
              <w:jc w:val="left"/>
            </w:pPr>
            <w:r>
              <w:t xml:space="preserve">发布</w:t>
            </w:r>
          </w:p>
        </w:tc>
        <w:tc>
          <w:tcPr/>
          <w:p>
            <w:pPr>
              <w:pStyle w:val="Compact"/>
              <w:jc w:val="left"/>
            </w:pPr>
            <w:r>
              <w:t xml:space="preserve">将文件名中附带的识别编号填写在配文中</w:t>
            </w:r>
          </w:p>
        </w:tc>
        <w:tc>
          <w:tcPr/>
          <w:p>
            <w:pPr>
              <w:pStyle w:val="Compact"/>
              <w:jc w:val="left"/>
            </w:pPr>
            <w:r>
              <w:t xml:space="preserve">每次发布时</w:t>
            </w:r>
          </w:p>
        </w:tc>
      </w:tr>
      <w:tr>
        <w:tc>
          <w:tcPr/>
          <w:p>
            <w:pPr>
              <w:pStyle w:val="Compact"/>
              <w:jc w:val="left"/>
            </w:pPr>
            <w:r>
              <w:t xml:space="preserve">声明</w:t>
            </w:r>
          </w:p>
        </w:tc>
        <w:tc>
          <w:tcPr/>
          <w:p>
            <w:pPr>
              <w:pStyle w:val="Compact"/>
              <w:jc w:val="left"/>
            </w:pPr>
            <w:r>
              <w:t xml:space="preserve">在所有发布作品的网站的个人主页上发布载明权利及应对意图的声明（本系统生效的前提；将提供英文及中文范文）</w:t>
            </w:r>
          </w:p>
        </w:tc>
        <w:tc>
          <w:tcPr/>
          <w:p>
            <w:pPr>
              <w:pStyle w:val="Compact"/>
              <w:jc w:val="left"/>
            </w:pPr>
            <w:r>
              <w:t xml:space="preserve">每个网站首次</w:t>
            </w:r>
          </w:p>
        </w:tc>
      </w:tr>
      <w:tr>
        <w:tc>
          <w:tcPr/>
          <w:p>
            <w:pPr>
              <w:pStyle w:val="Compact"/>
              <w:jc w:val="left"/>
            </w:pPr>
            <w:r>
              <w:t xml:space="preserve">举报</w:t>
            </w:r>
          </w:p>
        </w:tc>
        <w:tc>
          <w:tcPr/>
          <w:p>
            <w:pPr>
              <w:pStyle w:val="Compact"/>
              <w:jc w:val="left"/>
            </w:pPr>
            <w:r>
              <w:t xml:space="preserve">确认存在转载时，在举报页面登记该网址</w:t>
            </w:r>
          </w:p>
        </w:tc>
        <w:tc>
          <w:tcPr/>
          <w:p>
            <w:pPr>
              <w:pStyle w:val="Compact"/>
              <w:jc w:val="left"/>
            </w:pPr>
            <w:r>
              <w:t xml:space="preserve">确认转载时</w:t>
            </w:r>
          </w:p>
        </w:tc>
      </w:tr>
      <w:tr>
        <w:tc>
          <w:tcPr/>
          <w:p>
            <w:pPr>
              <w:pStyle w:val="Compact"/>
              <w:jc w:val="left"/>
            </w:pPr>
            <w:r>
              <w:t xml:space="preserve">应对</w:t>
            </w:r>
          </w:p>
        </w:tc>
        <w:tc>
          <w:tcPr/>
          <w:p>
            <w:pPr>
              <w:pStyle w:val="Compact"/>
              <w:jc w:val="left"/>
            </w:pPr>
            <w:r>
              <w:t xml:space="preserve">根据积累的记录，提出删除申请或损害赔偿请求</w:t>
            </w:r>
          </w:p>
        </w:tc>
        <w:tc>
          <w:tcPr/>
          <w:p>
            <w:pPr>
              <w:pStyle w:val="Compact"/>
              <w:jc w:val="left"/>
            </w:pPr>
            <w:r>
              <w:t xml:space="preserve">由权利人判断</w:t>
            </w:r>
          </w:p>
        </w:tc>
      </w:tr>
    </w:tbl>
    <w:p>
      <w:pPr>
        <w:pStyle w:val="BodyText"/>
      </w:pPr>
      <w:r>
        <w:t xml:space="preserve">确认转载时无需立即应对。通过举报，证据即得到保全，之后可集中进行应对。</w:t>
      </w:r>
    </w:p>
    <w:bookmarkEnd w:id="30"/>
    <w:bookmarkStart w:id="31" w:name="工具构成"/>
    <w:p>
      <w:pPr>
        <w:pStyle w:val="Heading2"/>
      </w:pPr>
      <w:r>
        <w:t xml:space="preserve">6. 工具构成</w:t>
      </w:r>
    </w:p>
    <w:p>
      <w:pPr>
        <w:pStyle w:val="FirstParagraph"/>
      </w:pPr>
      <w:r>
        <w:t xml:space="preserve">株式会社流山ソフトウェア開発（NRSD）的开发范围为签名工具、举报工具及部署在GitHub上的公开页面，以及将其相互联动的功能。</w:t>
      </w:r>
    </w:p>
    <w:p>
      <w:pPr>
        <w:numPr>
          <w:ilvl w:val="0"/>
          <w:numId w:val="1003"/>
        </w:numPr>
        <w:pStyle w:val="Compact"/>
      </w:pPr>
      <w:r>
        <w:rPr>
          <w:bCs/>
          <w:b/>
        </w:rPr>
        <w:t xml:space="preserve">签名工具（图形界面）</w:t>
      </w:r>
    </w:p>
    <w:p>
      <w:pPr>
        <w:numPr>
          <w:ilvl w:val="1"/>
          <w:numId w:val="1004"/>
        </w:numPr>
        <w:pStyle w:val="Compact"/>
      </w:pPr>
      <w:r>
        <w:t xml:space="preserve">通过拖放照片或文件夹，输出附有C2PA签名、可信时间戳、隐形水印及识别编号的发布用图片。</w:t>
      </w:r>
    </w:p>
    <w:p>
      <w:pPr>
        <w:numPr>
          <w:ilvl w:val="1"/>
          <w:numId w:val="1004"/>
        </w:numPr>
        <w:pStyle w:val="Compact"/>
      </w:pPr>
      <w:r>
        <w:t xml:space="preserve">在Windows中，于资源管理器的右键菜单中登记“C2PA签名并导出”项目。</w:t>
      </w:r>
    </w:p>
    <w:p>
      <w:pPr>
        <w:numPr>
          <w:ilvl w:val="1"/>
          <w:numId w:val="1004"/>
        </w:numPr>
        <w:pStyle w:val="Compact"/>
      </w:pPr>
      <w:r>
        <w:t xml:space="preserve">识别编号附于文件名的开头或结尾，并将同一编号记录在清单中。</w:t>
      </w:r>
    </w:p>
    <w:p>
      <w:pPr>
        <w:numPr>
          <w:ilvl w:val="1"/>
          <w:numId w:val="1004"/>
        </w:numPr>
        <w:pStyle w:val="Compact"/>
      </w:pPr>
      <w:r>
        <w:t xml:space="preserve">以c2pa-python［14］为基础实现。</w:t>
      </w:r>
    </w:p>
    <w:p>
      <w:pPr>
        <w:numPr>
          <w:ilvl w:val="0"/>
          <w:numId w:val="1003"/>
        </w:numPr>
        <w:pStyle w:val="Compact"/>
      </w:pPr>
      <w:r>
        <w:rPr>
          <w:bCs/>
          <w:b/>
        </w:rPr>
        <w:t xml:space="preserve">举报工具</w:t>
      </w:r>
    </w:p>
    <w:p>
      <w:pPr>
        <w:numPr>
          <w:ilvl w:val="1"/>
          <w:numId w:val="1005"/>
        </w:numPr>
        <w:pStyle w:val="Compact"/>
      </w:pPr>
      <w:r>
        <w:t xml:space="preserve">提供供权利人登记已确认转载的网址及图片的页面。</w:t>
      </w:r>
    </w:p>
    <w:p>
      <w:pPr>
        <w:numPr>
          <w:ilvl w:val="1"/>
          <w:numId w:val="1005"/>
        </w:numPr>
        <w:pStyle w:val="Compact"/>
      </w:pPr>
      <w:r>
        <w:t xml:space="preserve">登记的同时，自动保存该页面、对其哈希附加可信时间戳，并与原图进行比对。</w:t>
      </w:r>
    </w:p>
    <w:p>
      <w:pPr>
        <w:numPr>
          <w:ilvl w:val="0"/>
          <w:numId w:val="1003"/>
        </w:numPr>
        <w:pStyle w:val="Compact"/>
      </w:pPr>
      <w:r>
        <w:rPr>
          <w:bCs/>
          <w:b/>
        </w:rPr>
        <w:t xml:space="preserve">公开页面（GitHub Pages）</w:t>
      </w:r>
    </w:p>
    <w:p>
      <w:pPr>
        <w:numPr>
          <w:ilvl w:val="1"/>
          <w:numId w:val="1006"/>
        </w:numPr>
        <w:pStyle w:val="Compact"/>
      </w:pPr>
      <w:r>
        <w:t xml:space="preserve">将被举报的转载页面及图片与签名者的作品编号相对应并加以积累。</w:t>
      </w:r>
    </w:p>
    <w:p>
      <w:pPr>
        <w:numPr>
          <w:ilvl w:val="1"/>
          <w:numId w:val="1006"/>
        </w:numPr>
        <w:pStyle w:val="Compact"/>
      </w:pPr>
      <w:r>
        <w:t xml:space="preserve">作为日后法律应对的管理台账发挥作用。</w:t>
      </w:r>
    </w:p>
    <w:p>
      <w:pPr>
        <w:pStyle w:val="FirstParagraph"/>
      </w:pPr>
      <w:r>
        <w:t xml:space="preserve">举报的登记仅限签名者本人，第三方不得登记。</w:t>
      </w:r>
    </w:p>
    <w:bookmarkEnd w:id="31"/>
    <w:bookmarkStart w:id="32" w:name="转载的举报及证据保全"/>
    <w:p>
      <w:pPr>
        <w:pStyle w:val="Heading2"/>
      </w:pPr>
      <w:r>
        <w:t xml:space="preserve">7. 转载的举报及证据保全</w:t>
      </w:r>
    </w:p>
    <w:p>
      <w:pPr>
        <w:pStyle w:val="FirstParagraph"/>
      </w:pPr>
      <w:r>
        <w:t xml:space="preserve">证据在举报的同时自动保全，并附加可信时间戳，使其在转载页面被删除后仍可作为可用的记录。</w:t>
      </w:r>
    </w:p>
    <w:p>
      <w:pPr>
        <w:numPr>
          <w:ilvl w:val="0"/>
          <w:numId w:val="1007"/>
        </w:numPr>
        <w:pStyle w:val="Compact"/>
      </w:pPr>
      <w:r>
        <w:rPr>
          <w:bCs/>
          <w:b/>
        </w:rPr>
        <w:t xml:space="preserve">可信时间戳</w:t>
      </w:r>
      <w:r>
        <w:t xml:space="preserve">：git的提交时间为自行申报，不具有证明力，因此对所保存页面的哈希取得基于RFC 3161［8］的时间戳，并一并保存其证书。</w:t>
      </w:r>
    </w:p>
    <w:p>
      <w:pPr>
        <w:numPr>
          <w:ilvl w:val="0"/>
          <w:numId w:val="1007"/>
        </w:numPr>
        <w:pStyle w:val="Compact"/>
      </w:pPr>
      <w:r>
        <w:rPr>
          <w:bCs/>
          <w:b/>
        </w:rPr>
        <w:t xml:space="preserve">比对结果的记录</w:t>
      </w:r>
      <w:r>
        <w:t xml:space="preserve">：从转载图片中读取水印，并记录通过感知哈希与原图比对的结果。</w:t>
      </w:r>
    </w:p>
    <w:p>
      <w:pPr>
        <w:numPr>
          <w:ilvl w:val="0"/>
          <w:numId w:val="1007"/>
        </w:numPr>
        <w:pStyle w:val="Compact"/>
      </w:pPr>
      <w:r>
        <w:rPr>
          <w:bCs/>
          <w:b/>
        </w:rPr>
        <w:t xml:space="preserve">各国证据的补强</w:t>
      </w:r>
      <w:r>
        <w:t xml:space="preserve">：在中国，杭州、北京及广州的互联网法院认可记录在区块链上的电子证据［18］，因此通过中国境内的可信时间戳服务进行保全，被认为有助于当地的程序。在日本，可考虑使用公证文书或法律证据用的记录服务。</w:t>
      </w:r>
    </w:p>
    <w:p>
      <w:pPr>
        <w:numPr>
          <w:ilvl w:val="0"/>
          <w:numId w:val="1007"/>
        </w:numPr>
        <w:pStyle w:val="Compact"/>
      </w:pPr>
      <w:r>
        <w:rPr>
          <w:bCs/>
          <w:b/>
        </w:rPr>
        <w:t xml:space="preserve">运营者的查明</w:t>
      </w:r>
      <w:r>
        <w:t xml:space="preserve">：对于中国境内的网站，可通过依法须显示的ICP备案号［22］调查运营主体。对于境外网站，通过WHOIS及ASN调查［23］查明托管服务商，并向其滥用举报窗口发出通知。</w:t>
      </w:r>
    </w:p>
    <w:p>
      <w:pPr>
        <w:pStyle w:val="FirstParagraph"/>
      </w:pPr>
      <w:r>
        <w:t xml:space="preserve">公开页面的显示文字，默认采用“权利人举报为未经授权转载”</w:t>
      </w:r>
      <w:r>
        <w:t xml:space="preserve">“</w:t>
      </w:r>
      <w:r>
        <w:t xml:space="preserve">签名不一致</w:t>
      </w:r>
      <w:r>
        <w:t xml:space="preserve">”</w:t>
      </w:r>
      <w:r>
        <w:t xml:space="preserve">等事实性描述。</w:t>
      </w:r>
    </w:p>
    <w:bookmarkEnd w:id="32"/>
    <w:bookmarkStart w:id="33" w:name="权利的表明及法律应对"/>
    <w:p>
      <w:pPr>
        <w:pStyle w:val="Heading2"/>
      </w:pPr>
      <w:r>
        <w:t xml:space="preserve">8. 权利的表明及法律应对</w:t>
      </w:r>
    </w:p>
    <w:p>
      <w:pPr>
        <w:pStyle w:val="FirstParagraph"/>
      </w:pPr>
      <w:r>
        <w:t xml:space="preserve">事先明示权利及应对意图，并标注登记号，是威慑及法律应对的前提。上述事项均无需高额费用。</w:t>
      </w:r>
    </w:p>
    <w:p>
      <w:pPr>
        <w:numPr>
          <w:ilvl w:val="0"/>
          <w:numId w:val="1008"/>
        </w:numPr>
        <w:pStyle w:val="Compact"/>
      </w:pPr>
      <w:r>
        <w:rPr>
          <w:bCs/>
          <w:b/>
        </w:rPr>
        <w:t xml:space="preserve">权利的明示</w:t>
      </w:r>
      <w:r>
        <w:t xml:space="preserve">：明示照片的著作权（根据与摄影师的合同持有或共有的部分）及被摄者本人的肖像权。无论摄影师为何人，肖像权均可由本人主张［17］。</w:t>
      </w:r>
    </w:p>
    <w:p>
      <w:pPr>
        <w:numPr>
          <w:ilvl w:val="0"/>
          <w:numId w:val="1008"/>
        </w:numPr>
        <w:pStyle w:val="Compact"/>
      </w:pPr>
      <w:r>
        <w:rPr>
          <w:bCs/>
          <w:b/>
        </w:rPr>
        <w:t xml:space="preserve">法律依据的明示</w:t>
      </w:r>
      <w:r>
        <w:t xml:space="preserve">：未经授权的转载可能侵犯著作权及肖像权，此外，去除签名或水印可能另行构成删除权利管理信息的违法行为［16］［19］［20］。根据中国《著作权法》，对故意侵权规定了赔偿数额一倍以上五倍以下的惩罚性赔偿，法定赔偿上限为500万元［16］。在美国，根据DMCA第1202条，在某些情况下无需证明实际损失即可请求法定赔偿［19］。</w:t>
      </w:r>
    </w:p>
    <w:p>
      <w:pPr>
        <w:numPr>
          <w:ilvl w:val="0"/>
          <w:numId w:val="1008"/>
        </w:numPr>
        <w:pStyle w:val="Compact"/>
      </w:pPr>
      <w:r>
        <w:rPr>
          <w:bCs/>
          <w:b/>
        </w:rPr>
        <w:t xml:space="preserve">应对意图的表明</w:t>
      </w:r>
      <w:r>
        <w:t xml:space="preserve">：表明在确认签名缺失或被篡改，或被扩散时，将提出删除申请并要求损害赔偿。表明的内容仅限于实际能够执行的范围。</w:t>
      </w:r>
    </w:p>
    <w:p>
      <w:pPr>
        <w:numPr>
          <w:ilvl w:val="0"/>
          <w:numId w:val="1008"/>
        </w:numPr>
        <w:pStyle w:val="Compact"/>
      </w:pPr>
      <w:r>
        <w:rPr>
          <w:bCs/>
          <w:b/>
        </w:rPr>
        <w:t xml:space="preserve">登记号的标注</w:t>
      </w:r>
      <w:r>
        <w:t xml:space="preserve">：中国版权保护中心的作品登记在作品发表后亦可申请，其登记证书在中国法院被广泛用作权利归属的证据。登记号应与作品一同展示［21］。</w:t>
      </w:r>
    </w:p>
    <w:p>
      <w:pPr>
        <w:numPr>
          <w:ilvl w:val="0"/>
          <w:numId w:val="1008"/>
        </w:numPr>
        <w:pStyle w:val="Compact"/>
      </w:pPr>
      <w:r>
        <w:rPr>
          <w:bCs/>
          <w:b/>
        </w:rPr>
        <w:t xml:space="preserve">申请渠道</w:t>
      </w:r>
      <w:r>
        <w:t xml:space="preserve">：微博、小红书、Bilibili等平台的侵权投诉窗口，向美国服务商发出的DMCA通知，以及向服务器服务商及运营者发出的通知。</w:t>
      </w:r>
    </w:p>
    <w:p>
      <w:pPr>
        <w:numPr>
          <w:ilvl w:val="0"/>
          <w:numId w:val="1008"/>
        </w:numPr>
        <w:pStyle w:val="Compact"/>
      </w:pPr>
      <w:r>
        <w:rPr>
          <w:bCs/>
          <w:b/>
        </w:rPr>
        <w:t xml:space="preserve">共同应对</w:t>
      </w:r>
      <w:r>
        <w:t xml:space="preserve">：使用同一机制的权利人增多后，可针对同一转载者或经营者提出大量申请。中国设有共同诉讼及代表人诉讼制度，在日本，提起大量小额诉讼也可能成为有效手段。</w:t>
      </w:r>
    </w:p>
    <w:p>
      <w:pPr>
        <w:pStyle w:val="FirstParagraph"/>
      </w:pPr>
      <w:r>
        <w:t xml:space="preserve">优先应对的对象为制作周边商品、有偿销售、挪用于广告、收录于AI训练数据等商业性利用。</w:t>
      </w:r>
    </w:p>
    <w:bookmarkEnd w:id="33"/>
    <w:bookmarkStart w:id="34" w:name="运营及责任范围"/>
    <w:p>
      <w:pPr>
        <w:pStyle w:val="Heading2"/>
      </w:pPr>
      <w:r>
        <w:t xml:space="preserve">9. 运营及责任范围</w:t>
      </w:r>
    </w:p>
    <w:p>
      <w:pPr>
        <w:pStyle w:val="FirstParagraph"/>
      </w:pPr>
      <w:r>
        <w:t xml:space="preserve">工具将在GitHub上公开，希望使用者可将其Fork并自行承担责任进行运营。NRSD对各Fork的运营结果不承担责任。</w:t>
      </w:r>
    </w:p>
    <w:p>
      <w:pPr>
        <w:numPr>
          <w:ilvl w:val="0"/>
          <w:numId w:val="1009"/>
        </w:numPr>
        <w:pStyle w:val="Compact"/>
      </w:pPr>
      <w:r>
        <w:rPr>
          <w:bCs/>
          <w:b/>
        </w:rPr>
        <w:t xml:space="preserve">原始版本</w:t>
      </w:r>
      <w:r>
        <w:t xml:space="preserve">：由NRSD制作并公开。AYA女士可选择以项目参与者身份加入原始版本，或自行Fork并运营。</w:t>
      </w:r>
    </w:p>
    <w:p>
      <w:pPr>
        <w:numPr>
          <w:ilvl w:val="0"/>
          <w:numId w:val="1009"/>
        </w:numPr>
        <w:pStyle w:val="Compact"/>
      </w:pPr>
      <w:r>
        <w:rPr>
          <w:bCs/>
          <w:b/>
        </w:rPr>
        <w:t xml:space="preserve">Fork的运营</w:t>
      </w:r>
      <w:r>
        <w:t xml:space="preserve">：签名者与被举报转载网站之间对应关系的准确性，由各Fork的运营者负责保证。</w:t>
      </w:r>
    </w:p>
    <w:p>
      <w:pPr>
        <w:numPr>
          <w:ilvl w:val="0"/>
          <w:numId w:val="1009"/>
        </w:numPr>
        <w:pStyle w:val="Compact"/>
      </w:pPr>
      <w:r>
        <w:rPr>
          <w:bCs/>
          <w:b/>
        </w:rPr>
        <w:t xml:space="preserve">NRSD的提供范围</w:t>
      </w:r>
      <w:r>
        <w:t xml:space="preserve">：签名工具、举报工具、公开页面、其联动功能以及获取识别编号的图形界面。运营方法由各使用者自行判断。</w:t>
      </w:r>
    </w:p>
    <w:p>
      <w:pPr>
        <w:pStyle w:val="FirstParagraph"/>
      </w:pPr>
      <w:r>
        <w:rPr>
          <w:bCs/>
          <w:b/>
        </w:rPr>
        <w:t xml:space="preserve">关于法律应对的范围</w:t>
      </w:r>
      <w:r>
        <w:t xml:space="preserve">：与本系统运营相关的法律诉讼，由本公司的专属律师统一应对。但这并不用于保护使用者的权利。针对未经授权转载的删除申请及损害赔偿请求，须由各使用者作为权利人自行提出。</w:t>
      </w:r>
    </w:p>
    <w:bookmarkEnd w:id="34"/>
    <w:bookmarkStart w:id="35" w:name="限制及注意事项"/>
    <w:p>
      <w:pPr>
        <w:pStyle w:val="Heading2"/>
      </w:pPr>
      <w:r>
        <w:t xml:space="preserve">10. 限制及注意事项</w:t>
      </w:r>
    </w:p>
    <w:p>
      <w:pPr>
        <w:pStyle w:val="FirstParagraph"/>
      </w:pPr>
      <w:r>
        <w:t xml:space="preserve">本系统并不能消除未经授权的转载本身，其效果仅限于导入工具后发布的照片。</w:t>
      </w:r>
    </w:p>
    <w:p>
      <w:pPr>
        <w:numPr>
          <w:ilvl w:val="0"/>
          <w:numId w:val="1010"/>
        </w:numPr>
        <w:pStyle w:val="Compact"/>
      </w:pPr>
      <w:r>
        <w:t xml:space="preserve">导入前已发布的照片未附加签名及水印，对此应通过保存原始数据及作品登记来证明权利。</w:t>
      </w:r>
    </w:p>
    <w:p>
      <w:pPr>
        <w:numPr>
          <w:ilvl w:val="0"/>
          <w:numId w:val="1010"/>
        </w:numPr>
        <w:pStyle w:val="Compact"/>
      </w:pPr>
      <w:r>
        <w:t xml:space="preserve">对于境外转载者，预计多数情况下仅能止于删除。但即便如此，采取了权利保护措施的记录仍将保留。</w:t>
      </w:r>
    </w:p>
    <w:p>
      <w:pPr>
        <w:numPr>
          <w:ilvl w:val="0"/>
          <w:numId w:val="1010"/>
        </w:numPr>
        <w:pStyle w:val="Compact"/>
      </w:pPr>
      <w:r>
        <w:t xml:space="preserve">对于摄影师并非权利人本人的照片，应事先与摄影师确认权利归属。</w:t>
      </w:r>
    </w:p>
    <w:p>
      <w:pPr>
        <w:numPr>
          <w:ilvl w:val="0"/>
          <w:numId w:val="1010"/>
        </w:numPr>
        <w:pStyle w:val="Compact"/>
      </w:pPr>
      <w:r>
        <w:t xml:space="preserve">C2PA的验证图标可能被误认为AI生成的标识，因此应在声明中说明其表示真实性。</w:t>
      </w:r>
    </w:p>
    <w:bookmarkEnd w:id="35"/>
    <w:bookmarkStart w:id="36" w:name="实施项目"/>
    <w:p>
      <w:pPr>
        <w:pStyle w:val="Heading2"/>
      </w:pPr>
      <w:r>
        <w:t xml:space="preserve">11. 实施项目</w:t>
      </w:r>
    </w:p>
    <w:p>
      <w:pPr>
        <w:pStyle w:val="FirstParagraph"/>
      </w:pPr>
      <w:r>
        <w:t xml:space="preserve">无论AYA女士是否使用，NRSD均将开发本工具。</w:t>
      </w:r>
    </w:p>
    <w:p>
      <w:pPr>
        <w:numPr>
          <w:ilvl w:val="0"/>
          <w:numId w:val="1011"/>
        </w:numPr>
        <w:pStyle w:val="Compact"/>
      </w:pPr>
      <w:r>
        <w:t xml:space="preserve">签名工具：C2PA签名、可信时间戳、水印及识别编号的批量处理以及图形界面</w:t>
      </w:r>
    </w:p>
    <w:p>
      <w:pPr>
        <w:numPr>
          <w:ilvl w:val="0"/>
          <w:numId w:val="1011"/>
        </w:numPr>
        <w:pStyle w:val="Compact"/>
      </w:pPr>
      <w:r>
        <w:t xml:space="preserve">右键菜单登记（Windows）</w:t>
      </w:r>
    </w:p>
    <w:p>
      <w:pPr>
        <w:numPr>
          <w:ilvl w:val="0"/>
          <w:numId w:val="1011"/>
        </w:numPr>
        <w:pStyle w:val="Compact"/>
      </w:pPr>
      <w:r>
        <w:t xml:space="preserve">举报工具：网址登记、页面保存、可信时间戳及比对</w:t>
      </w:r>
    </w:p>
    <w:p>
      <w:pPr>
        <w:numPr>
          <w:ilvl w:val="0"/>
          <w:numId w:val="1011"/>
        </w:numPr>
        <w:pStyle w:val="Compact"/>
      </w:pPr>
      <w:r>
        <w:t xml:space="preserve">公开页面：部署至GitHub Pages及举报数据的积累</w:t>
      </w:r>
    </w:p>
    <w:p>
      <w:pPr>
        <w:numPr>
          <w:ilvl w:val="0"/>
          <w:numId w:val="1011"/>
        </w:numPr>
        <w:pStyle w:val="Compact"/>
      </w:pPr>
      <w:r>
        <w:t xml:space="preserve">声明范文（英文及中文）</w:t>
      </w:r>
    </w:p>
    <w:p>
      <w:pPr>
        <w:numPr>
          <w:ilvl w:val="0"/>
          <w:numId w:val="1011"/>
        </w:numPr>
        <w:pStyle w:val="Compact"/>
      </w:pPr>
      <w:r>
        <w:t xml:space="preserve">申请文本的自动生成</w:t>
      </w:r>
    </w:p>
    <w:p>
      <w:pPr>
        <w:numPr>
          <w:ilvl w:val="0"/>
          <w:numId w:val="1011"/>
        </w:numPr>
        <w:pStyle w:val="Compact"/>
      </w:pPr>
      <w:r>
        <w:t xml:space="preserve">在GitHub上公开并通知AYA女士</w:t>
      </w:r>
    </w:p>
    <w:bookmarkEnd w:id="36"/>
    <w:bookmarkStart w:id="37" w:name="第二阶段自动检测应用"/>
    <w:p>
      <w:pPr>
        <w:pStyle w:val="Heading2"/>
      </w:pPr>
      <w:r>
        <w:t xml:space="preserve">12. 第二阶段：自动检测应用</w:t>
      </w:r>
    </w:p>
    <w:p>
      <w:pPr>
        <w:pStyle w:val="FirstParagraph"/>
      </w:pPr>
      <w:r>
        <w:t xml:space="preserve">作为后续计划，将开发一款在网络上巡查、自动检测未经授权转载的图片及其刊载网站的自主型应用。第一阶段的工具以确认转载后进行举报为前提，而第二阶段则将检测本身自动化。</w:t>
      </w:r>
    </w:p>
    <w:p>
      <w:pPr>
        <w:numPr>
          <w:ilvl w:val="0"/>
          <w:numId w:val="1012"/>
        </w:numPr>
        <w:pStyle w:val="Compact"/>
      </w:pPr>
      <w:r>
        <w:rPr>
          <w:bCs/>
          <w:b/>
        </w:rPr>
        <w:t xml:space="preserve">巡查</w:t>
      </w:r>
      <w:r>
        <w:t xml:space="preserve">：定期巡查图片搜索结果及公开页面，收集作为比对对象的图片。</w:t>
      </w:r>
    </w:p>
    <w:p>
      <w:pPr>
        <w:numPr>
          <w:ilvl w:val="0"/>
          <w:numId w:val="1012"/>
        </w:numPr>
        <w:pStyle w:val="Compact"/>
      </w:pPr>
      <w:r>
        <w:rPr>
          <w:bCs/>
          <w:b/>
        </w:rPr>
        <w:t xml:space="preserve">比对</w:t>
      </w:r>
      <w:r>
        <w:t xml:space="preserve">：通过读取水印、PDQ等感知哈希及图像特征，与已登记的作品进行比对。</w:t>
      </w:r>
    </w:p>
    <w:p>
      <w:pPr>
        <w:numPr>
          <w:ilvl w:val="0"/>
          <w:numId w:val="1012"/>
        </w:numPr>
        <w:pStyle w:val="Compact"/>
      </w:pPr>
      <w:r>
        <w:rPr>
          <w:bCs/>
          <w:b/>
        </w:rPr>
        <w:t xml:space="preserve">联动</w:t>
      </w:r>
      <w:r>
        <w:t xml:space="preserve">：将匹配的图片自动登记到第一阶段的举报工具中，并完成证据保全及可信时间戳的附加。</w:t>
      </w:r>
    </w:p>
    <w:p>
      <w:pPr>
        <w:numPr>
          <w:ilvl w:val="0"/>
          <w:numId w:val="1012"/>
        </w:numPr>
        <w:pStyle w:val="Compact"/>
      </w:pPr>
      <w:r>
        <w:rPr>
          <w:bCs/>
          <w:b/>
        </w:rPr>
        <w:t xml:space="preserve">待研究事项</w:t>
      </w:r>
      <w:r>
        <w:t xml:space="preserve">：需要登录的社交平台及反爬措施较强的网站（微博、小红书等）的处理方式、与各网站服务条款的关系，以及巡查所需的负载及费用。</w:t>
      </w:r>
    </w:p>
    <w:bookmarkEnd w:id="37"/>
    <w:bookmarkStart w:id="38" w:name="本资料的定位及文件体系"/>
    <w:p>
      <w:pPr>
        <w:pStyle w:val="Heading2"/>
      </w:pPr>
      <w:r>
        <w:t xml:space="preserve">13. 本资料的定位及文件体系</w:t>
      </w:r>
    </w:p>
    <w:p>
      <w:pPr>
        <w:pStyle w:val="FirstParagraph"/>
      </w:pPr>
      <w:r>
        <w:t xml:space="preserve">本企划草案是设计计划的起草文件，资料按以下顺序编制。</w:t>
      </w:r>
    </w:p>
    <w:p>
      <w:pPr>
        <w:numPr>
          <w:ilvl w:val="0"/>
          <w:numId w:val="1013"/>
        </w:numPr>
        <w:pStyle w:val="Compact"/>
      </w:pPr>
      <w:r>
        <w:rPr>
          <w:bCs/>
          <w:b/>
        </w:rPr>
        <w:t xml:space="preserve">企划草案</w:t>
      </w:r>
      <w:r>
        <w:t xml:space="preserve">（本资料）：构想及基本方针</w:t>
      </w:r>
    </w:p>
    <w:p>
      <w:pPr>
        <w:numPr>
          <w:ilvl w:val="0"/>
          <w:numId w:val="1013"/>
        </w:numPr>
        <w:pStyle w:val="Compact"/>
      </w:pPr>
      <w:r>
        <w:rPr>
          <w:bCs/>
          <w:b/>
        </w:rPr>
        <w:t xml:space="preserve">设计计划</w:t>
      </w:r>
      <w:r>
        <w:t xml:space="preserve">：将本企划草案具体化，确定开发范围及实施内容</w:t>
      </w:r>
    </w:p>
    <w:p>
      <w:pPr>
        <w:numPr>
          <w:ilvl w:val="0"/>
          <w:numId w:val="1013"/>
        </w:numPr>
        <w:pStyle w:val="Compact"/>
      </w:pPr>
      <w:r>
        <w:rPr>
          <w:bCs/>
          <w:b/>
        </w:rPr>
        <w:t xml:space="preserve">设计书</w:t>
      </w:r>
      <w:r>
        <w:t xml:space="preserve">：系统整体的架构及方式</w:t>
      </w:r>
    </w:p>
    <w:p>
      <w:pPr>
        <w:numPr>
          <w:ilvl w:val="0"/>
          <w:numId w:val="1013"/>
        </w:numPr>
        <w:pStyle w:val="Compact"/>
      </w:pPr>
      <w:r>
        <w:rPr>
          <w:bCs/>
          <w:b/>
        </w:rPr>
        <w:t xml:space="preserve">详细设计书</w:t>
      </w:r>
      <w:r>
        <w:t xml:space="preserve">：各功能的实现规格</w:t>
      </w:r>
    </w:p>
    <w:p>
      <w:pPr>
        <w:pStyle w:val="FirstParagraph"/>
      </w:pPr>
      <w:r>
        <w:rPr>
          <w:bCs/>
          <w:b/>
        </w:rPr>
        <w:t xml:space="preserve">设计计划由株式会社流山ソフトウェア開発（NRSD）发布。</w:t>
      </w:r>
    </w:p>
    <w:bookmarkEnd w:id="38"/>
    <w:bookmarkStart w:id="39" w:name="第三方权利及许可"/>
    <w:p>
      <w:pPr>
        <w:pStyle w:val="Heading2"/>
      </w:pPr>
      <w:r>
        <w:t xml:space="preserve">14. 第三方权利及许可</w:t>
      </w:r>
    </w:p>
    <w:p>
      <w:pPr>
        <w:pStyle w:val="FirstParagraph"/>
      </w:pPr>
      <w:r>
        <w:t xml:space="preserve">本企划所采用的标准、算法及软件的权利，归各自的权利人所有。NRSD享有权利的范围仅限于NRSD根据本企划独自开发的部分，第三方构成要素应按照各权利人规定的许可或使用条件使用。</w:t>
      </w:r>
    </w:p>
    <w:tbl>
      <w:tblPr>
        <w:tblStyle w:val="Table"/>
        <w:tblW w:type="pct" w:w="5000"/>
        <w:tblLook w:firstRow="1" w:lastRow="0" w:firstColumn="0" w:lastColumn="0" w:noHBand="0" w:noVBand="0" w:val="0020"/>
        <w:jc w:val="start"/>
      </w:tblPr>
      <w:tblGrid>
        <w:gridCol w:w="1421"/>
        <w:gridCol w:w="2233"/>
        <w:gridCol w:w="3046"/>
        <w:gridCol w:w="1218"/>
      </w:tblGrid>
      <w:tr>
        <w:trPr>
          <w:tblHeader w:val="true"/>
        </w:trPr>
        <w:tc>
          <w:tcPr/>
          <w:p>
            <w:pPr>
              <w:pStyle w:val="Compact"/>
              <w:jc w:val="left"/>
            </w:pPr>
            <w:r>
              <w:t xml:space="preserve">构成要素</w:t>
            </w:r>
          </w:p>
        </w:tc>
        <w:tc>
          <w:tcPr/>
          <w:p>
            <w:pPr>
              <w:pStyle w:val="Compact"/>
              <w:jc w:val="left"/>
            </w:pPr>
            <w:r>
              <w:t xml:space="preserve">权利人</w:t>
            </w:r>
          </w:p>
        </w:tc>
        <w:tc>
          <w:tcPr/>
          <w:p>
            <w:pPr>
              <w:pStyle w:val="Compact"/>
              <w:jc w:val="left"/>
            </w:pPr>
            <w:r>
              <w:t xml:space="preserve">许可・使用条件</w:t>
            </w:r>
          </w:p>
        </w:tc>
        <w:tc>
          <w:tcPr/>
          <w:p>
            <w:pPr>
              <w:pStyle w:val="Compact"/>
              <w:jc w:val="left"/>
            </w:pPr>
            <w:r>
              <w:t xml:space="preserve">参照</w:t>
            </w:r>
          </w:p>
        </w:tc>
      </w:tr>
      <w:tr>
        <w:tc>
          <w:tcPr/>
          <w:p>
            <w:pPr>
              <w:pStyle w:val="Compact"/>
              <w:jc w:val="left"/>
            </w:pPr>
            <w:r>
              <w:t xml:space="preserve">C2PA技术规范</w:t>
            </w:r>
          </w:p>
        </w:tc>
        <w:tc>
          <w:tcPr/>
          <w:p>
            <w:pPr>
              <w:pStyle w:val="Compact"/>
              <w:jc w:val="left"/>
            </w:pPr>
            <w:r>
              <w:t xml:space="preserve">C2PA（Coalition for Content Provenance and Authenticity）</w:t>
            </w:r>
          </w:p>
        </w:tc>
        <w:tc>
          <w:tcPr/>
          <w:p>
            <w:pPr>
              <w:pStyle w:val="Compact"/>
              <w:jc w:val="left"/>
            </w:pPr>
            <w:r>
              <w:t xml:space="preserve">C2PA规定的使用条件</w:t>
            </w:r>
          </w:p>
        </w:tc>
        <w:tc>
          <w:tcPr/>
          <w:p>
            <w:pPr>
              <w:pStyle w:val="Compact"/>
              <w:jc w:val="left"/>
            </w:pPr>
            <w:r>
              <w:t xml:space="preserve">［1］</w:t>
            </w:r>
          </w:p>
        </w:tc>
      </w:tr>
      <w:tr>
        <w:tc>
          <w:tcPr/>
          <w:p>
            <w:pPr>
              <w:pStyle w:val="Compact"/>
              <w:jc w:val="left"/>
            </w:pPr>
            <w:r>
              <w:t xml:space="preserve">c2pa-python</w:t>
            </w:r>
          </w:p>
        </w:tc>
        <w:tc>
          <w:tcPr/>
          <w:p>
            <w:pPr>
              <w:pStyle w:val="Compact"/>
              <w:jc w:val="left"/>
            </w:pPr>
            <w:r>
              <w:t xml:space="preserve">Content Authenticity Initiative</w:t>
            </w:r>
          </w:p>
        </w:tc>
        <w:tc>
          <w:tcPr/>
          <w:p>
            <w:pPr>
              <w:pStyle w:val="Compact"/>
              <w:jc w:val="left"/>
            </w:pPr>
            <w:r>
              <w:t xml:space="preserve">MIT License 及 Apache License 2.0</w:t>
            </w:r>
          </w:p>
        </w:tc>
        <w:tc>
          <w:tcPr/>
          <w:p>
            <w:pPr>
              <w:pStyle w:val="Compact"/>
              <w:jc w:val="left"/>
            </w:pPr>
            <w:r>
              <w:t xml:space="preserve">［14］</w:t>
            </w:r>
          </w:p>
        </w:tc>
      </w:tr>
      <w:tr>
        <w:tc>
          <w:tcPr/>
          <w:p>
            <w:pPr>
              <w:pStyle w:val="Compact"/>
              <w:jc w:val="left"/>
            </w:pPr>
            <w:r>
              <w:t xml:space="preserve">TrustMark</w:t>
            </w:r>
          </w:p>
        </w:tc>
        <w:tc>
          <w:tcPr/>
          <w:p>
            <w:pPr>
              <w:pStyle w:val="Compact"/>
              <w:jc w:val="left"/>
            </w:pPr>
            <w:r>
              <w:t xml:space="preserve">Adobe</w:t>
            </w:r>
          </w:p>
        </w:tc>
        <w:tc>
          <w:tcPr/>
          <w:p>
            <w:pPr>
              <w:pStyle w:val="Compact"/>
              <w:jc w:val="left"/>
            </w:pPr>
            <w:r>
              <w:t xml:space="preserve">MIT License</w:t>
            </w:r>
          </w:p>
        </w:tc>
        <w:tc>
          <w:tcPr/>
          <w:p>
            <w:pPr>
              <w:pStyle w:val="Compact"/>
              <w:jc w:val="left"/>
            </w:pPr>
            <w:r>
              <w:t xml:space="preserve">［9］［10］</w:t>
            </w:r>
          </w:p>
        </w:tc>
      </w:tr>
      <w:tr>
        <w:tc>
          <w:tcPr/>
          <w:p>
            <w:pPr>
              <w:pStyle w:val="Compact"/>
              <w:jc w:val="left"/>
            </w:pPr>
            <w:r>
              <w:t xml:space="preserve">PDQ</w:t>
            </w:r>
          </w:p>
        </w:tc>
        <w:tc>
          <w:tcPr/>
          <w:p>
            <w:pPr>
              <w:pStyle w:val="Compact"/>
              <w:jc w:val="left"/>
            </w:pPr>
            <w:r>
              <w:t xml:space="preserve">Meta Platforms</w:t>
            </w:r>
          </w:p>
        </w:tc>
        <w:tc>
          <w:tcPr/>
          <w:p>
            <w:pPr>
              <w:pStyle w:val="Compact"/>
              <w:jc w:val="left"/>
            </w:pPr>
            <w:r>
              <w:t xml:space="preserve">BSD License（ThreatExchange代码库）</w:t>
            </w:r>
          </w:p>
        </w:tc>
        <w:tc>
          <w:tcPr/>
          <w:p>
            <w:pPr>
              <w:pStyle w:val="Compact"/>
              <w:jc w:val="left"/>
            </w:pPr>
            <w:r>
              <w:t xml:space="preserve">［12］</w:t>
            </w:r>
          </w:p>
        </w:tc>
      </w:tr>
      <w:tr>
        <w:tc>
          <w:tcPr/>
          <w:p>
            <w:pPr>
              <w:pStyle w:val="Compact"/>
              <w:jc w:val="left"/>
            </w:pPr>
            <w:r>
              <w:t xml:space="preserve">RFC 3161、5280、8949、9052</w:t>
            </w:r>
          </w:p>
        </w:tc>
        <w:tc>
          <w:tcPr/>
          <w:p>
            <w:pPr>
              <w:pStyle w:val="Compact"/>
              <w:jc w:val="left"/>
            </w:pPr>
            <w:r>
              <w:t xml:space="preserve">IETF Trust</w:t>
            </w:r>
          </w:p>
        </w:tc>
        <w:tc>
          <w:tcPr/>
          <w:p>
            <w:pPr>
              <w:pStyle w:val="Compact"/>
              <w:jc w:val="left"/>
            </w:pPr>
            <w:r>
              <w:t xml:space="preserve">IETF规定的使用条件</w:t>
            </w:r>
          </w:p>
        </w:tc>
        <w:tc>
          <w:tcPr/>
          <w:p>
            <w:pPr>
              <w:pStyle w:val="Compact"/>
              <w:jc w:val="left"/>
            </w:pPr>
            <w:r>
              <w:t xml:space="preserve">［3］［4］［5］［8］</w:t>
            </w:r>
          </w:p>
        </w:tc>
      </w:tr>
      <w:tr>
        <w:tc>
          <w:tcPr/>
          <w:p>
            <w:pPr>
              <w:pStyle w:val="Compact"/>
              <w:jc w:val="left"/>
            </w:pPr>
            <w:r>
              <w:t xml:space="preserve">ISO/IEC 19566-5（JUMBF）</w:t>
            </w:r>
          </w:p>
        </w:tc>
        <w:tc>
          <w:tcPr/>
          <w:p>
            <w:pPr>
              <w:pStyle w:val="Compact"/>
              <w:jc w:val="left"/>
            </w:pPr>
            <w:r>
              <w:t xml:space="preserve">ISO、IEC</w:t>
            </w:r>
          </w:p>
        </w:tc>
        <w:tc>
          <w:tcPr/>
          <w:p>
            <w:pPr>
              <w:pStyle w:val="Compact"/>
              <w:jc w:val="left"/>
            </w:pPr>
            <w:r>
              <w:t xml:space="preserve">ISO及IEC规定的使用条件</w:t>
            </w:r>
          </w:p>
        </w:tc>
        <w:tc>
          <w:tcPr/>
          <w:p>
            <w:pPr>
              <w:pStyle w:val="Compact"/>
              <w:jc w:val="left"/>
            </w:pPr>
            <w:r>
              <w:t xml:space="preserve">［6］</w:t>
            </w:r>
          </w:p>
        </w:tc>
      </w:tr>
    </w:tbl>
    <w:p>
      <w:pPr>
        <w:pStyle w:val="BodyText"/>
      </w:pPr>
      <w:r>
        <w:t xml:space="preserve">公开时，应将各构成要素的许可条款及著作权声明随软件一并提供，并确认其与NRSD所定许可的兼容性。由于第三方构成要素的使用条件可能发生变更，应在设计计划中确认最新条件。</w:t>
      </w:r>
    </w:p>
    <w:bookmarkEnd w:id="39"/>
    <w:bookmarkStart w:id="46" w:name="参考文献技术背景及法律索引"/>
    <w:p>
      <w:pPr>
        <w:pStyle w:val="Heading2"/>
      </w:pPr>
      <w:r>
        <w:t xml:space="preserve">15. 参考文献（技术背景及法律索引）</w:t>
      </w:r>
    </w:p>
    <w:p>
      <w:pPr>
        <w:pStyle w:val="FirstParagraph"/>
        <w:spacing w:after="40" w:before="0"/>
      </w:pPr>
      <w:r>
        <w:rPr>
          <w:sz w:val="18"/>
        </w:rPr>
        <w:t xml:space="preserve">正文中［ ］内的编号对应以下文献。</w:t>
      </w:r>
    </w:p>
    <w:bookmarkStart w:id="40" w:name="来源证明及数字签名"/>
    <w:p>
      <w:pPr>
        <w:pStyle w:val="Heading3"/>
        <w:spacing w:before="120" w:after="40"/>
      </w:pPr>
      <w:r>
        <w:t xml:space="preserve">来源证明及数字签名</w:t>
      </w:r>
    </w:p>
    <w:p>
      <w:pPr>
        <w:pStyle w:val="FirstParagraph"/>
        <w:spacing w:after="40" w:before="0"/>
      </w:pPr>
      <w:r>
        <w:rPr>
          <w:sz w:val="18"/>
        </w:rPr>
        <w:t xml:space="preserve">［1］C2PA,</w:t>
      </w:r>
      <w:r>
        <w:rPr>
          <w:sz w:val="18"/>
        </w:rPr>
        <w:t xml:space="preserve"> </w:t>
      </w:r>
      <w:r>
        <w:rPr>
          <w:iCs/>
          <w:i/>
          <w:sz w:val="18"/>
        </w:rPr>
        <w:t xml:space="preserve">Content Credentials: C2PA Technical Specification</w:t>
      </w:r>
      <w:r>
        <w:rPr>
          <w:sz w:val="18"/>
        </w:rPr>
        <w:t xml:space="preserve">, Version 2.2. https://spec.c2pa.org/specifications/specifications/2.2/specs/C2PA_Specification.html（相关：第4节、第6节）</w:t>
      </w:r>
    </w:p>
    <w:p>
      <w:pPr>
        <w:pStyle w:val="BodyText"/>
        <w:spacing w:after="40" w:before="0"/>
      </w:pPr>
      <w:r>
        <w:rPr>
          <w:sz w:val="18"/>
        </w:rPr>
        <w:t xml:space="preserve">［2］C2PA Technical Working Group,</w:t>
      </w:r>
      <w:r>
        <w:rPr>
          <w:sz w:val="18"/>
        </w:rPr>
        <w:t xml:space="preserve"> </w:t>
      </w:r>
      <w:r>
        <w:rPr>
          <w:iCs/>
          <w:i/>
          <w:sz w:val="18"/>
        </w:rPr>
        <w:t xml:space="preserve">C2PA Content Credentials Explained: Addressing Common Questions and Updates</w:t>
      </w:r>
      <w:r>
        <w:rPr>
          <w:sz w:val="18"/>
        </w:rPr>
        <w:t xml:space="preserve">，2025年9月. https://c2pa.org/wp-content/uploads/sites/33/2025/10/content_credentials_wp_0925.pdf（相关：第4节）</w:t>
      </w:r>
    </w:p>
    <w:p>
      <w:pPr>
        <w:pStyle w:val="BodyText"/>
        <w:spacing w:after="40" w:before="0"/>
      </w:pPr>
      <w:r>
        <w:rPr>
          <w:sz w:val="18"/>
        </w:rPr>
        <w:t xml:space="preserve">［3］IETF RFC 5280,</w:t>
      </w:r>
      <w:r>
        <w:rPr>
          <w:sz w:val="18"/>
        </w:rPr>
        <w:t xml:space="preserve"> </w:t>
      </w:r>
      <w:r>
        <w:rPr>
          <w:iCs/>
          <w:i/>
          <w:sz w:val="18"/>
        </w:rPr>
        <w:t xml:space="preserve">Internet X.509 Public Key Infrastructure Certificate and CRL Profile</w:t>
      </w:r>
      <w:r>
        <w:rPr>
          <w:sz w:val="18"/>
        </w:rPr>
        <w:t xml:space="preserve">. https://www.rfc-editor.org/rfc/rfc5280（相关：第4节）</w:t>
      </w:r>
    </w:p>
    <w:p>
      <w:pPr>
        <w:pStyle w:val="BodyText"/>
        <w:spacing w:after="40" w:before="0"/>
      </w:pPr>
      <w:r>
        <w:rPr>
          <w:sz w:val="18"/>
        </w:rPr>
        <w:t xml:space="preserve">［4］IETF RFC 9052,</w:t>
      </w:r>
      <w:r>
        <w:rPr>
          <w:sz w:val="18"/>
        </w:rPr>
        <w:t xml:space="preserve"> </w:t>
      </w:r>
      <w:r>
        <w:rPr>
          <w:iCs/>
          <w:i/>
          <w:sz w:val="18"/>
        </w:rPr>
        <w:t xml:space="preserve">CBOR Object Signing and Encryption (COSE): Structures and Process</w:t>
      </w:r>
      <w:r>
        <w:rPr>
          <w:sz w:val="18"/>
        </w:rPr>
        <w:t xml:space="preserve">. https://www.rfc-editor.org/rfc/rfc9052（相关：第4节）</w:t>
      </w:r>
    </w:p>
    <w:p>
      <w:pPr>
        <w:pStyle w:val="BodyText"/>
        <w:spacing w:after="40" w:before="0"/>
      </w:pPr>
      <w:r>
        <w:rPr>
          <w:sz w:val="18"/>
        </w:rPr>
        <w:t xml:space="preserve">［5］IETF RFC 8949,</w:t>
      </w:r>
      <w:r>
        <w:rPr>
          <w:sz w:val="18"/>
        </w:rPr>
        <w:t xml:space="preserve"> </w:t>
      </w:r>
      <w:r>
        <w:rPr>
          <w:iCs/>
          <w:i/>
          <w:sz w:val="18"/>
        </w:rPr>
        <w:t xml:space="preserve">Concise Binary Object Representation (CBOR)</w:t>
      </w:r>
      <w:r>
        <w:rPr>
          <w:sz w:val="18"/>
        </w:rPr>
        <w:t xml:space="preserve">. https://www.rfc-editor.org/rfc/rfc8949（相关：第4节）</w:t>
      </w:r>
    </w:p>
    <w:p>
      <w:pPr>
        <w:pStyle w:val="BodyText"/>
        <w:spacing w:after="40" w:before="0"/>
      </w:pPr>
      <w:r>
        <w:rPr>
          <w:sz w:val="18"/>
        </w:rPr>
        <w:t xml:space="preserve">［6］ISO/IEC 19566-5,</w:t>
      </w:r>
      <w:r>
        <w:rPr>
          <w:sz w:val="18"/>
        </w:rPr>
        <w:t xml:space="preserve"> </w:t>
      </w:r>
      <w:r>
        <w:rPr>
          <w:iCs/>
          <w:i/>
          <w:sz w:val="18"/>
        </w:rPr>
        <w:t xml:space="preserve">JPEG Systems — Part 5: JPEG Universal Metadata Box Format (JUMBF)</w:t>
      </w:r>
      <w:r>
        <w:rPr>
          <w:sz w:val="18"/>
        </w:rPr>
        <w:t xml:space="preserve">.（相关：第4节）</w:t>
      </w:r>
    </w:p>
    <w:p>
      <w:pPr>
        <w:pStyle w:val="BodyText"/>
        <w:spacing w:after="40" w:before="0"/>
      </w:pPr>
      <w:r>
        <w:rPr>
          <w:sz w:val="18"/>
        </w:rPr>
        <w:t xml:space="preserve">［7］NIST FIPS 180-4,</w:t>
      </w:r>
      <w:r>
        <w:rPr>
          <w:sz w:val="18"/>
        </w:rPr>
        <w:t xml:space="preserve"> </w:t>
      </w:r>
      <w:r>
        <w:rPr>
          <w:iCs/>
          <w:i/>
          <w:sz w:val="18"/>
        </w:rPr>
        <w:t xml:space="preserve">Secure Hash Standard (SHS)</w:t>
      </w:r>
      <w:r>
        <w:rPr>
          <w:sz w:val="18"/>
        </w:rPr>
        <w:t xml:space="preserve">. https://nvlpubs.nist.gov/nistpubs/FIPS/NIST.FIPS.180-4.pdf（相关：第4节、第7节）</w:t>
      </w:r>
    </w:p>
    <w:bookmarkEnd w:id="40"/>
    <w:bookmarkStart w:id="41" w:name="可信时间戳"/>
    <w:p>
      <w:pPr>
        <w:pStyle w:val="Heading3"/>
        <w:spacing w:before="120" w:after="40"/>
      </w:pPr>
      <w:r>
        <w:t xml:space="preserve">可信时间戳</w:t>
      </w:r>
    </w:p>
    <w:p>
      <w:pPr>
        <w:pStyle w:val="FirstParagraph"/>
        <w:spacing w:after="40" w:before="0"/>
      </w:pPr>
      <w:r>
        <w:rPr>
          <w:sz w:val="18"/>
        </w:rPr>
        <w:t xml:space="preserve">［8］IETF RFC 3161,</w:t>
      </w:r>
      <w:r>
        <w:rPr>
          <w:sz w:val="18"/>
        </w:rPr>
        <w:t xml:space="preserve"> </w:t>
      </w:r>
      <w:r>
        <w:rPr>
          <w:iCs/>
          <w:i/>
          <w:sz w:val="18"/>
        </w:rPr>
        <w:t xml:space="preserve">Internet X.509 Public Key Infrastructure Time-Stamp Protocol (TSP)</w:t>
      </w:r>
      <w:r>
        <w:rPr>
          <w:sz w:val="18"/>
        </w:rPr>
        <w:t xml:space="preserve">. https://www.rfc-editor.org/rfc/rfc3161（相关：第4节、第6节、第7节）</w:t>
      </w:r>
    </w:p>
    <w:bookmarkEnd w:id="41"/>
    <w:bookmarkStart w:id="42" w:name="隐形水印"/>
    <w:p>
      <w:pPr>
        <w:pStyle w:val="Heading3"/>
        <w:spacing w:before="120" w:after="40"/>
      </w:pPr>
      <w:r>
        <w:t xml:space="preserve">隐形水印</w:t>
      </w:r>
    </w:p>
    <w:p>
      <w:pPr>
        <w:pStyle w:val="FirstParagraph"/>
        <w:spacing w:after="40" w:before="0"/>
      </w:pPr>
      <w:r>
        <w:rPr>
          <w:sz w:val="18"/>
        </w:rPr>
        <w:t xml:space="preserve">［9］T. Bui, S. Agarwal, J. Collomosse,</w:t>
      </w:r>
      <w:r>
        <w:rPr>
          <w:sz w:val="18"/>
        </w:rPr>
        <w:t xml:space="preserve"> </w:t>
      </w:r>
      <w:r>
        <w:rPr>
          <w:iCs/>
          <w:i/>
          <w:sz w:val="18"/>
        </w:rPr>
        <w:t xml:space="preserve">TrustMark: Universal Watermarking for Arbitrary Resolution Images</w:t>
      </w:r>
      <w:r>
        <w:rPr>
          <w:sz w:val="18"/>
        </w:rPr>
        <w:t xml:space="preserve">, arXiv:2311.18297. https://arxiv.org/abs/2311.18297（相关：第4节）</w:t>
      </w:r>
    </w:p>
    <w:p>
      <w:pPr>
        <w:pStyle w:val="BodyText"/>
        <w:spacing w:after="40" w:before="0"/>
      </w:pPr>
      <w:r>
        <w:rPr>
          <w:sz w:val="18"/>
        </w:rPr>
        <w:t xml:space="preserve">［10］Adobe，TrustMark官方实现（MIT许可证）. https://github.com/adobe/trustmark（相关：第4节、第6节）</w:t>
      </w:r>
    </w:p>
    <w:p>
      <w:pPr>
        <w:pStyle w:val="BodyText"/>
        <w:spacing w:after="40" w:before="0"/>
      </w:pPr>
      <w:r>
        <w:rPr>
          <w:sz w:val="18"/>
        </w:rPr>
        <w:t xml:space="preserve">［11］Content Authenticity Initiative,</w:t>
      </w:r>
      <w:r>
        <w:rPr>
          <w:sz w:val="18"/>
        </w:rPr>
        <w:t xml:space="preserve"> </w:t>
      </w:r>
      <w:r>
        <w:rPr>
          <w:iCs/>
          <w:i/>
          <w:sz w:val="18"/>
        </w:rPr>
        <w:t xml:space="preserve">TrustMark FAQ</w:t>
      </w:r>
      <w:r>
        <w:rPr>
          <w:sz w:val="18"/>
        </w:rPr>
        <w:t xml:space="preserve">（作为C2PA认可水印方式的定位）. https://opensource.contentauthenticity.org/docs/trustmark/FAQ（相关：第4节）</w:t>
      </w:r>
    </w:p>
    <w:bookmarkEnd w:id="42"/>
    <w:bookmarkStart w:id="43" w:name="基于感知哈希的比对"/>
    <w:p>
      <w:pPr>
        <w:pStyle w:val="Heading3"/>
        <w:spacing w:before="120" w:after="40"/>
      </w:pPr>
      <w:r>
        <w:t xml:space="preserve">基于感知哈希的比对</w:t>
      </w:r>
    </w:p>
    <w:p>
      <w:pPr>
        <w:pStyle w:val="FirstParagraph"/>
        <w:spacing w:after="40" w:before="0"/>
      </w:pPr>
      <w:r>
        <w:rPr>
          <w:sz w:val="18"/>
        </w:rPr>
        <w:t xml:space="preserve">［12］Meta,</w:t>
      </w:r>
      <w:r>
        <w:rPr>
          <w:sz w:val="18"/>
        </w:rPr>
        <w:t xml:space="preserve"> </w:t>
      </w:r>
      <w:r>
        <w:rPr>
          <w:iCs/>
          <w:i/>
          <w:sz w:val="18"/>
        </w:rPr>
        <w:t xml:space="preserve">The TMK+PDQF Video-Hashing Algorithm and the PDQ Image Similarity Algorithm</w:t>
      </w:r>
      <w:r>
        <w:rPr>
          <w:sz w:val="18"/>
        </w:rPr>
        <w:t xml:space="preserve">（hashing.pdf）. https://github.com/facebook/ThreatExchange/blob/main/hashing/hashing.pdf（相关：第4节、第7节、第12节）</w:t>
      </w:r>
    </w:p>
    <w:p>
      <w:pPr>
        <w:pStyle w:val="BodyText"/>
        <w:spacing w:after="40" w:before="0"/>
      </w:pPr>
      <w:r>
        <w:rPr>
          <w:sz w:val="18"/>
        </w:rPr>
        <w:t xml:space="preserve">［13］</w:t>
      </w:r>
      <w:r>
        <w:rPr>
          <w:iCs/>
          <w:i/>
          <w:sz w:val="18"/>
        </w:rPr>
        <w:t xml:space="preserve">PDQ &amp; TMK+PDQF – A Test Drive of Facebook’s Perceptual Hashing Algorithms</w:t>
      </w:r>
      <w:r>
        <w:rPr>
          <w:sz w:val="18"/>
        </w:rPr>
        <w:t xml:space="preserve">, arXiv:1912.07745. https://arxiv.org/abs/1912.07745（相关：第4节、第12节）</w:t>
      </w:r>
    </w:p>
    <w:bookmarkEnd w:id="43"/>
    <w:bookmarkStart w:id="44" w:name="实现及验证"/>
    <w:p>
      <w:pPr>
        <w:pStyle w:val="Heading3"/>
        <w:spacing w:before="120" w:after="40"/>
      </w:pPr>
      <w:r>
        <w:t xml:space="preserve">实现及验证</w:t>
      </w:r>
    </w:p>
    <w:p>
      <w:pPr>
        <w:pStyle w:val="FirstParagraph"/>
        <w:spacing w:after="40" w:before="0"/>
      </w:pPr>
      <w:r>
        <w:rPr>
          <w:sz w:val="18"/>
        </w:rPr>
        <w:t xml:space="preserve">［14］Content Authenticity Initiative, c2pa-python. https://github.com/contentauth/c2pa-python（相关：第6节）</w:t>
      </w:r>
    </w:p>
    <w:p>
      <w:pPr>
        <w:pStyle w:val="BodyText"/>
        <w:spacing w:after="40" w:before="0"/>
      </w:pPr>
      <w:r>
        <w:rPr>
          <w:sz w:val="18"/>
        </w:rPr>
        <w:t xml:space="preserve">［15］Content Authenticity Initiative，Content Credentials验证网站. https://verify.contentauthenticity.org（相关：第4节）</w:t>
      </w:r>
    </w:p>
    <w:bookmarkEnd w:id="44"/>
    <w:bookmarkStart w:id="45" w:name="法律及制度"/>
    <w:p>
      <w:pPr>
        <w:pStyle w:val="Heading3"/>
        <w:spacing w:before="120" w:after="40"/>
      </w:pPr>
      <w:r>
        <w:t xml:space="preserve">法律及制度</w:t>
      </w:r>
    </w:p>
    <w:p>
      <w:pPr>
        <w:pStyle w:val="FirstParagraph"/>
        <w:spacing w:after="40" w:before="0"/>
      </w:pPr>
      <w:r>
        <w:rPr>
          <w:sz w:val="18"/>
        </w:rPr>
        <w:t xml:space="preserve">［16］《中华人民共和国著作权法》（2020年修正）第十二条（作品登记）、第五十一条（权利管理信息）、第五十四条（损害赔偿）. WIPO Lex: https://www.wipo.int/wipolex/zh/legislation/details/21065（相关：第2节、第8节）</w:t>
      </w:r>
    </w:p>
    <w:p>
      <w:pPr>
        <w:pStyle w:val="BodyText"/>
        <w:spacing w:after="40" w:before="0"/>
      </w:pPr>
      <w:r>
        <w:rPr>
          <w:sz w:val="18"/>
        </w:rPr>
        <w:t xml:space="preserve">［17］《中华人民共和国民法典》第一千零一十八条、第一千零一十九条（肖像权）.（相关：第8节）</w:t>
      </w:r>
    </w:p>
    <w:p>
      <w:pPr>
        <w:pStyle w:val="BodyText"/>
        <w:spacing w:after="40" w:before="0"/>
      </w:pPr>
      <w:r>
        <w:rPr>
          <w:sz w:val="18"/>
        </w:rPr>
        <w:t xml:space="preserve">［18］《最高人民法院关于互联网法院审理案件若干问题的规定》（法释〔2018〕16号）第十一条. https://www.court.gov.cn/fabu/xiangqing/116981.html（相关：第7节）</w:t>
      </w:r>
    </w:p>
    <w:p>
      <w:pPr>
        <w:pStyle w:val="BodyText"/>
        <w:spacing w:after="40" w:before="0"/>
      </w:pPr>
      <w:r>
        <w:rPr>
          <w:sz w:val="18"/>
        </w:rPr>
        <w:t xml:space="preserve">［19］17 U.S.C. §1202（著作权管理信息的完整性）、§1203（民事救济）. https://www.law.cornell.edu/uscode/text/17/1202 、https://www.law.cornell.edu/uscode/text/17/1203（相关：第2节、第8节）</w:t>
      </w:r>
    </w:p>
    <w:p>
      <w:pPr>
        <w:pStyle w:val="BodyText"/>
        <w:spacing w:after="40" w:before="0"/>
      </w:pPr>
      <w:r>
        <w:rPr>
          <w:sz w:val="18"/>
        </w:rPr>
        <w:t xml:space="preserve">［20］日本《著作权法》（昭和45年法律第48号）第2条第1款第21项（权利管理信息）、第113条（视为侵权的行为）. https://laws.e-gov.go.jp/law/345AC0000000048（相关：第2节、第8节）</w:t>
      </w:r>
    </w:p>
    <w:p>
      <w:pPr>
        <w:pStyle w:val="BodyText"/>
        <w:spacing w:after="40" w:before="0"/>
      </w:pPr>
      <w:r>
        <w:rPr>
          <w:sz w:val="18"/>
        </w:rPr>
        <w:t xml:space="preserve">［21］中国版权保护中心（作品登记）. https://www.ccopyright.com.cn（相关：第8节）</w:t>
      </w:r>
    </w:p>
    <w:p>
      <w:pPr>
        <w:pStyle w:val="BodyText"/>
        <w:spacing w:after="40" w:before="0"/>
      </w:pPr>
      <w:r>
        <w:rPr>
          <w:sz w:val="18"/>
        </w:rPr>
        <w:t xml:space="preserve">［22］工业和信息化部ICP/IP地址/域名信息备案管理系统. https://beian.miit.gov.cn（相关：第7节）</w:t>
      </w:r>
    </w:p>
    <w:p>
      <w:pPr>
        <w:pStyle w:val="BodyText"/>
        <w:spacing w:after="40" w:before="0"/>
      </w:pPr>
      <w:r>
        <w:rPr>
          <w:sz w:val="18"/>
        </w:rPr>
        <w:t xml:space="preserve">［23］ICANN Lookup（RDAP/WHOIS）. https://lookup.icann.org（相关：第7节）</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Cosplay照片防盗图工具 企划草案</dc:title>
  <dc:creator/>
  <cp:keywords/>
  <dcterms:created xsi:type="dcterms:W3CDTF">2026-09-23T21:31:25Z</dcterms:created>
  <dcterms:modified xsi:type="dcterms:W3CDTF">2026-09-23T21:31:25Z</dcterms:modified>
</cp:coreProperties>
</file>

<file path=docProps/custom.xml><?xml version="1.0" encoding="utf-8"?>
<Properties xmlns="http://schemas.openxmlformats.org/officeDocument/2006/custom-properties" xmlns:vt="http://schemas.openxmlformats.org/officeDocument/2006/docPropsVTypes"/>
</file>