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jc w:val="center"/>
      </w:pPr>
      <w:r>
        <w:rPr>
          <w:rFonts w:ascii="Microsoft YaHei" w:cs="Microsoft YaHei" w:eastAsia="Microsoft YaHei" w:hAnsi="Microsoft YaHei"/>
          <w:color w:val="404040"/>
          <w:sz w:val="26"/>
          <w:szCs w:val="26"/>
        </w:rPr>
        <w:t xml:space="preserve">Cosplay照片防盗图工具</w:t>
      </w:r>
    </w:p>
    <w:p>
      <w:pPr>
        <w:spacing w:after="300"/>
        <w:jc w:val="center"/>
      </w:pPr>
      <w:r>
        <w:rPr>
          <w:rFonts w:ascii="Microsoft YaHei" w:cs="Microsoft YaHei" w:eastAsia="Microsoft YaHei" w:hAnsi="Microsoft YaHei"/>
          <w:b/>
          <w:bCs/>
          <w:color w:val="345A8A"/>
          <w:sz w:val="40"/>
          <w:szCs w:val="40"/>
        </w:rPr>
        <w:t xml:space="preserve">基本设计书 第6章 登记与证据保全</w:t>
      </w:r>
    </w:p>
    <w:p>
      <w:pPr>
        <w:spacing w:after="1600"/>
        <w:jc w:val="center"/>
      </w:pPr>
      <w:r>
        <w:rPr>
          <w:rFonts w:ascii="Microsoft YaHei" w:cs="Microsoft YaHei" w:eastAsia="Microsoft YaHei" w:hAnsi="Microsoft YaHei"/>
          <w:sz w:val="24"/>
          <w:szCs w:val="24"/>
        </w:rPr>
        <w:t xml:space="preserve">第1版（草案）　2026-09-29 · 石川宗</w:t>
      </w:r>
    </w:p>
    <w:p>
      <w:pPr>
        <w:spacing w:after="120"/>
        <w:jc w:val="center"/>
      </w:pPr>
      <w:r>
        <w:rPr>
          <w:rFonts w:ascii="Microsoft YaHei" w:cs="Microsoft YaHei" w:eastAsia="Microsoft YaHei" w:hAnsi="Microsoft YaHei"/>
          <w:sz w:val="24"/>
          <w:szCs w:val="24"/>
        </w:rPr>
        <w:t xml:space="preserve">株式会社流山ソフトウェア開発（NRSD）</w:t>
      </w:r>
    </w:p>
    <w:p>
      <w:pPr>
        <w:spacing w:before="2400" w:line="300"/>
      </w:pPr>
      <w:r>
        <w:rPr>
          <w:rFonts w:ascii="Microsoft YaHei" w:cs="Microsoft YaHei" w:eastAsia="Microsoft YaHei" w:hAnsi="Microsoft YaHei"/>
          <w:color w:val="404040"/>
          <w:sz w:val="18"/>
          <w:szCs w:val="18"/>
        </w:rPr>
        <w:t xml:space="preserve">© 2026 株式会社流山ソフトウェア開発（NRSD）负责开发者　石川宗　本文件的著作权归株式会社流山ソフトウェア開発（NRSD）所有。本文件所引用的第三方标准、软件、法令解说等的权利归各权利人所有。本文件为日文原文的译本，如有不一致，以日文原文为准。</w:t>
      </w:r>
    </w:p>
    <w:p>
      <w:pPr>
        <w:pageBreakBefore/>
        <w:spacing w:after="240"/>
      </w:pPr>
      <w:r>
        <w:rPr>
          <w:rFonts w:ascii="Microsoft YaHei" w:cs="Microsoft YaHei" w:eastAsia="Microsoft YaHei" w:hAnsi="Microsoft YaHei"/>
          <w:b/>
          <w:bCs/>
          <w:color w:val="345A8A"/>
          <w:sz w:val="30"/>
          <w:szCs w:val="30"/>
        </w:rPr>
        <w:t xml:space="preserve">目录</w:t>
      </w:r>
    </w:p>
    <w:p>
      <w:pPr>
        <w:spacing w:after="40" w:before="40"/>
        <w:ind w:left="240"/>
      </w:pPr>
      <w:r>
        <w:rPr>
          <w:rFonts w:ascii="Microsoft YaHei" w:cs="Microsoft YaHei" w:eastAsia="Microsoft YaHei" w:hAnsi="Microsoft YaHei"/>
          <w:sz w:val="22"/>
          <w:szCs w:val="22"/>
        </w:rPr>
        <w:t xml:space="preserve">本文件的定位</w:t>
      </w:r>
    </w:p>
    <w:p>
      <w:pPr>
        <w:spacing w:after="40" w:before="40"/>
        <w:ind w:left="240"/>
      </w:pPr>
      <w:r>
        <w:rPr>
          <w:rFonts w:ascii="Microsoft YaHei" w:cs="Microsoft YaHei" w:eastAsia="Microsoft YaHei" w:hAnsi="Microsoft YaHei"/>
          <w:sz w:val="22"/>
          <w:szCs w:val="22"/>
        </w:rPr>
        <w:t xml:space="preserve">1. 设计决定的一览</w:t>
      </w:r>
    </w:p>
    <w:p>
      <w:pPr>
        <w:spacing w:after="40" w:before="40"/>
        <w:ind w:left="240"/>
      </w:pPr>
      <w:r>
        <w:rPr>
          <w:rFonts w:ascii="Microsoft YaHei" w:cs="Microsoft YaHei" w:eastAsia="Microsoft YaHei" w:hAnsi="Microsoft YaHei"/>
          <w:sz w:val="22"/>
          <w:szCs w:val="22"/>
        </w:rPr>
        <w:t xml:space="preserve">2. 登记</w:t>
      </w:r>
    </w:p>
    <w:p>
      <w:pPr>
        <w:spacing w:after="40" w:before="40"/>
        <w:ind w:left="240"/>
      </w:pPr>
      <w:r>
        <w:rPr>
          <w:rFonts w:ascii="Microsoft YaHei" w:cs="Microsoft YaHei" w:eastAsia="Microsoft YaHei" w:hAnsi="Microsoft YaHei"/>
          <w:sz w:val="22"/>
          <w:szCs w:val="22"/>
        </w:rPr>
        <w:t xml:space="preserve">3. 证据的保全</w:t>
      </w:r>
    </w:p>
    <w:p>
      <w:pPr>
        <w:spacing w:after="40" w:before="40"/>
        <w:ind w:left="240"/>
      </w:pPr>
      <w:r>
        <w:rPr>
          <w:rFonts w:ascii="Microsoft YaHei" w:cs="Microsoft YaHei" w:eastAsia="Microsoft YaHei" w:hAnsi="Microsoft YaHei"/>
          <w:sz w:val="22"/>
          <w:szCs w:val="22"/>
        </w:rPr>
        <w:t xml:space="preserve">4. 比对</w:t>
      </w:r>
    </w:p>
    <w:p>
      <w:pPr>
        <w:spacing w:after="40" w:before="40"/>
        <w:ind w:left="240"/>
      </w:pPr>
      <w:r>
        <w:rPr>
          <w:rFonts w:ascii="Microsoft YaHei" w:cs="Microsoft YaHei" w:eastAsia="Microsoft YaHei" w:hAnsi="Microsoft YaHei"/>
          <w:sz w:val="22"/>
          <w:szCs w:val="22"/>
        </w:rPr>
        <w:t xml:space="preserve">5. 谁、在何处（④）</w:t>
      </w:r>
    </w:p>
    <w:p>
      <w:pPr>
        <w:spacing w:after="40" w:before="40"/>
        <w:ind w:left="240"/>
      </w:pPr>
      <w:r>
        <w:rPr>
          <w:rFonts w:ascii="Microsoft YaHei" w:cs="Microsoft YaHei" w:eastAsia="Microsoft YaHei" w:hAnsi="Microsoft YaHei"/>
          <w:sz w:val="22"/>
          <w:szCs w:val="22"/>
        </w:rPr>
        <w:t xml:space="preserve">6. 状况确认</w:t>
      </w:r>
    </w:p>
    <w:p>
      <w:pPr>
        <w:spacing w:after="40" w:before="40"/>
        <w:ind w:left="240"/>
      </w:pPr>
      <w:r>
        <w:rPr>
          <w:rFonts w:ascii="Microsoft YaHei" w:cs="Microsoft YaHei" w:eastAsia="Microsoft YaHei" w:hAnsi="Microsoft YaHei"/>
          <w:sz w:val="22"/>
          <w:szCs w:val="22"/>
        </w:rPr>
        <w:t xml:space="preserve">7. 订正</w:t>
      </w:r>
    </w:p>
    <w:p>
      <w:pPr>
        <w:spacing w:after="40" w:before="40"/>
        <w:ind w:left="240"/>
      </w:pPr>
      <w:r>
        <w:rPr>
          <w:rFonts w:ascii="Microsoft YaHei" w:cs="Microsoft YaHei" w:eastAsia="Microsoft YaHei" w:hAnsi="Microsoft YaHei"/>
          <w:sz w:val="22"/>
          <w:szCs w:val="22"/>
        </w:rPr>
        <w:t xml:space="preserve">8. 一览与手段</w:t>
      </w:r>
    </w:p>
    <w:p>
      <w:pPr>
        <w:spacing w:after="40" w:before="40"/>
        <w:ind w:left="240"/>
      </w:pPr>
      <w:r>
        <w:rPr>
          <w:rFonts w:ascii="Microsoft YaHei" w:cs="Microsoft YaHei" w:eastAsia="Microsoft YaHei" w:hAnsi="Microsoft YaHei"/>
          <w:sz w:val="22"/>
          <w:szCs w:val="22"/>
        </w:rPr>
        <w:t xml:space="preserve">9. 与要求的对应</w:t>
      </w:r>
    </w:p>
    <w:p>
      <w:pPr>
        <w:spacing w:after="40" w:before="40"/>
        <w:ind w:left="240"/>
      </w:pPr>
      <w:r>
        <w:rPr>
          <w:rFonts w:ascii="Microsoft YaHei" w:cs="Microsoft YaHei" w:eastAsia="Microsoft YaHei" w:hAnsi="Microsoft YaHei"/>
          <w:sz w:val="22"/>
          <w:szCs w:val="22"/>
        </w:rPr>
        <w:t xml:space="preserve">10. 本章声明的缺口</w:t>
      </w:r>
    </w:p>
    <w:p>
      <w:pPr>
        <w:spacing w:after="40" w:before="40"/>
        <w:ind w:left="240"/>
      </w:pPr>
      <w:r>
        <w:rPr>
          <w:rFonts w:ascii="Microsoft YaHei" w:cs="Microsoft YaHei" w:eastAsia="Microsoft YaHei" w:hAnsi="Microsoft YaHei"/>
          <w:sz w:val="22"/>
          <w:szCs w:val="22"/>
        </w:rPr>
        <w:t xml:space="preserve">11. 对概要设计书的订正</w:t>
      </w:r>
    </w:p>
    <w:p>
      <w:r>
        <w:br w:type="page"/>
      </w:r>
    </w:p>
    <w:p>
      <w:pPr>
        <w:pStyle w:val="Heading1"/>
      </w:pPr>
      <w:r>
        <w:rPr>
          <w:rFonts w:ascii="Microsoft YaHei" w:eastAsia="Microsoft YaHei" w:hAnsi="Microsoft YaHei"/>
        </w:rPr>
        <w:t xml:space="preserve">本文件的定位</w:t>
      </w:r>
    </w:p>
    <w:p>
      <w:pPr>
        <w:pStyle w:val="ListParagraph"/>
        <w:keepNext/>
        <w:keepLines/>
        <w:numPr>
          <w:ilvl w:val="0"/>
          <w:numId w:val="2"/>
        </w:numPr>
        <w:spacing w:after="20" w:before="20" w:line="300"/>
      </w:pPr>
      <w:r>
        <w:rPr>
          <w:rFonts w:ascii="Microsoft YaHei" w:eastAsia="Microsoft YaHei" w:hAnsi="Microsoft YaHei"/>
        </w:rPr>
        <w:t xml:space="preserve">细化概要设计书第6章。在容量、保存位置上与第8章“仓库与数据管理”往返（第6章与第8章互相依赖）。</w:t>
      </w:r>
    </w:p>
    <w:p>
      <w:pPr>
        <w:pStyle w:val="ListParagraph"/>
        <w:keepNext w:val="false"/>
        <w:keepLines/>
        <w:numPr>
          <w:ilvl w:val="0"/>
          <w:numId w:val="2"/>
        </w:numPr>
        <w:spacing w:after="20" w:before="20" w:line="300"/>
      </w:pPr>
      <w:r>
        <w:rPr>
          <w:rFonts w:ascii="Microsoft YaHei" w:eastAsia="Microsoft YaHei" w:hAnsi="Microsoft YaHei"/>
        </w:rPr>
        <w:t xml:space="preserve">承接的决定如下表（设计计划书第2版的决定、待调查、未决，以及项目划分中发现的遗漏）。</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86"/>
        <w:gridCol w:w="1448"/>
        <w:gridCol w:w="7104"/>
      </w:tblGrid>
      <w:tr>
        <w:trPr>
          <w:cantSplit/>
          <w:tblHeader/>
        </w:trPr>
        <w:tc>
          <w:tcPr>
            <w:tcW w:type="dxa" w:w="1086"/>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编号</w:t>
            </w:r>
          </w:p>
        </w:tc>
        <w:tc>
          <w:tcPr>
            <w:tcW w:type="dxa" w:w="1448"/>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种类</w:t>
            </w:r>
          </w:p>
        </w:tc>
        <w:tc>
          <w:tcPr>
            <w:tcW w:type="dxa" w:w="7104"/>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内容</w:t>
            </w:r>
          </w:p>
        </w:tc>
      </w:tr>
      <w:tr>
        <w:trPr>
          <w:cantSplit/>
          <w:tblHeader w:val="off"/>
        </w:trPr>
        <w:tc>
          <w:tcPr>
            <w:tcW w:type="dxa" w:w="108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D-9-2</w:t>
            </w:r>
          </w:p>
        </w:tc>
        <w:tc>
          <w:tcPr>
            <w:tcW w:type="dxa" w:w="144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决定</w:t>
            </w:r>
          </w:p>
        </w:tc>
        <w:tc>
          <w:tcPr>
            <w:tcW w:type="dxa" w:w="710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以销售时选择的许可范围，作为判断转载抵触了什么的基准</w:t>
            </w:r>
          </w:p>
        </w:tc>
      </w:tr>
      <w:tr>
        <w:trPr>
          <w:cantSplit/>
          <w:tblHeader w:val="off"/>
        </w:trPr>
        <w:tc>
          <w:tcPr>
            <w:tcW w:type="dxa" w:w="108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D-10-1</w:t>
            </w:r>
          </w:p>
        </w:tc>
        <w:tc>
          <w:tcPr>
            <w:tcW w:type="dxa" w:w="144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决定</w:t>
            </w:r>
          </w:p>
        </w:tc>
        <w:tc>
          <w:tcPr>
            <w:tcW w:type="dxa" w:w="710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使用者本人对转载的登记，包含在本文件的范围之内</w:t>
            </w:r>
          </w:p>
        </w:tc>
      </w:tr>
      <w:tr>
        <w:trPr>
          <w:cantSplit/>
          <w:tblHeader w:val="off"/>
        </w:trPr>
        <w:tc>
          <w:tcPr>
            <w:tcW w:type="dxa" w:w="108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D-10-2</w:t>
            </w:r>
          </w:p>
        </w:tc>
        <w:tc>
          <w:tcPr>
            <w:tcW w:type="dxa" w:w="144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决定</w:t>
            </w:r>
          </w:p>
        </w:tc>
        <w:tc>
          <w:tcPr>
            <w:tcW w:type="dxa" w:w="710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登记通过客户端应用一键进行，同时保全证据</w:t>
            </w:r>
          </w:p>
        </w:tc>
      </w:tr>
      <w:tr>
        <w:trPr>
          <w:cantSplit/>
          <w:tblHeader w:val="off"/>
        </w:trPr>
        <w:tc>
          <w:tcPr>
            <w:tcW w:type="dxa" w:w="108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D-10-3</w:t>
            </w:r>
          </w:p>
        </w:tc>
        <w:tc>
          <w:tcPr>
            <w:tcW w:type="dxa" w:w="144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决定</w:t>
            </w:r>
          </w:p>
        </w:tc>
        <w:tc>
          <w:tcPr>
            <w:tcW w:type="dxa" w:w="710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需要登录的页面，由使用者本人登录后取得</w:t>
            </w:r>
          </w:p>
        </w:tc>
      </w:tr>
      <w:tr>
        <w:trPr>
          <w:cantSplit/>
          <w:tblHeader w:val="off"/>
        </w:trPr>
        <w:tc>
          <w:tcPr>
            <w:tcW w:type="dxa" w:w="108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D-10-4</w:t>
            </w:r>
          </w:p>
        </w:tc>
        <w:tc>
          <w:tcPr>
            <w:tcW w:type="dxa" w:w="144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决定</w:t>
            </w:r>
          </w:p>
        </w:tc>
        <w:tc>
          <w:tcPr>
            <w:tcW w:type="dxa" w:w="710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设置提示应保留证据的输入栏</w:t>
            </w:r>
          </w:p>
        </w:tc>
      </w:tr>
      <w:tr>
        <w:trPr>
          <w:cantSplit/>
          <w:tblHeader w:val="off"/>
        </w:trPr>
        <w:tc>
          <w:tcPr>
            <w:tcW w:type="dxa" w:w="108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D-10-5</w:t>
            </w:r>
          </w:p>
        </w:tc>
        <w:tc>
          <w:tcPr>
            <w:tcW w:type="dxa" w:w="144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决定</w:t>
            </w:r>
          </w:p>
        </w:tc>
        <w:tc>
          <w:tcPr>
            <w:tcW w:type="dxa" w:w="710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取得的具体项目由设计书决定</w:t>
            </w:r>
          </w:p>
        </w:tc>
      </w:tr>
      <w:tr>
        <w:trPr>
          <w:cantSplit/>
          <w:tblHeader w:val="off"/>
        </w:trPr>
        <w:tc>
          <w:tcPr>
            <w:tcW w:type="dxa" w:w="108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D-10-6</w:t>
            </w:r>
          </w:p>
        </w:tc>
        <w:tc>
          <w:tcPr>
            <w:tcW w:type="dxa" w:w="144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决定</w:t>
            </w:r>
          </w:p>
        </w:tc>
        <w:tc>
          <w:tcPr>
            <w:tcW w:type="dxa" w:w="710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比对的判断及登记的责任，由进行登记的使用者本人承担</w:t>
            </w:r>
          </w:p>
        </w:tc>
      </w:tr>
      <w:tr>
        <w:trPr>
          <w:cantSplit/>
          <w:tblHeader w:val="off"/>
        </w:trPr>
        <w:tc>
          <w:tcPr>
            <w:tcW w:type="dxa" w:w="108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D-10-7</w:t>
            </w:r>
          </w:p>
        </w:tc>
        <w:tc>
          <w:tcPr>
            <w:tcW w:type="dxa" w:w="144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决定</w:t>
            </w:r>
          </w:p>
        </w:tc>
        <w:tc>
          <w:tcPr>
            <w:tcW w:type="dxa" w:w="710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证据保存在使用者的终端，不予公开。本系统不收集证据</w:t>
            </w:r>
          </w:p>
        </w:tc>
      </w:tr>
      <w:tr>
        <w:trPr>
          <w:cantSplit/>
          <w:tblHeader w:val="off"/>
        </w:trPr>
        <w:tc>
          <w:tcPr>
            <w:tcW w:type="dxa" w:w="108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D-10-8</w:t>
            </w:r>
          </w:p>
        </w:tc>
        <w:tc>
          <w:tcPr>
            <w:tcW w:type="dxa" w:w="144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决定</w:t>
            </w:r>
          </w:p>
        </w:tc>
        <w:tc>
          <w:tcPr>
            <w:tcW w:type="dxa" w:w="710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能够在客户端应用中随时查看已登记转载的状况</w:t>
            </w:r>
          </w:p>
        </w:tc>
      </w:tr>
      <w:tr>
        <w:trPr>
          <w:cantSplit/>
          <w:tblHeader w:val="off"/>
        </w:trPr>
        <w:tc>
          <w:tcPr>
            <w:tcW w:type="dxa" w:w="108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D-10-9</w:t>
            </w:r>
          </w:p>
        </w:tc>
        <w:tc>
          <w:tcPr>
            <w:tcW w:type="dxa" w:w="144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决定</w:t>
            </w:r>
          </w:p>
        </w:tc>
        <w:tc>
          <w:tcPr>
            <w:tcW w:type="dxa" w:w="710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已登记转载的信息在使用者的终端汇总为一览，并提示可采取手段的选项。不在使用者之间共享（在第二阶段中处理）</w:t>
            </w:r>
          </w:p>
        </w:tc>
      </w:tr>
      <w:tr>
        <w:trPr>
          <w:cantSplit/>
          <w:tblHeader w:val="off"/>
        </w:trPr>
        <w:tc>
          <w:tcPr>
            <w:tcW w:type="dxa" w:w="108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D-13-2</w:t>
            </w:r>
          </w:p>
        </w:tc>
        <w:tc>
          <w:tcPr>
            <w:tcW w:type="dxa" w:w="144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决定</w:t>
            </w:r>
          </w:p>
        </w:tc>
        <w:tc>
          <w:tcPr>
            <w:tcW w:type="dxa" w:w="710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登记机制应设计为留有日后接受来自自动检测的登记的余地</w:t>
            </w:r>
          </w:p>
        </w:tc>
      </w:tr>
      <w:tr>
        <w:trPr>
          <w:cantSplit/>
          <w:tblHeader w:val="off"/>
        </w:trPr>
        <w:tc>
          <w:tcPr>
            <w:tcW w:type="dxa" w:w="108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D-9-7</w:t>
            </w:r>
          </w:p>
        </w:tc>
        <w:tc>
          <w:tcPr>
            <w:tcW w:type="dxa" w:w="144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决定</w:t>
            </w:r>
          </w:p>
        </w:tc>
        <w:tc>
          <w:tcPr>
            <w:tcW w:type="dxa" w:w="710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服务器的所在按通过调查可以查明处理，无法查明时放弃</w:t>
            </w:r>
          </w:p>
        </w:tc>
      </w:tr>
      <w:tr>
        <w:trPr>
          <w:cantSplit/>
          <w:tblHeader w:val="off"/>
        </w:trPr>
        <w:tc>
          <w:tcPr>
            <w:tcW w:type="dxa" w:w="108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O-06</w:t>
            </w:r>
          </w:p>
        </w:tc>
        <w:tc>
          <w:tcPr>
            <w:tcW w:type="dxa" w:w="144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在第2版中删除</w:t>
            </w:r>
          </w:p>
        </w:tc>
        <w:tc>
          <w:tcPr>
            <w:tcW w:type="dxa" w:w="710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转载网站信息的共享（不在使用者之间共享。D-10-9“已登记转载的信息在使用者的终端汇总为一览，并提示可采取手段的选项。不在使用者之间共享（在第二阶段中处理）”）</w:t>
            </w:r>
          </w:p>
        </w:tc>
      </w:tr>
      <w:tr>
        <w:trPr>
          <w:cantSplit/>
          <w:tblHeader w:val="off"/>
        </w:trPr>
        <w:tc>
          <w:tcPr>
            <w:tcW w:type="dxa" w:w="108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A-4</w:t>
            </w:r>
          </w:p>
        </w:tc>
        <w:tc>
          <w:tcPr>
            <w:tcW w:type="dxa" w:w="144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项目划分中发现的遗漏</w:t>
            </w:r>
          </w:p>
        </w:tc>
        <w:tc>
          <w:tcPr>
            <w:tcW w:type="dxa" w:w="710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错误登记的订正，以及被冒充的真正权利人的救济</w:t>
            </w:r>
          </w:p>
        </w:tc>
      </w:tr>
      <w:tr>
        <w:trPr>
          <w:cantSplit/>
          <w:tblHeader w:val="off"/>
        </w:trPr>
        <w:tc>
          <w:tcPr>
            <w:tcW w:type="dxa" w:w="108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A-5</w:t>
            </w:r>
          </w:p>
        </w:tc>
        <w:tc>
          <w:tcPr>
            <w:tcW w:type="dxa" w:w="144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项目划分中发现的遗漏</w:t>
            </w:r>
          </w:p>
        </w:tc>
        <w:tc>
          <w:tcPr>
            <w:tcW w:type="dxa" w:w="710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状况确认的内容（若自动访问URL，会触及与第二阶段的边界）</w:t>
            </w:r>
          </w:p>
        </w:tc>
      </w:tr>
      <w:tr>
        <w:trPr>
          <w:cantSplit/>
          <w:tblHeader w:val="off"/>
        </w:trPr>
        <w:tc>
          <w:tcPr>
            <w:tcW w:type="dxa" w:w="108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A-20</w:t>
            </w:r>
          </w:p>
        </w:tc>
        <w:tc>
          <w:tcPr>
            <w:tcW w:type="dxa" w:w="144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项目划分中发现的遗漏</w:t>
            </w:r>
          </w:p>
        </w:tc>
        <w:tc>
          <w:tcPr>
            <w:tcW w:type="dxa" w:w="710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获取转载页面时的安全</w:t>
            </w:r>
          </w:p>
        </w:tc>
      </w:tr>
    </w:tbl>
    <w:p>
      <w:pPr>
        <w:spacing w:after="100" w:before="0"/>
      </w:pPr>
    </w:p>
    <w:p>
      <w:pPr>
        <w:pStyle w:val="ListParagraph"/>
        <w:keepNext w:val="false"/>
        <w:keepLines/>
        <w:numPr>
          <w:ilvl w:val="0"/>
          <w:numId w:val="2"/>
        </w:numPr>
        <w:spacing w:after="20" w:before="20" w:line="300"/>
      </w:pPr>
      <w:r>
        <w:rPr>
          <w:rFonts w:ascii="Microsoft YaHei" w:eastAsia="Microsoft YaHei" w:hAnsi="Microsoft YaHei"/>
        </w:rPr>
        <w:t xml:space="preserve">参照的内容如下表。</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501"/>
        <w:gridCol w:w="3137"/>
      </w:tblGrid>
      <w:tr>
        <w:trPr>
          <w:cantSplit/>
          <w:tblHeader/>
        </w:trPr>
        <w:tc>
          <w:tcPr>
            <w:tcW w:type="dxa" w:w="6501"/>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参照对象</w:t>
            </w:r>
          </w:p>
        </w:tc>
        <w:tc>
          <w:tcPr>
            <w:tcW w:type="dxa" w:w="3137"/>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参照的事项</w:t>
            </w:r>
          </w:p>
        </w:tc>
      </w:tr>
      <w:tr>
        <w:trPr>
          <w:cantSplit/>
          <w:tblHeader w:val="off"/>
        </w:trPr>
        <w:tc>
          <w:tcPr>
            <w:tcW w:type="dxa" w:w="650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第1章“整体结构”</w:t>
            </w:r>
          </w:p>
        </w:tc>
        <w:tc>
          <w:tcPr>
            <w:tcW w:type="dxa" w:w="313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案件的编号、信任的边界、威胁（把真正权利人的发布作为转载申诉、在获取转载页面时接触恶意代码）</w:t>
            </w:r>
          </w:p>
        </w:tc>
      </w:tr>
      <w:tr>
        <w:trPr>
          <w:cantSplit/>
          <w:tblHeader w:val="off"/>
        </w:trPr>
        <w:tc>
          <w:tcPr>
            <w:tcW w:type="dxa" w:w="650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第2章“签名信息与比对”</w:t>
            </w:r>
          </w:p>
        </w:tc>
        <w:tc>
          <w:tcPr>
            <w:tcW w:type="dxa" w:w="313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比对的线索</w:t>
            </w:r>
          </w:p>
        </w:tc>
      </w:tr>
      <w:tr>
        <w:trPr>
          <w:cantSplit/>
          <w:tblHeader w:val="off"/>
        </w:trPr>
        <w:tc>
          <w:tcPr>
            <w:tcW w:type="dxa" w:w="650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第3章“签名处理”</w:t>
            </w:r>
          </w:p>
        </w:tc>
        <w:tc>
          <w:tcPr>
            <w:tcW w:type="dxa" w:w="313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水印、PDQ、作品数据</w:t>
            </w:r>
          </w:p>
        </w:tc>
      </w:tr>
      <w:tr>
        <w:trPr>
          <w:cantSplit/>
          <w:tblHeader w:val="off"/>
        </w:trPr>
        <w:tc>
          <w:tcPr>
            <w:tcW w:type="dxa" w:w="650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第5章“权利文书”</w:t>
            </w:r>
          </w:p>
        </w:tc>
        <w:tc>
          <w:tcPr>
            <w:tcW w:type="dxa" w:w="313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许可范围</w:t>
            </w:r>
          </w:p>
        </w:tc>
      </w:tr>
      <w:tr>
        <w:trPr>
          <w:cantSplit/>
          <w:tblHeader w:val="off"/>
        </w:trPr>
        <w:tc>
          <w:tcPr>
            <w:tcW w:type="dxa" w:w="650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第8章“仓库与数据管理”</w:t>
            </w:r>
          </w:p>
        </w:tc>
        <w:tc>
          <w:tcPr>
            <w:tcW w:type="dxa" w:w="313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终端的数据、导出</w:t>
            </w:r>
          </w:p>
        </w:tc>
      </w:tr>
      <w:tr>
        <w:trPr>
          <w:cantSplit/>
          <w:tblHeader w:val="off"/>
        </w:trPr>
        <w:tc>
          <w:tcPr>
            <w:tcW w:type="dxa" w:w="650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法务调查 L-7“删除申请的程序（日）”至L-9“删除申请的程序（美）”、L-15“可信时间戳作为证据的处理（中）”、L-16“时间戳制度（日）”、L-20“损害赔偿请求的期间（日、中、美）”、L-21“为证据的复制（日、中、美）”</w:t>
            </w:r>
          </w:p>
        </w:tc>
        <w:tc>
          <w:tcPr>
            <w:tcW w:type="dxa" w:w="313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删除申请的程序、可信时间戳的处理、请求的期间、为证据的复制</w:t>
            </w:r>
          </w:p>
        </w:tc>
      </w:tr>
    </w:tbl>
    <w:p>
      <w:pPr>
        <w:spacing w:after="100" w:before="0"/>
      </w:pPr>
    </w:p>
    <w:p>
      <w:pPr>
        <w:pStyle w:val="ListParagraph"/>
        <w:keepNext w:val="false"/>
        <w:keepLines/>
        <w:numPr>
          <w:ilvl w:val="0"/>
          <w:numId w:val="2"/>
        </w:numPr>
        <w:spacing w:after="20" w:before="20" w:line="300"/>
      </w:pPr>
      <w:r>
        <w:rPr>
          <w:rFonts w:ascii="Microsoft YaHei" w:eastAsia="Microsoft YaHei" w:hAnsi="Microsoft YaHei"/>
        </w:rPr>
        <w:t xml:space="preserve">承接的决定依据设计计划书第2版（D-10-7“证据保存在使用者的终端，不予公开。本系统不收集证据”：证据保存在使用者的终端，本系统不收集。D-10-9“已登记转载的信息在使用者的终端汇总为一览，并提示可采取手段的选项。不在使用者之间共享（在第二阶段中处理）”：登记的转载在终端汇总为一览，显示手段的选项，不在使用者之间共享）。</w:t>
      </w:r>
    </w:p>
    <w:p>
      <w:pPr>
        <w:pStyle w:val="Heading1"/>
      </w:pPr>
      <w:r>
        <w:rPr>
          <w:rFonts w:ascii="Microsoft YaHei" w:eastAsia="Microsoft YaHei" w:hAnsi="Microsoft YaHei"/>
        </w:rPr>
        <w:t xml:space="preserve">1. 设计决定的一览</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30"/>
        <w:gridCol w:w="3402"/>
        <w:gridCol w:w="3999"/>
        <w:gridCol w:w="1307"/>
      </w:tblGrid>
      <w:tr>
        <w:trPr>
          <w:cantSplit/>
          <w:tblHeader/>
        </w:trPr>
        <w:tc>
          <w:tcPr>
            <w:tcW w:type="dxa" w:w="93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编号</w:t>
            </w:r>
          </w:p>
        </w:tc>
        <w:tc>
          <w:tcPr>
            <w:tcW w:type="dxa" w:w="3402"/>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决定</w:t>
            </w:r>
          </w:p>
        </w:tc>
        <w:tc>
          <w:tcPr>
            <w:tcW w:type="dxa" w:w="3999"/>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理由</w:t>
            </w:r>
          </w:p>
        </w:tc>
        <w:tc>
          <w:tcPr>
            <w:tcW w:type="dxa" w:w="1307"/>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被否定的方案</w:t>
            </w:r>
          </w:p>
        </w:tc>
      </w:tr>
      <w:tr>
        <w:trPr>
          <w:cantSplit/>
          <w:tblHeader w:val="off"/>
        </w:trPr>
        <w:tc>
          <w:tcPr>
            <w:tcW w:type="dxa" w:w="9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DD-6-1</w:t>
            </w:r>
          </w:p>
        </w:tc>
        <w:tc>
          <w:tcPr>
            <w:tcW w:type="dxa" w:w="340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应用只以“不执行脚本的获取”导入转载页面（原样保存HTTP的应答，不在界面上渲染）。页面外观的记录，由使用者导入在自己的浏览器中截取的屏幕图像</w:t>
            </w:r>
          </w:p>
        </w:tc>
        <w:tc>
          <w:tcPr>
            <w:tcW w:type="dxa" w:w="39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不让终端暴露于恶意网站的脚本、漏洞（T-9“获取转载页面时接触恶意内容”、A-20“获取转载页面时的安全”）。需要登录的页面只能留下本人看到的内容（D-10-3“需要登录的页面，由使用者本人登录后取得”）</w:t>
            </w:r>
          </w:p>
        </w:tc>
        <w:tc>
          <w:tcPr>
            <w:tcW w:type="dxa" w:w="130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在应用中以内置浏览器渲染页面的方案</w:t>
            </w:r>
          </w:p>
        </w:tc>
      </w:tr>
      <w:tr>
        <w:trPr>
          <w:cantSplit/>
          <w:tblHeader w:val="off"/>
        </w:trPr>
        <w:tc>
          <w:tcPr>
            <w:tcW w:type="dxa" w:w="9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DD-6-2</w:t>
            </w:r>
          </w:p>
        </w:tc>
        <w:tc>
          <w:tcPr>
            <w:tcW w:type="dxa" w:w="340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状况确认的更新只通过使用者的操作（“确认当前状态”按钮）进行，应用不定期自动访问URL</w:t>
            </w:r>
          </w:p>
        </w:tc>
        <w:tc>
          <w:tcPr>
            <w:tcW w:type="dxa" w:w="39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定期的自动巡查属于第二阶段（许可违反的自动检测）的领域（A-5“状况确认的内容（若自动访问URL，会触及与第二阶段的边界）”、D-13-1“第二阶段作为另一份设计计划”）</w:t>
            </w:r>
          </w:p>
        </w:tc>
        <w:tc>
          <w:tcPr>
            <w:tcW w:type="dxa" w:w="130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定期确认的方案</w:t>
            </w:r>
          </w:p>
        </w:tc>
      </w:tr>
      <w:tr>
        <w:trPr>
          <w:cantSplit/>
          <w:tblHeader w:val="off"/>
        </w:trPr>
        <w:tc>
          <w:tcPr>
            <w:tcW w:type="dxa" w:w="9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DD-6-3</w:t>
            </w:r>
          </w:p>
        </w:tc>
        <w:tc>
          <w:tcPr>
            <w:tcW w:type="dxa" w:w="340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对证据包（获取物的哈希一览）附加RFC 3161的可信时间戳。默认为免费的TSA，使用者选择时也可附加日本的认定事业者、中国的可信时间戳（收费）</w:t>
            </w:r>
          </w:p>
        </w:tc>
        <w:tc>
          <w:tcPr>
            <w:tcW w:type="dxa" w:w="39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企划草案第7节（git的日期时间没有证明力）。在中国的法院，可信时间戳的证据被广泛使用（L-15“可信时间戳作为证据的处理（中）”）</w:t>
            </w:r>
          </w:p>
        </w:tc>
        <w:tc>
          <w:tcPr>
            <w:tcW w:type="dxa" w:w="130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总是使用收费TSA的方案（费用）</w:t>
            </w:r>
          </w:p>
        </w:tc>
      </w:tr>
      <w:tr>
        <w:trPr>
          <w:cantSplit/>
          <w:tblHeader w:val="off"/>
        </w:trPr>
        <w:tc>
          <w:tcPr>
            <w:tcW w:type="dxa" w:w="9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DD-6-4</w:t>
            </w:r>
          </w:p>
        </w:tc>
        <w:tc>
          <w:tcPr>
            <w:tcW w:type="dxa" w:w="340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登记的转载在终端中汇总为一览，按转载网站（域名）归并，显示其后的状况与可以采取的手段的选项（第7章“法律应对指引”）。不与其他使用者共享</w:t>
            </w:r>
          </w:p>
        </w:tc>
        <w:tc>
          <w:tcPr>
            <w:tcW w:type="dxa" w:w="39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D-10-9“已登记转载的信息在使用者的终端汇总为一览，并提示可采取手段的选项。不在使用者之间共享（在第二阶段中处理）”。减轻发现者独自追踪去向的负担（设计计划书 10.6“负担的分担”）</w:t>
            </w:r>
          </w:p>
        </w:tc>
        <w:tc>
          <w:tcPr>
            <w:tcW w:type="dxa" w:w="130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在使用者之间共享转载网站的方案（第1版。会变成收集使用者的信息）</w:t>
            </w:r>
          </w:p>
        </w:tc>
      </w:tr>
      <w:tr>
        <w:trPr>
          <w:cantSplit/>
          <w:tblHeader w:val="off"/>
        </w:trPr>
        <w:tc>
          <w:tcPr>
            <w:tcW w:type="dxa" w:w="9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DD-6-5</w:t>
            </w:r>
          </w:p>
        </w:tc>
        <w:tc>
          <w:tcPr>
            <w:tcW w:type="dxa" w:w="340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案件记录只以追加方式处理，订正、撤回也作为新的状况记录追加（撤回案件的证据文件予以删除，撤回的记录保留。7）</w:t>
            </w:r>
          </w:p>
        </w:tc>
        <w:tc>
          <w:tcPr>
            <w:tcW w:type="dxa" w:w="39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防止篡改，能显示经过。为了在事后显示证据处理的链条（Berkeley Protocol第167段），需要不改写而累积记录。以使用者的密钥对记录附加记录电子签名（第1章 DD-1-5“终端的记录附记录电子签名并加以验证”）</w:t>
            </w:r>
          </w:p>
        </w:tc>
        <w:tc>
          <w:tcPr>
            <w:tcW w:type="dxa" w:w="130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覆盖的方案</w:t>
            </w:r>
          </w:p>
        </w:tc>
      </w:tr>
      <w:tr>
        <w:trPr>
          <w:cantSplit/>
          <w:tblHeader w:val="off"/>
        </w:trPr>
        <w:tc>
          <w:tcPr>
            <w:tcW w:type="dxa" w:w="9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DD-6-6</w:t>
            </w:r>
          </w:p>
        </w:tc>
        <w:tc>
          <w:tcPr>
            <w:tcW w:type="dxa" w:w="340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每次登记，在案件记录中留下“收集的记录”（谁、何时、以哪个工具及其版本、以哪个步骤收集，终端时钟的偏差）。形式仿照联合国人权事务高级专员办事处与加利福尼亚大学伯克利分校的Berkeley Protocol附件IV“在线数据收集表”</w:t>
            </w:r>
          </w:p>
        </w:tc>
        <w:tc>
          <w:tcPr>
            <w:tcW w:type="dxa" w:w="39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事后能显示证据的来源与处理的链条（chain of custody）。Berkeley Protocol要求记录收集者、收集的终端、时刻、哈希（第155段、第167段）</w:t>
            </w:r>
          </w:p>
        </w:tc>
        <w:tc>
          <w:tcPr>
            <w:tcW w:type="dxa" w:w="130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不留下收集记录的方案</w:t>
            </w:r>
          </w:p>
        </w:tc>
      </w:tr>
      <w:tr>
        <w:trPr>
          <w:cantSplit/>
          <w:tblHeader w:val="off"/>
        </w:trPr>
        <w:tc>
          <w:tcPr>
            <w:tcW w:type="dxa" w:w="9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DD-6-7</w:t>
            </w:r>
          </w:p>
        </w:tc>
        <w:tc>
          <w:tcPr>
            <w:tcW w:type="dxa" w:w="340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应用获取的页面应答，以Web记录的国际标准WARC（ISO 28500:2017）的形式保存。HTML的源代码放在WARC中</w:t>
            </w:r>
          </w:p>
        </w:tc>
        <w:tc>
          <w:tcPr>
            <w:tcW w:type="dxa" w:w="39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能连同请求与应答的控制信息（头部等）一起保存，是Web保存机构广泛使用的形式，专家能以一般的工具打开</w:t>
            </w:r>
          </w:p>
        </w:tc>
        <w:tc>
          <w:tcPr>
            <w:tcW w:type="dxa" w:w="130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以独自的形式分别保存HTML与头部的方案（第1稿）</w:t>
            </w:r>
          </w:p>
        </w:tc>
      </w:tr>
      <w:tr>
        <w:trPr>
          <w:cantSplit/>
          <w:tblHeader w:val="off"/>
        </w:trPr>
        <w:tc>
          <w:tcPr>
            <w:tcW w:type="dxa" w:w="9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DD-6-8</w:t>
            </w:r>
          </w:p>
        </w:tc>
        <w:tc>
          <w:tcPr>
            <w:tcW w:type="dxa" w:w="340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获取转载页面的请求不自报本系统的名称。请求的头部（User-Agent等）与该终端操作系统默认浏览器的界面组件（WebView）的值一致，所发送的头部全部留在WARC的请求记录中</w:t>
            </w:r>
          </w:p>
        </w:tc>
        <w:tc>
          <w:tcPr>
            <w:tcW w:type="dxa" w:w="39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若从获取的请求让转载者得知正在收集证据，转载可能被删除或改写。Berkeley Protocol（第99段至第102段）列举了隐藏调查者的身份（匿名与不归属的原则）、浏览器信息的泄露可能使对象察觉、改变显示使用者信息的头部（user agent等）。把所发送的头部留在记录中，以便事后显示获取的条件</w:t>
            </w:r>
          </w:p>
        </w:tc>
        <w:tc>
          <w:tcPr>
            <w:tcW w:type="dxa" w:w="130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自报本系统名称与版本的方案（会被转载者察觉）</w:t>
            </w:r>
          </w:p>
        </w:tc>
      </w:tr>
    </w:tbl>
    <w:p>
      <w:pPr>
        <w:spacing w:after="100" w:before="0"/>
      </w:pPr>
    </w:p>
    <w:p>
      <w:pPr>
        <w:pStyle w:val="Heading1"/>
      </w:pPr>
      <w:r>
        <w:rPr>
          <w:rFonts w:ascii="Microsoft YaHei" w:eastAsia="Microsoft YaHei" w:hAnsi="Microsoft YaHei"/>
        </w:rPr>
        <w:t xml:space="preserve">2. 登记</w:t>
      </w:r>
    </w:p>
    <w:p>
      <w:pPr>
        <w:pStyle w:val="Heading2"/>
      </w:pPr>
      <w:r>
        <w:rPr>
          <w:rFonts w:ascii="Microsoft YaHei" w:eastAsia="Microsoft YaHei" w:hAnsi="Microsoft YaHei"/>
        </w:rPr>
        <w:t xml:space="preserve">2.1 步骤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0"/>
        <w:gridCol w:w="3872"/>
        <w:gridCol w:w="5336"/>
      </w:tblGrid>
      <w:tr>
        <w:trPr>
          <w:cantSplit/>
          <w:tblHeader/>
        </w:trPr>
        <w:tc>
          <w:tcPr>
            <w:tcW w:type="dxa" w:w="43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步</w:t>
            </w:r>
          </w:p>
        </w:tc>
        <w:tc>
          <w:tcPr>
            <w:tcW w:type="dxa" w:w="3872"/>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使用者</w:t>
            </w:r>
          </w:p>
        </w:tc>
        <w:tc>
          <w:tcPr>
            <w:tcW w:type="dxa" w:w="5336"/>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应用</w:t>
            </w:r>
          </w:p>
        </w:tc>
      </w:tr>
      <w:tr>
        <w:trPr>
          <w:cantSplit/>
          <w:tblHeader w:val="off"/>
        </w:trPr>
        <w:tc>
          <w:tcPr>
            <w:tcW w:type="dxa" w:w="4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1</w:t>
            </w:r>
          </w:p>
        </w:tc>
        <w:tc>
          <w:tcPr>
            <w:tcW w:type="dxa" w:w="387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按下“登记转载”，粘贴转载页面的URL</w:t>
            </w:r>
          </w:p>
        </w:tc>
        <w:tc>
          <w:tcPr>
            <w:tcW w:type="dxa" w:w="533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规范化URL，判定平台（判定的一览与参考信息中窗口的一览（第7章 2.1“初版窗口的一览（参考信息的初始内容）”）相同。其他为一般网站）。若自己终端的一览中有相同的域名、URL则告知</w:t>
            </w:r>
          </w:p>
        </w:tc>
      </w:tr>
      <w:tr>
        <w:trPr>
          <w:cantSplit/>
          <w:tblHeader w:val="off"/>
        </w:trPr>
        <w:tc>
          <w:tcPr>
            <w:tcW w:type="dxa" w:w="4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2</w:t>
            </w:r>
          </w:p>
        </w:tc>
        <w:tc>
          <w:tcPr>
            <w:tcW w:type="dxa" w:w="387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以在自己的浏览器中保存的文件，或以图片的URL指定被转载的图片（任意）</w:t>
            </w:r>
          </w:p>
        </w:tc>
        <w:tc>
          <w:tcPr>
            <w:tcW w:type="dxa" w:w="533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导入图片，读出水印并计算PDQ，与自己的作品数据比对（4）</w:t>
            </w:r>
          </w:p>
        </w:tc>
      </w:tr>
      <w:tr>
        <w:trPr>
          <w:cantSplit/>
          <w:tblHeader w:val="off"/>
        </w:trPr>
        <w:tc>
          <w:tcPr>
            <w:tcW w:type="dxa" w:w="4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3</w:t>
            </w:r>
          </w:p>
        </w:tc>
        <w:tc>
          <w:tcPr>
            <w:tcW w:type="dxa" w:w="387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在自己的浏览器中截取页面的屏幕，放入其图像（需要登录的页面为必须。其他为推荐）</w:t>
            </w:r>
          </w:p>
        </w:tc>
        <w:tc>
          <w:tcPr>
            <w:tcW w:type="dxa" w:w="533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计算屏幕图像的哈希</w:t>
            </w:r>
          </w:p>
        </w:tc>
      </w:tr>
      <w:tr>
        <w:trPr>
          <w:cantSplit/>
          <w:tblHeader w:val="off"/>
        </w:trPr>
        <w:tc>
          <w:tcPr>
            <w:tcW w:type="dxa" w:w="4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4</w:t>
            </w:r>
          </w:p>
        </w:tc>
        <w:tc>
          <w:tcPr>
            <w:tcW w:type="dxa" w:w="387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（默认进行）取得页面的记录。在输入第1步的URL时，显示“登记的同时取得页面的记录。对方网站能看到此电脑的IP地址”，并设置“此次登记不取得”的选择（默认为取得）</w:t>
            </w:r>
          </w:p>
        </w:tc>
        <w:tc>
          <w:tcPr>
            <w:tcW w:type="dxa" w:w="533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按下第6步时，以不执行脚本的获取（2.2）保存页面的HTML与主要图片（选择“不取得”的情况除外）</w:t>
            </w:r>
          </w:p>
        </w:tc>
      </w:tr>
      <w:tr>
        <w:trPr>
          <w:cantSplit/>
          <w:tblHeader w:val="off"/>
        </w:trPr>
        <w:tc>
          <w:tcPr>
            <w:tcW w:type="dxa" w:w="4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5</w:t>
            </w:r>
          </w:p>
        </w:tc>
        <w:tc>
          <w:tcPr>
            <w:tcW w:type="dxa" w:w="387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（任意）填写应保留证据的输入栏（2.3）</w:t>
            </w:r>
          </w:p>
        </w:tc>
        <w:tc>
          <w:tcPr>
            <w:tcW w:type="dxa" w:w="533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w:t>
            </w:r>
          </w:p>
        </w:tc>
      </w:tr>
      <w:tr>
        <w:trPr>
          <w:cantSplit/>
          <w:tblHeader w:val="off"/>
        </w:trPr>
        <w:tc>
          <w:tcPr>
            <w:tcW w:type="dxa" w:w="4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6</w:t>
            </w:r>
          </w:p>
        </w:tc>
        <w:tc>
          <w:tcPr>
            <w:tcW w:type="dxa" w:w="387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按下“登记”（1个按钮）</w:t>
            </w:r>
          </w:p>
        </w:tc>
        <w:tc>
          <w:tcPr>
            <w:tcW w:type="dxa" w:w="533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证据的保全（3），其次案件记录的制作与记录电子签名，其次保存到终端，其次可信时间戳（没有连接时事后附加。可信时间戳的应答不追写到案件记录中，而作为另外的追加记录</w:t>
            </w:r>
            <w:r>
              <w:rPr>
                <w:rFonts w:ascii="Consolas" w:eastAsia="Microsoft YaHei" w:hAnsi="Consolas"/>
                <w:b w:val="false"/>
                <w:bCs w:val="false"/>
                <w:sz w:val="18"/>
                <w:szCs w:val="18"/>
              </w:rPr>
              <w:t xml:space="preserve">status/&lt;序号&gt;.json</w:t>
            </w:r>
            <w:r>
              <w:rPr>
                <w:rFonts w:ascii="Microsoft YaHei" w:eastAsia="Microsoft YaHei" w:hAnsi="Microsoft YaHei"/>
                <w:b w:val="false"/>
                <w:bCs w:val="false"/>
                <w:sz w:val="18"/>
                <w:szCs w:val="18"/>
              </w:rPr>
              <w:t xml:space="preserve">加入。3.2）（第1章 7“运行时的场景”）</w:t>
            </w:r>
          </w:p>
        </w:tc>
      </w:tr>
    </w:tbl>
    <w:p>
      <w:pPr>
        <w:spacing w:after="100" w:before="0"/>
      </w:pPr>
    </w:p>
    <w:p>
      <w:pPr>
        <w:pStyle w:val="ListParagraph"/>
        <w:keepNext/>
        <w:keepLines/>
        <w:numPr>
          <w:ilvl w:val="0"/>
          <w:numId w:val="2"/>
        </w:numPr>
        <w:spacing w:after="20" w:before="20" w:line="300"/>
      </w:pPr>
      <w:r>
        <w:rPr>
          <w:rFonts w:ascii="Microsoft YaHei" w:eastAsia="Microsoft YaHei" w:hAnsi="Microsoft YaHei"/>
        </w:rPr>
        <w:t xml:space="preserve">1个按钮（R-6-1-1“能以一个按钮登记”）：只需URL与第6步即可登记，此时转载页面的记录（第4步）也默认取得。设计计划书10.2规定“在登记的同时证据被保全。使用者不需要知道什么是作为证据所必需的”，10.3要求在登记的时点留下“何时、在何处被公开（②）”的记录，因此页面的记录不依赖使用者的操作。第2步、第3步、第5步是任意的追加，省略时显示证据会变少的意旨。</w:t>
      </w:r>
    </w:p>
    <w:p>
      <w:pPr>
        <w:pStyle w:val="ListParagraph"/>
        <w:keepNext/>
        <w:keepLines/>
        <w:numPr>
          <w:ilvl w:val="0"/>
          <w:numId w:val="2"/>
        </w:numPr>
        <w:spacing w:after="20" w:before="20" w:line="300"/>
      </w:pPr>
      <w:r>
        <w:rPr>
          <w:rFonts w:ascii="Microsoft YaHei" w:eastAsia="Microsoft YaHei" w:hAnsi="Microsoft YaHei"/>
        </w:rPr>
        <w:t xml:space="preserve">IP地址的权衡：获取时对方网站能看到使用者的IP地址（第13章 H-26“获取转载页面的记录时（登记的默认），对方网站能看到使用者的IP地址”）。默认取得，在登记之前显示会被看到，并且只对该次登记可以取消。取消的登记附加“无页面记录（②仅为屏幕图像）”的标记。</w:t>
      </w:r>
    </w:p>
    <w:p>
      <w:pPr>
        <w:pStyle w:val="ListParagraph"/>
        <w:keepNext w:val="false"/>
        <w:keepLines/>
        <w:numPr>
          <w:ilvl w:val="0"/>
          <w:numId w:val="2"/>
        </w:numPr>
        <w:spacing w:after="20" w:before="20" w:line="300"/>
      </w:pPr>
      <w:r>
        <w:rPr>
          <w:rFonts w:ascii="Microsoft YaHei" w:eastAsia="Microsoft YaHei" w:hAnsi="Microsoft YaHei"/>
        </w:rPr>
        <w:t xml:space="preserve">在终端中记录（R-6-1-3“登记记录在使用者的终端内，不影响其他使用者的记录”）：案件记录放在使用者的终端，以使用者的密钥附加记录电子签名。不影响其他使用者的记录。</w:t>
      </w:r>
    </w:p>
    <w:p>
      <w:pPr>
        <w:pStyle w:val="Heading2"/>
      </w:pPr>
      <w:r>
        <w:rPr>
          <w:rFonts w:ascii="Microsoft YaHei" w:eastAsia="Microsoft YaHei" w:hAnsi="Microsoft YaHei"/>
        </w:rPr>
        <w:t xml:space="preserve">2.2 不执行脚本的获取</w:t>
      </w:r>
    </w:p>
    <w:p>
      <w:pPr>
        <w:pStyle w:val="ListParagraph"/>
        <w:keepNext/>
        <w:keepLines/>
        <w:numPr>
          <w:ilvl w:val="0"/>
          <w:numId w:val="2"/>
        </w:numPr>
        <w:spacing w:after="20" w:before="20" w:line="300"/>
      </w:pPr>
      <w:r>
        <w:rPr>
          <w:rFonts w:ascii="Microsoft YaHei" w:eastAsia="Microsoft YaHei" w:hAnsi="Microsoft YaHei"/>
        </w:rPr>
        <w:t xml:space="preserve">HTTP GET（连接10秒、全体60秒截止，转向至5次，1个应答（页面、图片各自）至50MB。均为初始值。与第1章 4.2“与外部的交互”的表相同）。保存应答的正文、头部、最终的URL、获取的时刻（UTC）、应答服务器的IP地址。</w:t>
      </w:r>
    </w:p>
    <w:p>
      <w:pPr>
        <w:pStyle w:val="ListParagraph"/>
        <w:keepNext/>
        <w:keepLines/>
        <w:numPr>
          <w:ilvl w:val="0"/>
          <w:numId w:val="2"/>
        </w:numPr>
        <w:spacing w:after="20" w:before="20" w:line="300"/>
      </w:pPr>
      <w:r>
        <w:rPr>
          <w:rFonts w:ascii="Microsoft YaHei" w:eastAsia="Microsoft YaHei" w:hAnsi="Microsoft YaHei"/>
        </w:rPr>
        <w:t xml:space="preserve">获取HTML中</w:t>
      </w:r>
      <w:r>
        <w:rPr>
          <w:rFonts w:ascii="Consolas" w:eastAsia="Microsoft YaHei" w:hAnsi="Consolas"/>
        </w:rPr>
        <w:t xml:space="preserve">og:image</w:t>
      </w:r>
      <w:r>
        <w:rPr>
          <w:rFonts w:ascii="Microsoft YaHei" w:eastAsia="Microsoft YaHei" w:hAnsi="Microsoft YaHei"/>
        </w:rPr>
        <w:t xml:space="preserve">、</w:t>
      </w:r>
      <w:r>
        <w:rPr>
          <w:rFonts w:ascii="Consolas" w:eastAsia="Microsoft YaHei" w:hAnsi="Consolas"/>
        </w:rPr>
        <w:t xml:space="preserve">&lt;img&gt;</w:t>
      </w:r>
      <w:r>
        <w:rPr>
          <w:rFonts w:ascii="Microsoft YaHei" w:eastAsia="Microsoft YaHei" w:hAnsi="Microsoft YaHei"/>
        </w:rPr>
        <w:t xml:space="preserve">里较大的前5项，方法相同。不获取JavaScript、CSS、字体。</w:t>
      </w:r>
    </w:p>
    <w:p>
      <w:pPr>
        <w:pStyle w:val="ListParagraph"/>
        <w:keepNext/>
        <w:keepLines/>
        <w:numPr>
          <w:ilvl w:val="0"/>
          <w:numId w:val="2"/>
        </w:numPr>
        <w:spacing w:after="20" w:before="20" w:line="300"/>
      </w:pPr>
      <w:r>
        <w:rPr>
          <w:rFonts w:ascii="Microsoft YaHei" w:eastAsia="Microsoft YaHei" w:hAnsi="Microsoft YaHei"/>
        </w:rPr>
        <w:t xml:space="preserve">获取物不在界面上渲染。图片以与第3章“签名处理”相同的图像基础（Rust的image crate）读入（无法读入的只取哈希）。</w:t>
      </w:r>
    </w:p>
    <w:p>
      <w:pPr>
        <w:pStyle w:val="ListParagraph"/>
        <w:keepNext/>
        <w:keepLines/>
        <w:numPr>
          <w:ilvl w:val="0"/>
          <w:numId w:val="2"/>
        </w:numPr>
        <w:spacing w:after="20" w:before="20" w:line="300"/>
      </w:pPr>
      <w:r>
        <w:rPr>
          <w:rFonts w:ascii="Microsoft YaHei" w:eastAsia="Microsoft YaHei" w:hAnsi="Microsoft YaHei"/>
        </w:rPr>
        <w:t xml:space="preserve">被转向到登录界面时，原样记录该应答，并显示“需要登录，因此需要屏幕的记录（第3步）”。</w:t>
      </w:r>
    </w:p>
    <w:p>
      <w:pPr>
        <w:pStyle w:val="ListParagraph"/>
        <w:keepNext/>
        <w:keepLines/>
        <w:numPr>
          <w:ilvl w:val="0"/>
          <w:numId w:val="2"/>
        </w:numPr>
        <w:spacing w:after="20" w:before="20" w:line="300"/>
      </w:pPr>
      <w:r>
        <w:rPr>
          <w:rFonts w:ascii="Microsoft YaHei" w:eastAsia="Microsoft YaHei" w:hAnsi="Microsoft YaHei"/>
        </w:rPr>
        <w:t xml:space="preserve">请求的头部（DD-6-8“获取的请求不自报本系统之名”）：User-Agent与Accept-Language使用应用的界面组件（WebView）持有的值。不发送Cookie与Referer（不带入使用者浏览器的登录状态）。</w:t>
      </w:r>
    </w:p>
    <w:p>
      <w:pPr>
        <w:pStyle w:val="ListParagraph"/>
        <w:keepNext w:val="false"/>
        <w:keepLines/>
        <w:numPr>
          <w:ilvl w:val="0"/>
          <w:numId w:val="2"/>
        </w:numPr>
        <w:spacing w:after="20" w:before="20" w:line="300"/>
      </w:pPr>
      <w:r>
        <w:rPr>
          <w:rFonts w:ascii="Microsoft YaHei" w:eastAsia="Microsoft YaHei" w:hAnsi="Microsoft YaHei"/>
        </w:rPr>
        <w:t xml:space="preserve">获取前的告知（第1章 4.2“与外部的交互”）：显示对方网站能看到使用者的IP地址，以及介意时可以使用VPN（Berkeley Protocol第101段）。本系统不提供VPN。</w:t>
      </w:r>
    </w:p>
    <w:p>
      <w:pPr>
        <w:pStyle w:val="Heading2"/>
      </w:pPr>
      <w:r>
        <w:rPr>
          <w:rFonts w:ascii="Microsoft YaHei" w:eastAsia="Microsoft YaHei" w:hAnsi="Microsoft YaHei"/>
        </w:rPr>
        <w:t xml:space="preserve">2.2.1 以WARC保存</w:t>
      </w:r>
    </w:p>
    <w:p>
      <w:pPr>
        <w:pStyle w:val="ListParagraph"/>
        <w:keepNext/>
        <w:keepLines/>
        <w:numPr>
          <w:ilvl w:val="0"/>
          <w:numId w:val="2"/>
        </w:numPr>
        <w:spacing w:after="20" w:before="20" w:line="300"/>
      </w:pPr>
      <w:r>
        <w:rPr>
          <w:rFonts w:ascii="Microsoft YaHei" w:eastAsia="Microsoft YaHei" w:hAnsi="Microsoft YaHei"/>
        </w:rPr>
        <w:t xml:space="preserve">把1次获取（页面与主要图片）汇总为1个WARC文件（</w:t>
      </w:r>
      <w:r>
        <w:rPr>
          <w:rFonts w:ascii="Consolas" w:eastAsia="Microsoft YaHei" w:hAnsi="Consolas"/>
        </w:rPr>
        <w:t xml:space="preserve">capture-&lt;序号&gt;.warc.gz</w:t>
      </w:r>
      <w:r>
        <w:rPr>
          <w:rFonts w:ascii="Microsoft YaHei" w:eastAsia="Microsoft YaHei" w:hAnsi="Microsoft YaHei"/>
        </w:rPr>
        <w:t xml:space="preserve">）。记录的种类为warcinfo（获取的工具及其版本）、request（发送的请求）、response（收到的应答）、metadata（获取的时刻、最终的URL、应答服务器的IP地址、TLS证书的主体与发行者）（ISO 28500的记录种类）。</w:t>
      </w:r>
    </w:p>
    <w:p>
      <w:pPr>
        <w:pStyle w:val="ListParagraph"/>
        <w:keepNext w:val="false"/>
        <w:keepLines/>
        <w:numPr>
          <w:ilvl w:val="0"/>
          <w:numId w:val="2"/>
        </w:numPr>
        <w:spacing w:after="20" w:before="20" w:line="300"/>
      </w:pPr>
      <w:r>
        <w:rPr>
          <w:rFonts w:ascii="Microsoft YaHei" w:eastAsia="Microsoft YaHei" w:hAnsi="Microsoft YaHei"/>
        </w:rPr>
        <w:t xml:space="preserve">组件：warc的crate（0.4.0，MIT，2024-11更新，crates.io的累计下载数约237万）。具有WARC 1.0、1.1记录的读写。［需实测］写出的WARC能以一般的工具（pywb等）打开。</w:t>
      </w:r>
    </w:p>
    <w:p>
      <w:pPr>
        <w:pStyle w:val="Heading2"/>
      </w:pPr>
      <w:r>
        <w:rPr>
          <w:rFonts w:ascii="Microsoft YaHei" w:eastAsia="Microsoft YaHei" w:hAnsi="Microsoft YaHei"/>
        </w:rPr>
        <w:t xml:space="preserve">2.2.2 屏幕图像截取方法的指引</w:t>
      </w:r>
    </w:p>
    <w:p>
      <w:pPr>
        <w:pStyle w:val="ListParagraph"/>
        <w:keepNext/>
        <w:keepLines/>
        <w:numPr>
          <w:ilvl w:val="0"/>
          <w:numId w:val="2"/>
        </w:numPr>
        <w:spacing w:after="20" w:before="20" w:line="300"/>
      </w:pPr>
      <w:r>
        <w:rPr>
          <w:rFonts w:ascii="Microsoft YaHei" w:eastAsia="Microsoft YaHei" w:hAnsi="Microsoft YaHei"/>
        </w:rPr>
        <w:t xml:space="preserve">Berkeley Protocol（第155段）把整页的屏幕记录（带有日期时间的记录）列为与URL、HTML源代码并列的最低标准。向使用者指引以下内容。</w:t>
      </w:r>
    </w:p>
    <w:p>
      <w:pPr>
        <w:keepNext/>
        <w:keepLines/>
        <w:spacing w:after="80" w:before="80" w:line="320"/>
      </w:pPr>
      <w:r>
        <w:rPr>
          <w:rFonts w:ascii="Microsoft YaHei" w:eastAsia="Microsoft YaHei" w:hAnsi="Microsoft YaHei"/>
        </w:rPr>
        <w:t xml:space="preserve">  1. 以浏览器的“整页屏幕记录”功能截取（Firefox为截图功能的“保存整个页面”，Chrome为开发者工具的“截取全尺寸屏幕截图”）。</w:t>
      </w:r>
    </w:p>
    <w:p>
      <w:pPr>
        <w:keepNext/>
        <w:keepLines/>
        <w:spacing w:after="80" w:before="80" w:line="320"/>
      </w:pPr>
      <w:r>
        <w:rPr>
          <w:rFonts w:ascii="Microsoft YaHei" w:eastAsia="Microsoft YaHei" w:hAnsi="Microsoft YaHei"/>
        </w:rPr>
        <w:t xml:space="preserve">  2. 再截取1张拍到界面上方URL栏与操作系统时钟的屏幕图像（因为整页的记录中拍不到URL与日期时间）。</w:t>
      </w:r>
    </w:p>
    <w:p>
      <w:pPr>
        <w:keepNext/>
        <w:keepLines/>
        <w:spacing w:after="80" w:before="80" w:line="320"/>
      </w:pPr>
      <w:r>
        <w:rPr>
          <w:rFonts w:ascii="Microsoft YaHei" w:eastAsia="Microsoft YaHei" w:hAnsi="Microsoft YaHei"/>
        </w:rPr>
        <w:t xml:space="preserve">  3. 需要登录的页面，在登录的状态下截取。</w:t>
      </w:r>
    </w:p>
    <w:p>
      <w:pPr>
        <w:pStyle w:val="ListParagraph"/>
        <w:keepNext w:val="false"/>
        <w:keepLines/>
        <w:numPr>
          <w:ilvl w:val="0"/>
          <w:numId w:val="2"/>
        </w:numPr>
        <w:spacing w:after="20" w:before="20" w:line="300"/>
      </w:pPr>
      <w:r>
        <w:rPr>
          <w:rFonts w:ascii="Microsoft YaHei" w:eastAsia="Microsoft YaHei" w:hAnsi="Microsoft YaHei"/>
        </w:rPr>
        <w:t xml:space="preserve">应用读取所导入屏幕图像的截取日期时间。浏览器的整页屏幕记录多为PNG，没有截取的日期时间，这种情况下使用文件的更新日期时间，并区别记录为“文件的日期时间（不是截取日期时间的记录）”。任一方与登记的日期时间相差很大（24小时以上。初始值）时要求确认。日期时间不明时记录为“无日期时间”。</w:t>
      </w:r>
    </w:p>
    <w:p>
      <w:pPr>
        <w:pStyle w:val="Heading2"/>
      </w:pPr>
      <w:r>
        <w:rPr>
          <w:rFonts w:ascii="Microsoft YaHei" w:eastAsia="Microsoft YaHei" w:hAnsi="Microsoft YaHei"/>
        </w:rPr>
        <w:t xml:space="preserve">2.3 应保留证据的输入栏</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33"/>
        <w:gridCol w:w="4405"/>
      </w:tblGrid>
      <w:tr>
        <w:trPr>
          <w:cantSplit/>
          <w:tblHeader/>
        </w:trPr>
        <w:tc>
          <w:tcPr>
            <w:tcW w:type="dxa" w:w="5233"/>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栏</w:t>
            </w:r>
          </w:p>
        </w:tc>
        <w:tc>
          <w:tcPr>
            <w:tcW w:type="dxa" w:w="4405"/>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目的</w:t>
            </w:r>
          </w:p>
        </w:tc>
      </w:tr>
      <w:tr>
        <w:trPr>
          <w:cantSplit/>
          <w:tblHeader w:val="off"/>
        </w:trPr>
        <w:tc>
          <w:tcPr>
            <w:tcW w:type="dxa" w:w="523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转载者的账号名、显示名</w:t>
            </w:r>
          </w:p>
        </w:tc>
        <w:tc>
          <w:tcPr>
            <w:tcW w:type="dxa" w:w="440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在申诉、调查中确定对方</w:t>
            </w:r>
          </w:p>
        </w:tc>
      </w:tr>
      <w:tr>
        <w:trPr>
          <w:cantSplit/>
          <w:tblHeader w:val="off"/>
        </w:trPr>
        <w:tc>
          <w:tcPr>
            <w:tcW w:type="dxa" w:w="523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发布的日期时间（页面上显示的）</w:t>
            </w:r>
          </w:p>
        </w:tc>
        <w:tc>
          <w:tcPr>
            <w:tcW w:type="dxa" w:w="440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从何时开始被公开</w:t>
            </w:r>
          </w:p>
        </w:tc>
      </w:tr>
      <w:tr>
        <w:trPr>
          <w:cantSplit/>
          <w:tblHeader w:val="off"/>
        </w:trPr>
        <w:tc>
          <w:tcPr>
            <w:tcW w:type="dxa" w:w="523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浏览数、点赞等的数量（若有显示）</w:t>
            </w:r>
          </w:p>
        </w:tc>
        <w:tc>
          <w:tcPr>
            <w:tcW w:type="dxa" w:w="440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损害程度的资料</w:t>
            </w:r>
          </w:p>
        </w:tc>
      </w:tr>
      <w:tr>
        <w:trPr>
          <w:cantSplit/>
          <w:tblHeader w:val="off"/>
        </w:trPr>
        <w:tc>
          <w:tcPr>
            <w:tcW w:type="dxa" w:w="523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商业利用的种类（可多选：有偿的分发与销售、广告、商品化、AI的学习数据、无或不明）</w:t>
            </w:r>
          </w:p>
        </w:tc>
        <w:tc>
          <w:tcPr>
            <w:tcW w:type="dxa" w:w="440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商业利用的优先（第7章 6.2“共同的应对与优先”、法务 L-5“肖像权、形象权（日）”）</w:t>
            </w:r>
          </w:p>
        </w:tc>
      </w:tr>
      <w:tr>
        <w:trPr>
          <w:cantSplit/>
          <w:tblHeader w:val="off"/>
        </w:trPr>
        <w:tc>
          <w:tcPr>
            <w:tcW w:type="dxa" w:w="523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同一转载者其他发布的URL</w:t>
            </w:r>
          </w:p>
        </w:tc>
        <w:tc>
          <w:tcPr>
            <w:tcW w:type="dxa" w:w="440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持续性的资料</w:t>
            </w:r>
          </w:p>
        </w:tc>
      </w:tr>
      <w:tr>
        <w:trPr>
          <w:cantSplit/>
          <w:tblHeader w:val="off"/>
        </w:trPr>
        <w:tc>
          <w:tcPr>
            <w:tcW w:type="dxa" w:w="523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自由记述</w:t>
            </w:r>
          </w:p>
        </w:tc>
        <w:tc>
          <w:tcPr>
            <w:tcW w:type="dxa" w:w="440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w:t>
            </w:r>
          </w:p>
        </w:tc>
      </w:tr>
    </w:tbl>
    <w:p>
      <w:pPr>
        <w:spacing w:after="100" w:before="0"/>
      </w:pPr>
    </w:p>
    <w:p>
      <w:pPr>
        <w:pStyle w:val="ListParagraph"/>
        <w:keepNext w:val="false"/>
        <w:keepLines/>
        <w:numPr>
          <w:ilvl w:val="0"/>
          <w:numId w:val="2"/>
        </w:numPr>
        <w:spacing w:after="20" w:before="20" w:line="300"/>
      </w:pPr>
      <w:r>
        <w:rPr>
          <w:rFonts w:ascii="Microsoft YaHei" w:eastAsia="Microsoft YaHei" w:hAnsi="Microsoft YaHei"/>
        </w:rPr>
        <w:t xml:space="preserve">界面上提示“在知道的范围内”，空栏也能登记。</w:t>
      </w:r>
    </w:p>
    <w:p>
      <w:pPr>
        <w:pStyle w:val="Heading2"/>
      </w:pPr>
      <w:r>
        <w:rPr>
          <w:rFonts w:ascii="Microsoft YaHei" w:eastAsia="Microsoft YaHei" w:hAnsi="Microsoft YaHei"/>
        </w:rPr>
        <w:t xml:space="preserve">2.4 登记数据的项目</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76"/>
        <w:gridCol w:w="7662"/>
      </w:tblGrid>
      <w:tr>
        <w:trPr>
          <w:cantSplit/>
          <w:tblHeader/>
        </w:trPr>
        <w:tc>
          <w:tcPr>
            <w:tcW w:type="dxa" w:w="1976"/>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项目</w:t>
            </w:r>
          </w:p>
        </w:tc>
        <w:tc>
          <w:tcPr>
            <w:tcW w:type="dxa" w:w="7662"/>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内容</w:t>
            </w:r>
          </w:p>
        </w:tc>
      </w:tr>
      <w:tr>
        <w:trPr>
          <w:cantSplit/>
          <w:tblHeader w:val="off"/>
        </w:trPr>
        <w:tc>
          <w:tcPr>
            <w:tcW w:type="dxa" w:w="197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schema</w:t>
            </w:r>
          </w:p>
        </w:tc>
        <w:tc>
          <w:tcPr>
            <w:tcW w:type="dxa" w:w="766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onsolas" w:eastAsia="Microsoft YaHei" w:hAnsi="Consolas"/>
                <w:b w:val="false"/>
                <w:bCs w:val="false"/>
                <w:sz w:val="18"/>
                <w:szCs w:val="18"/>
              </w:rPr>
              <w:t xml:space="preserve">nrsd.case/1</w:t>
            </w:r>
          </w:p>
        </w:tc>
      </w:tr>
      <w:tr>
        <w:trPr>
          <w:cantSplit/>
          <w:tblHeader w:val="off"/>
        </w:trPr>
        <w:tc>
          <w:tcPr>
            <w:tcW w:type="dxa" w:w="197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case_id</w:t>
            </w:r>
          </w:p>
        </w:tc>
        <w:tc>
          <w:tcPr>
            <w:tcW w:type="dxa" w:w="766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案件ID</w:t>
            </w:r>
          </w:p>
        </w:tc>
      </w:tr>
      <w:tr>
        <w:trPr>
          <w:cantSplit/>
          <w:tblHeader w:val="off"/>
        </w:trPr>
        <w:tc>
          <w:tcPr>
            <w:tcW w:type="dxa" w:w="197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source</w:t>
            </w:r>
          </w:p>
        </w:tc>
        <w:tc>
          <w:tcPr>
            <w:tcW w:type="dxa" w:w="766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onsolas" w:eastAsia="Microsoft YaHei" w:hAnsi="Consolas"/>
                <w:b w:val="false"/>
                <w:bCs w:val="false"/>
                <w:sz w:val="18"/>
                <w:szCs w:val="18"/>
              </w:rPr>
              <w:t xml:space="preserve">manual</w:t>
            </w:r>
            <w:r>
              <w:rPr>
                <w:rFonts w:ascii="Microsoft YaHei" w:eastAsia="Microsoft YaHei" w:hAnsi="Microsoft YaHei"/>
                <w:b w:val="false"/>
                <w:bCs w:val="false"/>
                <w:sz w:val="18"/>
                <w:szCs w:val="18"/>
              </w:rPr>
              <w:t xml:space="preserve">（本章）。</w:t>
            </w:r>
            <w:r>
              <w:rPr>
                <w:rFonts w:ascii="Consolas" w:eastAsia="Microsoft YaHei" w:hAnsi="Consolas"/>
                <w:b w:val="false"/>
                <w:bCs w:val="false"/>
                <w:sz w:val="18"/>
                <w:szCs w:val="18"/>
              </w:rPr>
              <w:t xml:space="preserve">auto</w:t>
            </w:r>
            <w:r>
              <w:rPr>
                <w:rFonts w:ascii="Microsoft YaHei" w:eastAsia="Microsoft YaHei" w:hAnsi="Microsoft YaHei"/>
                <w:b w:val="false"/>
                <w:bCs w:val="false"/>
                <w:sz w:val="18"/>
                <w:szCs w:val="18"/>
              </w:rPr>
              <w:t xml:space="preserve">为第二阶段预留（R-6-1-4“留有接受第二阶段登记的余地”）</w:t>
            </w:r>
          </w:p>
        </w:tc>
      </w:tr>
      <w:tr>
        <w:trPr>
          <w:cantSplit/>
          <w:tblHeader w:val="off"/>
        </w:trPr>
        <w:tc>
          <w:tcPr>
            <w:tcW w:type="dxa" w:w="197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url、final_url、platform</w:t>
            </w:r>
          </w:p>
        </w:tc>
        <w:tc>
          <w:tcPr>
            <w:tcW w:type="dxa" w:w="766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转载页面</w:t>
            </w:r>
          </w:p>
        </w:tc>
      </w:tr>
      <w:tr>
        <w:trPr>
          <w:cantSplit/>
          <w:tblHeader w:val="off"/>
        </w:trPr>
        <w:tc>
          <w:tcPr>
            <w:tcW w:type="dxa" w:w="197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work_refs</w:t>
            </w:r>
          </w:p>
        </w:tc>
        <w:tc>
          <w:tcPr>
            <w:tcW w:type="dxa" w:w="766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比对中找到的作品的识别编号与一致度（4）</w:t>
            </w:r>
          </w:p>
        </w:tc>
      </w:tr>
      <w:tr>
        <w:trPr>
          <w:cantSplit/>
          <w:tblHeader w:val="off"/>
        </w:trPr>
        <w:tc>
          <w:tcPr>
            <w:tcW w:type="dxa" w:w="197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evidence</w:t>
            </w:r>
          </w:p>
        </w:tc>
        <w:tc>
          <w:tcPr>
            <w:tcW w:type="dxa" w:w="766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证据文件的一览（名称、种类、SHA-256、大小、获取方法（使用者提供／应用获取）、获取的时刻）</w:t>
            </w:r>
          </w:p>
        </w:tc>
      </w:tr>
      <w:tr>
        <w:trPr>
          <w:cantSplit/>
          <w:tblHeader w:val="off"/>
        </w:trPr>
        <w:tc>
          <w:tcPr>
            <w:tcW w:type="dxa" w:w="197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whois</w:t>
            </w:r>
          </w:p>
        </w:tc>
        <w:tc>
          <w:tcPr>
            <w:tcW w:type="dxa" w:w="766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④的调查结果（5）</w:t>
            </w:r>
          </w:p>
        </w:tc>
      </w:tr>
      <w:tr>
        <w:trPr>
          <w:cantSplit/>
          <w:tblHeader w:val="off"/>
        </w:trPr>
        <w:tc>
          <w:tcPr>
            <w:tcW w:type="dxa" w:w="197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user_notes</w:t>
            </w:r>
          </w:p>
        </w:tc>
        <w:tc>
          <w:tcPr>
            <w:tcW w:type="dxa" w:w="766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2.3的输入</w:t>
            </w:r>
          </w:p>
        </w:tc>
      </w:tr>
      <w:tr>
        <w:trPr>
          <w:cantSplit/>
          <w:tblHeader w:val="off"/>
        </w:trPr>
        <w:tc>
          <w:tcPr>
            <w:tcW w:type="dxa" w:w="197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rights_ref</w:t>
            </w:r>
          </w:p>
        </w:tc>
        <w:tc>
          <w:tcPr>
            <w:tcW w:type="dxa" w:w="766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比对作品的许可范围的ID与版本（第5章“权利文书”）</w:t>
            </w:r>
          </w:p>
        </w:tc>
      </w:tr>
      <w:tr>
        <w:trPr>
          <w:cantSplit/>
          <w:tblHeader w:val="off"/>
        </w:trPr>
        <w:tc>
          <w:tcPr>
            <w:tcW w:type="dxa" w:w="197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violations</w:t>
            </w:r>
          </w:p>
        </w:tc>
        <w:tc>
          <w:tcPr>
            <w:tcW w:type="dxa" w:w="766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违反的判定（4.2）</w:t>
            </w:r>
          </w:p>
        </w:tc>
      </w:tr>
      <w:tr>
        <w:trPr>
          <w:cantSplit/>
          <w:tblHeader w:val="off"/>
        </w:trPr>
        <w:tc>
          <w:tcPr>
            <w:tcW w:type="dxa" w:w="197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（可信时间戳）</w:t>
            </w:r>
          </w:p>
        </w:tc>
        <w:tc>
          <w:tcPr>
            <w:tcW w:type="dxa" w:w="766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不放入案件记录。可信时间戳的应答与证据的一览一起，作为状况的追加（</w:t>
            </w:r>
            <w:r>
              <w:rPr>
                <w:rFonts w:ascii="Consolas" w:eastAsia="Microsoft YaHei" w:hAnsi="Consolas"/>
                <w:b w:val="false"/>
                <w:bCs w:val="false"/>
                <w:sz w:val="18"/>
                <w:szCs w:val="18"/>
              </w:rPr>
              <w:t xml:space="preserve">status/&lt;序号&gt;.json</w:t>
            </w:r>
            <w:r>
              <w:rPr>
                <w:rFonts w:ascii="Microsoft YaHei" w:eastAsia="Microsoft YaHei" w:hAnsi="Microsoft YaHei"/>
                <w:b w:val="false"/>
                <w:bCs w:val="false"/>
                <w:sz w:val="18"/>
                <w:szCs w:val="18"/>
              </w:rPr>
              <w:t xml:space="preserve">与</w:t>
            </w:r>
            <w:r>
              <w:rPr>
                <w:rFonts w:ascii="Consolas" w:eastAsia="Microsoft YaHei" w:hAnsi="Consolas"/>
                <w:b w:val="false"/>
                <w:bCs w:val="false"/>
                <w:sz w:val="18"/>
                <w:szCs w:val="18"/>
              </w:rPr>
              <w:t xml:space="preserve">.sig</w:t>
            </w:r>
            <w:r>
              <w:rPr>
                <w:rFonts w:ascii="Microsoft YaHei" w:eastAsia="Microsoft YaHei" w:hAnsi="Microsoft YaHei"/>
                <w:b w:val="false"/>
                <w:bCs w:val="false"/>
                <w:sz w:val="18"/>
                <w:szCs w:val="18"/>
              </w:rPr>
              <w:t xml:space="preserve">）加入（案件记录只追加。DD-6-5“案件记录只追加”）</w:t>
            </w:r>
          </w:p>
        </w:tc>
      </w:tr>
      <w:tr>
        <w:trPr>
          <w:cantSplit/>
          <w:tblHeader w:val="off"/>
        </w:trPr>
        <w:tc>
          <w:tcPr>
            <w:tcW w:type="dxa" w:w="197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signer</w:t>
            </w:r>
          </w:p>
        </w:tc>
        <w:tc>
          <w:tcPr>
            <w:tcW w:type="dxa" w:w="766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签名用证书的序列号与声明码（第2章）</w:t>
            </w:r>
          </w:p>
        </w:tc>
      </w:tr>
      <w:tr>
        <w:trPr>
          <w:cantSplit/>
          <w:tblHeader w:val="off"/>
        </w:trPr>
        <w:tc>
          <w:tcPr>
            <w:tcW w:type="dxa" w:w="197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created_at</w:t>
            </w:r>
          </w:p>
        </w:tc>
        <w:tc>
          <w:tcPr>
            <w:tcW w:type="dxa" w:w="766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UTC</w:t>
            </w:r>
          </w:p>
        </w:tc>
      </w:tr>
      <w:tr>
        <w:trPr>
          <w:cantSplit/>
          <w:tblHeader w:val="off"/>
        </w:trPr>
        <w:tc>
          <w:tcPr>
            <w:tcW w:type="dxa" w:w="197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collection</w:t>
            </w:r>
          </w:p>
        </w:tc>
        <w:tc>
          <w:tcPr>
            <w:tcW w:type="dxa" w:w="766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收集的记录（2.5）</w:t>
            </w:r>
          </w:p>
        </w:tc>
      </w:tr>
    </w:tbl>
    <w:p>
      <w:pPr>
        <w:spacing w:after="100" w:before="0"/>
      </w:pPr>
    </w:p>
    <w:p>
      <w:pPr>
        <w:pStyle w:val="ListParagraph"/>
        <w:keepNext w:val="false"/>
        <w:keepLines/>
        <w:numPr>
          <w:ilvl w:val="0"/>
          <w:numId w:val="2"/>
        </w:numPr>
        <w:spacing w:after="20" w:before="20" w:line="300"/>
      </w:pPr>
      <w:r>
        <w:rPr>
          <w:rFonts w:ascii="Microsoft YaHei" w:eastAsia="Microsoft YaHei" w:hAnsi="Microsoft YaHei"/>
        </w:rPr>
        <w:t xml:space="preserve">保存处：终端的</w:t>
      </w:r>
      <w:r>
        <w:rPr>
          <w:rFonts w:ascii="Consolas" w:eastAsia="Microsoft YaHei" w:hAnsi="Consolas"/>
        </w:rPr>
        <w:t xml:space="preserve">cases/&lt;案件ID&gt;/case.json</w:t>
      </w:r>
      <w:r>
        <w:rPr>
          <w:rFonts w:ascii="Microsoft YaHei" w:eastAsia="Microsoft YaHei" w:hAnsi="Microsoft YaHei"/>
        </w:rPr>
        <w:t xml:space="preserve">与记录电子签名，证据文件在</w:t>
      </w:r>
      <w:r>
        <w:rPr>
          <w:rFonts w:ascii="Consolas" w:eastAsia="Microsoft YaHei" w:hAnsi="Consolas"/>
        </w:rPr>
        <w:t xml:space="preserve">cases/&lt;案件ID&gt;/evidence/</w:t>
      </w:r>
      <w:r>
        <w:rPr>
          <w:rFonts w:ascii="Microsoft YaHei" w:eastAsia="Microsoft YaHei" w:hAnsi="Microsoft YaHei"/>
        </w:rPr>
        <w:t xml:space="preserve">（第8章 2.1“配置”）。</w:t>
      </w:r>
    </w:p>
    <w:p>
      <w:pPr>
        <w:pStyle w:val="Heading2"/>
      </w:pPr>
      <w:r>
        <w:rPr>
          <w:rFonts w:ascii="Microsoft YaHei" w:eastAsia="Microsoft YaHei" w:hAnsi="Microsoft YaHei"/>
        </w:rPr>
        <w:t xml:space="preserve">2.5 收集的记录</w:t>
      </w:r>
    </w:p>
    <w:p>
      <w:pPr>
        <w:pStyle w:val="ListParagraph"/>
        <w:keepNext/>
        <w:keepLines/>
        <w:numPr>
          <w:ilvl w:val="0"/>
          <w:numId w:val="2"/>
        </w:numPr>
        <w:spacing w:after="20" w:before="20" w:line="300"/>
      </w:pPr>
      <w:r>
        <w:rPr>
          <w:rFonts w:ascii="Microsoft YaHei" w:eastAsia="Microsoft YaHei" w:hAnsi="Microsoft YaHei"/>
        </w:rPr>
        <w:t xml:space="preserve">形式仿照Berkeley Protocol的附件IV“在线数据收集表”。</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41"/>
        <w:gridCol w:w="7097"/>
      </w:tblGrid>
      <w:tr>
        <w:trPr>
          <w:cantSplit/>
          <w:tblHeader/>
        </w:trPr>
        <w:tc>
          <w:tcPr>
            <w:tcW w:type="dxa" w:w="2541"/>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附件IV的项目</w:t>
            </w:r>
          </w:p>
        </w:tc>
        <w:tc>
          <w:tcPr>
            <w:tcW w:type="dxa" w:w="7097"/>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本系统记录的内容</w:t>
            </w:r>
          </w:p>
        </w:tc>
      </w:tr>
      <w:tr>
        <w:trPr>
          <w:cantSplit/>
          <w:tblHeader w:val="off"/>
        </w:trPr>
        <w:tc>
          <w:tcPr>
            <w:tcW w:type="dxa" w:w="254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收集者</w:t>
            </w:r>
          </w:p>
        </w:tc>
        <w:tc>
          <w:tcPr>
            <w:tcW w:type="dxa" w:w="709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签名者的网名与声明码（不记录姓名。在导出时使用者可以在报告书中追写。3.4）</w:t>
            </w:r>
          </w:p>
        </w:tc>
      </w:tr>
      <w:tr>
        <w:trPr>
          <w:cantSplit/>
          <w:tblHeader w:val="off"/>
        </w:trPr>
        <w:tc>
          <w:tcPr>
            <w:tcW w:type="dxa" w:w="254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收集终端的IP地址</w:t>
            </w:r>
          </w:p>
        </w:tc>
        <w:tc>
          <w:tcPr>
            <w:tcW w:type="dxa" w:w="709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不记录（从终端外部看到的IP地址，不向外部查询就无法得知）。使用者可以在报告书中追写</w:t>
            </w:r>
          </w:p>
        </w:tc>
      </w:tr>
      <w:tr>
        <w:trPr>
          <w:cantSplit/>
          <w:tblHeader w:val="off"/>
        </w:trPr>
        <w:tc>
          <w:tcPr>
            <w:tcW w:type="dxa" w:w="254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收集的开始与结束的日期时间</w:t>
            </w:r>
          </w:p>
        </w:tc>
        <w:tc>
          <w:tcPr>
            <w:tcW w:type="dxa" w:w="709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打开登记界面的时刻与按下登记的时刻（UTC）</w:t>
            </w:r>
          </w:p>
        </w:tc>
      </w:tr>
      <w:tr>
        <w:trPr>
          <w:cantSplit/>
          <w:tblHeader w:val="off"/>
        </w:trPr>
        <w:tc>
          <w:tcPr>
            <w:tcW w:type="dxa" w:w="254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对象的URL</w:t>
            </w:r>
          </w:p>
        </w:tc>
        <w:tc>
          <w:tcPr>
            <w:tcW w:type="dxa" w:w="709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输入的URL与获取的最终URL</w:t>
            </w:r>
          </w:p>
        </w:tc>
      </w:tr>
      <w:tr>
        <w:trPr>
          <w:cantSplit/>
          <w:tblHeader w:val="off"/>
        </w:trPr>
        <w:tc>
          <w:tcPr>
            <w:tcW w:type="dxa" w:w="254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HTML的源代码</w:t>
            </w:r>
          </w:p>
        </w:tc>
        <w:tc>
          <w:tcPr>
            <w:tcW w:type="dxa" w:w="709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WARC中（2.2.1）</w:t>
            </w:r>
          </w:p>
        </w:tc>
      </w:tr>
      <w:tr>
        <w:trPr>
          <w:cantSplit/>
          <w:tblHeader w:val="off"/>
        </w:trPr>
        <w:tc>
          <w:tcPr>
            <w:tcW w:type="dxa" w:w="254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屏幕图像</w:t>
            </w:r>
          </w:p>
        </w:tc>
        <w:tc>
          <w:tcPr>
            <w:tcW w:type="dxa" w:w="709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导入的屏幕图像（2.2.2）</w:t>
            </w:r>
          </w:p>
        </w:tc>
      </w:tr>
      <w:tr>
        <w:trPr>
          <w:cantSplit/>
          <w:tblHeader w:val="off"/>
        </w:trPr>
        <w:tc>
          <w:tcPr>
            <w:tcW w:type="dxa" w:w="254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获取的数据</w:t>
            </w:r>
          </w:p>
        </w:tc>
        <w:tc>
          <w:tcPr>
            <w:tcW w:type="dxa" w:w="709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获取的图片的一览</w:t>
            </w:r>
          </w:p>
        </w:tc>
      </w:tr>
      <w:tr>
        <w:trPr>
          <w:cantSplit/>
          <w:tblHeader w:val="off"/>
        </w:trPr>
        <w:tc>
          <w:tcPr>
            <w:tcW w:type="dxa" w:w="254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IP地址</w:t>
            </w:r>
          </w:p>
        </w:tc>
        <w:tc>
          <w:tcPr>
            <w:tcW w:type="dxa" w:w="709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应答服务器的IP地址与DNS的结果（5）</w:t>
            </w:r>
          </w:p>
        </w:tc>
      </w:tr>
      <w:tr>
        <w:trPr>
          <w:cantSplit/>
          <w:tblHeader w:val="off"/>
        </w:trPr>
        <w:tc>
          <w:tcPr>
            <w:tcW w:type="dxa" w:w="254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收集包的哈希一览、该一览的哈希</w:t>
            </w:r>
          </w:p>
        </w:tc>
        <w:tc>
          <w:tcPr>
            <w:tcW w:type="dxa" w:w="709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每个证据文件的SHA-256一览与一览的SHA-256（3.2可信时间戳的对象）</w:t>
            </w:r>
          </w:p>
        </w:tc>
      </w:tr>
    </w:tbl>
    <w:p>
      <w:pPr>
        <w:spacing w:after="100" w:before="0"/>
      </w:pPr>
    </w:p>
    <w:p>
      <w:pPr>
        <w:pStyle w:val="ListParagraph"/>
        <w:keepNext w:val="false"/>
        <w:keepLines/>
        <w:numPr>
          <w:ilvl w:val="0"/>
          <w:numId w:val="2"/>
        </w:numPr>
        <w:spacing w:after="20" w:before="20" w:line="300"/>
      </w:pPr>
      <w:r>
        <w:rPr>
          <w:rFonts w:ascii="Microsoft YaHei" w:eastAsia="Microsoft YaHei" w:hAnsi="Microsoft YaHei"/>
        </w:rPr>
        <w:t xml:space="preserve">另外记录的内容：应用的版本、获取工具的版本、终端时钟的偏差。时钟的偏差作为可信时间戳应答的时刻与终端时钟之差记录（Berkeley Protocol第155段(g)要求以时间同步校准终端的时钟。本系统不修正终端的时钟，而记录偏差）。</w:t>
      </w:r>
    </w:p>
    <w:p>
      <w:pPr>
        <w:pStyle w:val="Heading2"/>
      </w:pPr>
      <w:r>
        <w:rPr>
          <w:rFonts w:ascii="Microsoft YaHei" w:eastAsia="Microsoft YaHei" w:hAnsi="Microsoft YaHei"/>
        </w:rPr>
        <w:t xml:space="preserve">2.6 来自第二阶段的受理口</w:t>
      </w:r>
    </w:p>
    <w:p>
      <w:pPr>
        <w:pStyle w:val="ListParagraph"/>
        <w:keepNext w:val="false"/>
        <w:keepLines/>
        <w:numPr>
          <w:ilvl w:val="0"/>
          <w:numId w:val="2"/>
        </w:numPr>
        <w:spacing w:after="20" w:before="20" w:line="300"/>
      </w:pPr>
      <w:r>
        <w:rPr>
          <w:rFonts w:ascii="Consolas" w:eastAsia="Microsoft YaHei" w:hAnsi="Consolas"/>
        </w:rPr>
        <w:t xml:space="preserve">source: auto</w:t>
      </w:r>
      <w:r>
        <w:rPr>
          <w:rFonts w:ascii="Microsoft YaHei" w:eastAsia="Microsoft YaHei" w:hAnsi="Microsoft YaHei"/>
        </w:rPr>
        <w:t xml:space="preserve">的登记，在使用者于应用中确认内容并批准之后，附加记录电子签名加入终端的案件记录（不自动登记）。详细在第二阶段的设计计划中规定。</w:t>
      </w:r>
    </w:p>
    <w:p>
      <w:pPr>
        <w:pStyle w:val="Heading1"/>
      </w:pPr>
      <w:r>
        <w:rPr>
          <w:rFonts w:ascii="Microsoft YaHei" w:eastAsia="Microsoft YaHei" w:hAnsi="Microsoft YaHei"/>
        </w:rPr>
        <w:t xml:space="preserve">3. 证据的保全</w:t>
      </w:r>
    </w:p>
    <w:p>
      <w:pPr>
        <w:pStyle w:val="Heading2"/>
      </w:pPr>
      <w:r>
        <w:rPr>
          <w:rFonts w:ascii="Microsoft YaHei" w:eastAsia="Microsoft YaHei" w:hAnsi="Microsoft YaHei"/>
        </w:rPr>
        <w:t xml:space="preserve">3.1 与事后应显示事项的对应（设计计划书10.3）</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84"/>
        <w:gridCol w:w="1497"/>
        <w:gridCol w:w="7457"/>
      </w:tblGrid>
      <w:tr>
        <w:trPr>
          <w:cantSplit/>
          <w:tblHeader/>
        </w:trPr>
        <w:tc>
          <w:tcPr>
            <w:tcW w:type="dxa" w:w="684"/>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编号</w:t>
            </w:r>
          </w:p>
        </w:tc>
        <w:tc>
          <w:tcPr>
            <w:tcW w:type="dxa" w:w="1497"/>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应显示的事项</w:t>
            </w:r>
          </w:p>
        </w:tc>
        <w:tc>
          <w:tcPr>
            <w:tcW w:type="dxa" w:w="7457"/>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本系统留下的内容</w:t>
            </w:r>
          </w:p>
        </w:tc>
      </w:tr>
      <w:tr>
        <w:trPr>
          <w:cantSplit/>
          <w:tblHeader w:val="off"/>
        </w:trPr>
        <w:tc>
          <w:tcPr>
            <w:tcW w:type="dxa" w:w="68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①</w:t>
            </w:r>
          </w:p>
        </w:tc>
        <w:tc>
          <w:tcPr>
            <w:tcW w:type="dxa" w:w="149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是自己的作品</w:t>
            </w:r>
          </w:p>
        </w:tc>
        <w:tc>
          <w:tcPr>
            <w:tcW w:type="dxa" w:w="745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从案件记录参照作品数据（原图的指纹、输出的SHA-256与PDQ、清单的副本、可信时间戳）</w:t>
            </w:r>
          </w:p>
        </w:tc>
      </w:tr>
      <w:tr>
        <w:trPr>
          <w:cantSplit/>
          <w:tblHeader w:val="off"/>
        </w:trPr>
        <w:tc>
          <w:tcPr>
            <w:tcW w:type="dxa" w:w="68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②</w:t>
            </w:r>
          </w:p>
        </w:tc>
        <w:tc>
          <w:tcPr>
            <w:tcW w:type="dxa" w:w="149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何时、在何处被公开</w:t>
            </w:r>
          </w:p>
        </w:tc>
        <w:tc>
          <w:tcPr>
            <w:tcW w:type="dxa" w:w="745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屏幕图像，不执行脚本的获取的记录（HTML、头部、最终URL、获取时刻），2.3的输入，对证据包的可信时间戳</w:t>
            </w:r>
          </w:p>
        </w:tc>
      </w:tr>
      <w:tr>
        <w:trPr>
          <w:cantSplit/>
          <w:tblHeader w:val="off"/>
        </w:trPr>
        <w:tc>
          <w:tcPr>
            <w:tcW w:type="dxa" w:w="68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③</w:t>
            </w:r>
          </w:p>
        </w:tc>
        <w:tc>
          <w:tcPr>
            <w:tcW w:type="dxa" w:w="149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是同一图片</w:t>
            </w:r>
          </w:p>
        </w:tc>
        <w:tc>
          <w:tcPr>
            <w:tcW w:type="dxa" w:w="745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从隐形水印读出的识别编号、PDQ的距离（4）</w:t>
            </w:r>
          </w:p>
        </w:tc>
      </w:tr>
      <w:tr>
        <w:trPr>
          <w:cantSplit/>
          <w:tblHeader w:val="off"/>
        </w:trPr>
        <w:tc>
          <w:tcPr>
            <w:tcW w:type="dxa" w:w="68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④</w:t>
            </w:r>
          </w:p>
        </w:tc>
        <w:tc>
          <w:tcPr>
            <w:tcW w:type="dxa" w:w="149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谁、在何处公开</w:t>
            </w:r>
          </w:p>
        </w:tc>
        <w:tc>
          <w:tcPr>
            <w:tcW w:type="dxa" w:w="745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DNS、IP地址、ASN、国家、域名的注册信息（5），2.3的账号名</w:t>
            </w:r>
          </w:p>
        </w:tc>
      </w:tr>
      <w:tr>
        <w:trPr>
          <w:cantSplit/>
          <w:tblHeader w:val="off"/>
        </w:trPr>
        <w:tc>
          <w:tcPr>
            <w:tcW w:type="dxa" w:w="68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⑤</w:t>
            </w:r>
          </w:p>
        </w:tc>
        <w:tc>
          <w:tcPr>
            <w:tcW w:type="dxa" w:w="149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是许可范围之外的使用</w:t>
            </w:r>
          </w:p>
        </w:tc>
        <w:tc>
          <w:tcPr>
            <w:tcW w:type="dxa" w:w="745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比对作品的许可范围、随附文件的哈希（第5章“权利文书”），声明的揭示（第2章“签名信息与比对”）</w:t>
            </w:r>
          </w:p>
        </w:tc>
      </w:tr>
    </w:tbl>
    <w:p>
      <w:pPr>
        <w:spacing w:after="100" w:before="0"/>
      </w:pPr>
    </w:p>
    <w:p>
      <w:pPr>
        <w:pStyle w:val="Heading2"/>
      </w:pPr>
      <w:r>
        <w:rPr>
          <w:rFonts w:ascii="Microsoft YaHei" w:eastAsia="Microsoft YaHei" w:hAnsi="Microsoft YaHei"/>
        </w:rPr>
        <w:t xml:space="preserve">3.2 可信时间戳</w:t>
      </w:r>
    </w:p>
    <w:p>
      <w:pPr>
        <w:pStyle w:val="ListParagraph"/>
        <w:keepNext/>
        <w:keepLines/>
        <w:numPr>
          <w:ilvl w:val="0"/>
          <w:numId w:val="2"/>
        </w:numPr>
        <w:spacing w:after="20" w:before="20" w:line="300"/>
      </w:pPr>
      <w:r>
        <w:rPr>
          <w:rFonts w:ascii="Microsoft YaHei" w:eastAsia="Microsoft YaHei" w:hAnsi="Microsoft YaHei"/>
        </w:rPr>
        <w:t xml:space="preserve">对把每个证据文件的SHA-256排列而成的一览（JSON）的SHA-256，取得RFC 3161的可信时间戳（这里的可信时间戳与C2PA的验证器无关，作为时刻的证据使用）。一览与可信时间戳的应答，作为状况的追加（</w:t>
      </w:r>
      <w:r>
        <w:rPr>
          <w:rFonts w:ascii="Consolas" w:eastAsia="Microsoft YaHei" w:hAnsi="Consolas"/>
        </w:rPr>
        <w:t xml:space="preserve">status/&lt;序号&gt;.json</w:t>
      </w:r>
      <w:r>
        <w:rPr>
          <w:rFonts w:ascii="Microsoft YaHei" w:eastAsia="Microsoft YaHei" w:hAnsi="Microsoft YaHei"/>
        </w:rPr>
        <w:t xml:space="preserve">）加入案件。</w:t>
      </w:r>
    </w:p>
    <w:p>
      <w:pPr>
        <w:pStyle w:val="ListParagraph"/>
        <w:keepNext/>
        <w:keepLines/>
        <w:numPr>
          <w:ilvl w:val="0"/>
          <w:numId w:val="2"/>
        </w:numPr>
        <w:spacing w:after="20" w:before="20" w:line="300"/>
      </w:pPr>
      <w:r>
        <w:rPr>
          <w:rFonts w:ascii="Microsoft YaHei" w:eastAsia="Microsoft YaHei" w:hAnsi="Microsoft YaHei"/>
        </w:rPr>
        <w:t xml:space="preserve">补强证据的外部手段（设计计划书10.3规定参照的内容）：中国的互联网法院，对能够通过电子签名、可信时间戳、哈希值校验、区块链等技术手段，或通过电子取证存证平台认证证明其真实性的电子数据予以确认（最高人民法院关于互联网法院审理案件若干问题的规定 第11条）。在日本，记载公证人以五感体验之事实的事实实验公证证书，被用于保全网页的显示状态。本系统不进行这些程序，在应对指引（G-17“应对指引”）的“进一步准备”中显示名称与链接。证据包的导出（3.4）采用能原样带入这些程序的文件形式（法务调查 L-24“电子签名、电子数据作为证据的处理（日、中、美）”）。</w:t>
      </w:r>
    </w:p>
    <w:p>
      <w:pPr>
        <w:pStyle w:val="ListParagraph"/>
        <w:keepNext w:val="false"/>
        <w:keepLines/>
        <w:numPr>
          <w:ilvl w:val="0"/>
          <w:numId w:val="2"/>
        </w:numPr>
        <w:spacing w:after="20" w:before="20" w:line="300"/>
      </w:pPr>
      <w:r>
        <w:rPr>
          <w:rFonts w:ascii="Microsoft YaHei" w:eastAsia="Microsoft YaHei" w:hAnsi="Microsoft YaHei"/>
        </w:rPr>
        <w:t xml:space="preserve">收费的TSA（日本的认定事业者、中国的可信时间戳），由使用者按案件选择。费用由使用者负担（NRSD不做中介。由使用者在应用中设置其签约的TSA账号）。［需估算］各事业者面向个人的提供与费用。</w:t>
      </w:r>
    </w:p>
    <w:p>
      <w:pPr>
        <w:pStyle w:val="Heading2"/>
      </w:pPr>
      <w:r>
        <w:rPr>
          <w:rFonts w:ascii="Microsoft YaHei" w:eastAsia="Microsoft YaHei" w:hAnsi="Microsoft YaHei"/>
        </w:rPr>
        <w:t xml:space="preserve">3.3 获取的失败</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94"/>
        <w:gridCol w:w="6044"/>
      </w:tblGrid>
      <w:tr>
        <w:trPr>
          <w:cantSplit/>
          <w:tblHeader/>
        </w:trPr>
        <w:tc>
          <w:tcPr>
            <w:tcW w:type="dxa" w:w="3594"/>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场景</w:t>
            </w:r>
          </w:p>
        </w:tc>
        <w:tc>
          <w:tcPr>
            <w:tcW w:type="dxa" w:w="6044"/>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处理</w:t>
            </w:r>
          </w:p>
        </w:tc>
      </w:tr>
      <w:tr>
        <w:trPr>
          <w:cantSplit/>
          <w:tblHeader w:val="off"/>
        </w:trPr>
        <w:tc>
          <w:tcPr>
            <w:tcW w:type="dxa" w:w="359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URL已经消失（404、410）</w:t>
            </w:r>
          </w:p>
        </w:tc>
        <w:tc>
          <w:tcPr>
            <w:tcW w:type="dxa" w:w="604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记录该应答，若有屏幕图像则能登记</w:t>
            </w:r>
          </w:p>
        </w:tc>
      </w:tr>
      <w:tr>
        <w:trPr>
          <w:cantSplit/>
          <w:tblHeader w:val="off"/>
        </w:trPr>
        <w:tc>
          <w:tcPr>
            <w:tcW w:type="dxa" w:w="359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无法连接（阻断、超时）</w:t>
            </w:r>
          </w:p>
        </w:tc>
        <w:tc>
          <w:tcPr>
            <w:tcW w:type="dxa" w:w="604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记录失败，以屏幕图像登记。之后以“确认当前状态”（6）重试</w:t>
            </w:r>
          </w:p>
        </w:tc>
      </w:tr>
      <w:tr>
        <w:trPr>
          <w:cantSplit/>
          <w:tblHeader w:val="off"/>
        </w:trPr>
        <w:tc>
          <w:tcPr>
            <w:tcW w:type="dxa" w:w="359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转向登录</w:t>
            </w:r>
          </w:p>
        </w:tc>
        <w:tc>
          <w:tcPr>
            <w:tcW w:type="dxa" w:w="604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按2.2</w:t>
            </w:r>
          </w:p>
        </w:tc>
      </w:tr>
      <w:tr>
        <w:trPr>
          <w:cantSplit/>
          <w:tblHeader w:val="off"/>
        </w:trPr>
        <w:tc>
          <w:tcPr>
            <w:tcW w:type="dxa" w:w="359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应答过大（超过50MB）</w:t>
            </w:r>
          </w:p>
        </w:tc>
        <w:tc>
          <w:tcPr>
            <w:tcW w:type="dxa" w:w="604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记录开头的50MB与哈希、截断的意旨</w:t>
            </w:r>
          </w:p>
        </w:tc>
      </w:tr>
    </w:tbl>
    <w:p>
      <w:pPr>
        <w:spacing w:after="100" w:before="0"/>
      </w:pPr>
    </w:p>
    <w:p>
      <w:pPr>
        <w:pStyle w:val="Heading2"/>
      </w:pPr>
      <w:r>
        <w:rPr>
          <w:rFonts w:ascii="Microsoft YaHei" w:eastAsia="Microsoft YaHei" w:hAnsi="Microsoft YaHei"/>
        </w:rPr>
        <w:t xml:space="preserve">3.4 导出</w:t>
      </w:r>
    </w:p>
    <w:p>
      <w:pPr>
        <w:pStyle w:val="ListParagraph"/>
        <w:keepNext/>
        <w:keepLines/>
        <w:numPr>
          <w:ilvl w:val="0"/>
          <w:numId w:val="2"/>
        </w:numPr>
        <w:spacing w:after="20" w:before="20" w:line="300"/>
      </w:pPr>
      <w:r>
        <w:rPr>
          <w:rFonts w:ascii="Microsoft YaHei" w:eastAsia="Microsoft YaHei" w:hAnsi="Microsoft YaHei"/>
        </w:rPr>
        <w:t xml:space="preserve">以“导出证据包”按案件制作zip：案件记录与记录电子签名、证据文件（WARC、屏幕图像、获取的图片）、可信时间戳的应答、比对的作品数据、随附文件的副本、收集的记录（2.5）、验证的步骤说明书（TXT，日、中、英）、报告书（TXT。登记的概要、①至⑤的对应、哈希的一览）。</w:t>
      </w:r>
    </w:p>
    <w:p>
      <w:pPr>
        <w:pStyle w:val="ListParagraph"/>
        <w:keepNext/>
        <w:keepLines/>
        <w:numPr>
          <w:ilvl w:val="0"/>
          <w:numId w:val="2"/>
        </w:numPr>
        <w:spacing w:after="20" w:before="20" w:line="300"/>
      </w:pPr>
      <w:r>
        <w:rPr>
          <w:rFonts w:ascii="Microsoft YaHei" w:eastAsia="Microsoft YaHei" w:hAnsi="Microsoft YaHei"/>
        </w:rPr>
        <w:t xml:space="preserve">在报告书中设置由使用者追写的栏（姓名、收集终端的IP地址等）。追写的内容不保存在应用中（只放入导出的文件）。</w:t>
      </w:r>
    </w:p>
    <w:p>
      <w:pPr>
        <w:pStyle w:val="ListParagraph"/>
        <w:keepNext w:val="false"/>
        <w:keepLines/>
        <w:numPr>
          <w:ilvl w:val="0"/>
          <w:numId w:val="2"/>
        </w:numPr>
        <w:spacing w:after="20" w:before="20" w:line="300"/>
      </w:pPr>
      <w:r>
        <w:rPr>
          <w:rFonts w:ascii="Microsoft YaHei" w:eastAsia="Microsoft YaHei" w:hAnsi="Microsoft YaHei"/>
        </w:rPr>
        <w:t xml:space="preserve">在验证的步骤说明书中，载明哈希的计算方法（操作系统的标准命令）与可信时间戳的验证方法（OpenSSL的命令）。使专家不借助本系统也能确认。</w:t>
      </w:r>
    </w:p>
    <w:p>
      <w:pPr>
        <w:pStyle w:val="Heading1"/>
      </w:pPr>
      <w:r>
        <w:rPr>
          <w:rFonts w:ascii="Microsoft YaHei" w:eastAsia="Microsoft YaHei" w:hAnsi="Microsoft YaHei"/>
        </w:rPr>
        <w:t xml:space="preserve">4. 比对</w:t>
      </w:r>
    </w:p>
    <w:p>
      <w:pPr>
        <w:pStyle w:val="Heading2"/>
      </w:pPr>
      <w:r>
        <w:rPr>
          <w:rFonts w:ascii="Microsoft YaHei" w:eastAsia="Microsoft YaHei" w:hAnsi="Microsoft YaHei"/>
        </w:rPr>
        <w:t xml:space="preserve">4.1 一致度的显示方式</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726"/>
        <w:gridCol w:w="5912"/>
      </w:tblGrid>
      <w:tr>
        <w:trPr>
          <w:cantSplit/>
          <w:tblHeader/>
        </w:trPr>
        <w:tc>
          <w:tcPr>
            <w:tcW w:type="dxa" w:w="3726"/>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结果</w:t>
            </w:r>
          </w:p>
        </w:tc>
        <w:tc>
          <w:tcPr>
            <w:tcW w:type="dxa" w:w="5912"/>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显示</w:t>
            </w:r>
          </w:p>
        </w:tc>
      </w:tr>
      <w:tr>
        <w:trPr>
          <w:cantSplit/>
          <w:tblHeader w:val="off"/>
        </w:trPr>
        <w:tc>
          <w:tcPr>
            <w:tcW w:type="dxa" w:w="372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能从隐形水印读出识别编号，且与自己的作品数据一致</w:t>
            </w:r>
          </w:p>
        </w:tc>
        <w:tc>
          <w:tcPr>
            <w:tcW w:type="dxa" w:w="591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“一致（水印）：识别编号 XXXXX-XXXXX-XXX”</w:t>
            </w:r>
          </w:p>
        </w:tc>
      </w:tr>
      <w:tr>
        <w:trPr>
          <w:cantSplit/>
          <w:tblHeader w:val="off"/>
        </w:trPr>
        <w:tc>
          <w:tcPr>
            <w:tcW w:type="dxa" w:w="372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无法读出水印，但PDQ的距离为0至15（初始值）</w:t>
            </w:r>
          </w:p>
        </w:tc>
        <w:tc>
          <w:tcPr>
            <w:tcW w:type="dxa" w:w="591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“几乎一致（外观的指纹）”</w:t>
            </w:r>
          </w:p>
        </w:tc>
      </w:tr>
      <w:tr>
        <w:trPr>
          <w:cantSplit/>
          <w:tblHeader w:val="off"/>
        </w:trPr>
        <w:tc>
          <w:tcPr>
            <w:tcW w:type="dxa" w:w="372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PDQ的距离为16至31</w:t>
            </w:r>
          </w:p>
        </w:tc>
        <w:tc>
          <w:tcPr>
            <w:tcW w:type="dxa" w:w="591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“相似（外观的指纹）：可能是经过加工的同一照片”（在第3章 6“比对用哈希”的比对阈值31以下之内）</w:t>
            </w:r>
          </w:p>
        </w:tc>
      </w:tr>
      <w:tr>
        <w:trPr>
          <w:cantSplit/>
          <w:tblHeader w:val="off"/>
        </w:trPr>
        <w:tc>
          <w:tcPr>
            <w:tcW w:type="dxa" w:w="372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能从水印读出识别编号，但不在自己的作品数据中</w:t>
            </w:r>
          </w:p>
        </w:tc>
        <w:tc>
          <w:tcPr>
            <w:tcW w:type="dxa" w:w="591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“他人编号的水印”。引导到冒充权利人者线索的界面（第10章 G-24“线索比较”、第2章 4.4“冒充权利人者出现时的线索”）</w:t>
            </w:r>
          </w:p>
        </w:tc>
      </w:tr>
      <w:tr>
        <w:trPr>
          <w:cantSplit/>
          <w:tblHeader w:val="off"/>
        </w:trPr>
        <w:tc>
          <w:tcPr>
            <w:tcW w:type="dxa" w:w="372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PDQ的距离为32以上，无水印</w:t>
            </w:r>
          </w:p>
        </w:tc>
        <w:tc>
          <w:tcPr>
            <w:tcW w:type="dxa" w:w="591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“无法确认一致”</w:t>
            </w:r>
          </w:p>
        </w:tc>
      </w:tr>
    </w:tbl>
    <w:p>
      <w:pPr>
        <w:spacing w:after="100" w:before="0"/>
      </w:pPr>
    </w:p>
    <w:p>
      <w:pPr>
        <w:pStyle w:val="ListParagraph"/>
        <w:keepNext w:val="false"/>
        <w:keepLines/>
        <w:numPr>
          <w:ilvl w:val="0"/>
          <w:numId w:val="2"/>
        </w:numPr>
        <w:spacing w:after="20" w:before="20" w:line="300"/>
      </w:pPr>
      <w:r>
        <w:rPr>
          <w:rFonts w:ascii="Microsoft YaHei" w:eastAsia="Microsoft YaHei" w:hAnsi="Microsoft YaHei"/>
        </w:rPr>
        <w:t xml:space="preserve">一致的判断与登记的责任由使用者承担（D-10-6“比对的判断及登记的责任，由进行登记的使用者本人承担”）。即使是“无法确认一致”也能登记，但在一览中加上“无法确认一致的登记”的标记，并提示在申诉之前确认。</w:t>
      </w:r>
    </w:p>
    <w:p>
      <w:pPr>
        <w:pStyle w:val="Heading2"/>
      </w:pPr>
      <w:r>
        <w:rPr>
          <w:rFonts w:ascii="Microsoft YaHei" w:eastAsia="Microsoft YaHei" w:hAnsi="Microsoft YaHei"/>
        </w:rPr>
        <w:t xml:space="preserve">4.2 违反了什么</w:t>
      </w:r>
    </w:p>
    <w:p>
      <w:pPr>
        <w:pStyle w:val="ListParagraph"/>
        <w:keepNext/>
        <w:keepLines/>
        <w:numPr>
          <w:ilvl w:val="0"/>
          <w:numId w:val="2"/>
        </w:numPr>
        <w:spacing w:after="20" w:before="20" w:line="300"/>
      </w:pPr>
      <w:r>
        <w:rPr>
          <w:rFonts w:ascii="Microsoft YaHei" w:eastAsia="Microsoft YaHei" w:hAnsi="Microsoft YaHei"/>
        </w:rPr>
        <w:t xml:space="preserve">根据比对作品的许可范围与转载的形态（2.3的“有偿的分发”、被公开），显示以下候选：“许可范围外的公开（转载）”“商业利用（未另行许可）”。“比对数据的删除”的候选，仅在保留C2PA的途径（在第3章 10.3“在发布网站、云端的保留”中确认会保留的发布网站、云端）上没有C2PA签名时，或转载图片是从交付用的输出中只去除了C2PA签名的图片（不伴随格式的转换、再压缩，像素相同）时显示。多数社交平台在发布时删除C2PA，因此在社交平台上没有C2PA签名不能成为删除的线索（在日本法中，因技术限制导致的删除也被排除。法务调查 L-1“权利管理信息的去除、改变（日）”）。</w:t>
      </w:r>
    </w:p>
    <w:p>
      <w:pPr>
        <w:pStyle w:val="ListParagraph"/>
        <w:keepNext w:val="false"/>
        <w:keepLines/>
        <w:numPr>
          <w:ilvl w:val="0"/>
          <w:numId w:val="2"/>
        </w:numPr>
        <w:spacing w:after="20" w:before="20" w:line="300"/>
      </w:pPr>
      <w:r>
        <w:rPr>
          <w:rFonts w:ascii="Microsoft YaHei" w:eastAsia="Microsoft YaHei" w:hAnsi="Microsoft YaHei"/>
        </w:rPr>
        <w:t xml:space="preserve">候选不是法律的判断，而是作为与许可范围对照的结果显示（第7章 7“界线”）。</w:t>
      </w:r>
    </w:p>
    <w:p>
      <w:pPr>
        <w:pStyle w:val="Heading1"/>
      </w:pPr>
      <w:r>
        <w:rPr>
          <w:rFonts w:ascii="Microsoft YaHei" w:eastAsia="Microsoft YaHei" w:hAnsi="Microsoft YaHei"/>
        </w:rPr>
        <w:t xml:space="preserve">5. 谁、在何处（④）</w:t>
      </w:r>
    </w:p>
    <w:p>
      <w:pPr>
        <w:pStyle w:val="ListParagraph"/>
        <w:keepNext/>
        <w:keepLines/>
        <w:numPr>
          <w:ilvl w:val="0"/>
          <w:numId w:val="2"/>
        </w:numPr>
        <w:spacing w:after="20" w:before="20" w:line="300"/>
      </w:pPr>
      <w:r>
        <w:rPr>
          <w:rFonts w:ascii="Microsoft YaHei" w:eastAsia="Microsoft YaHei" w:hAnsi="Microsoft YaHei"/>
        </w:rPr>
        <w:t xml:space="preserve">以DNS查询A、AAAA，对IP地址以RIR的RDAP取得ASN、组织、国家、滥用举报的窗口。对域名以域名的RDAP（与ICANN Lookup相同的机制）取得注册商、窗口（企划草案［23］）。</w:t>
      </w:r>
    </w:p>
    <w:p>
      <w:pPr>
        <w:pStyle w:val="ListParagraph"/>
        <w:keepNext/>
        <w:keepLines/>
        <w:numPr>
          <w:ilvl w:val="0"/>
          <w:numId w:val="2"/>
        </w:numPr>
        <w:spacing w:after="20" w:before="20" w:line="300"/>
      </w:pPr>
      <w:r>
        <w:rPr>
          <w:rFonts w:ascii="Microsoft YaHei" w:eastAsia="Microsoft YaHei" w:hAnsi="Microsoft YaHei"/>
        </w:rPr>
        <w:t xml:space="preserve">中国的网站：若能从页面的末尾读取ICP备案号则予以记录。工业和信息化部备案的查询（企划草案［22］），作为使用者进行的步骤在第7章“法律应对指引”中指引（查询界面有图片验证，因此不从应用自动查询）。</w:t>
      </w:r>
    </w:p>
    <w:p>
      <w:pPr>
        <w:pStyle w:val="ListParagraph"/>
        <w:keepNext w:val="false"/>
        <w:keepLines/>
        <w:numPr>
          <w:ilvl w:val="0"/>
          <w:numId w:val="2"/>
        </w:numPr>
        <w:spacing w:after="20" w:before="20" w:line="300"/>
      </w:pPr>
      <w:r>
        <w:rPr>
          <w:rFonts w:ascii="Microsoft YaHei" w:eastAsia="Microsoft YaHei" w:hAnsi="Microsoft YaHei"/>
        </w:rPr>
        <w:t xml:space="preserve">CDN背后真正的服务器，有时以RDAP无法得知。此时CDN事业者的滥用举报窗口也可以成为申诉的对象（第7章“法律应对指引”）。</w:t>
      </w:r>
    </w:p>
    <w:p>
      <w:pPr>
        <w:pStyle w:val="Heading1"/>
      </w:pPr>
      <w:r>
        <w:rPr>
          <w:rFonts w:ascii="Microsoft YaHei" w:eastAsia="Microsoft YaHei" w:hAnsi="Microsoft YaHei"/>
        </w:rPr>
        <w:t xml:space="preserve">6. 状况确认</w:t>
      </w:r>
    </w:p>
    <w:p>
      <w:pPr>
        <w:pStyle w:val="Heading2"/>
      </w:pPr>
      <w:r>
        <w:rPr>
          <w:rFonts w:ascii="Microsoft YaHei" w:eastAsia="Microsoft YaHei" w:hAnsi="Microsoft YaHei"/>
        </w:rPr>
        <w:t xml:space="preserve">6.1 状况的记录</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712"/>
        <w:gridCol w:w="3926"/>
      </w:tblGrid>
      <w:tr>
        <w:trPr>
          <w:cantSplit/>
          <w:tblHeader/>
        </w:trPr>
        <w:tc>
          <w:tcPr>
            <w:tcW w:type="dxa" w:w="5712"/>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状况</w:t>
            </w:r>
          </w:p>
        </w:tc>
        <w:tc>
          <w:tcPr>
            <w:tcW w:type="dxa" w:w="3926"/>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记录者</w:t>
            </w:r>
          </w:p>
        </w:tc>
      </w:tr>
      <w:tr>
        <w:trPr>
          <w:cantSplit/>
          <w:tblHeader w:val="off"/>
        </w:trPr>
        <w:tc>
          <w:tcPr>
            <w:tcW w:type="dxa" w:w="571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已登记</w:t>
            </w:r>
          </w:p>
        </w:tc>
        <w:tc>
          <w:tcPr>
            <w:tcW w:type="dxa" w:w="392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应用（登记时）</w:t>
            </w:r>
          </w:p>
        </w:tc>
      </w:tr>
      <w:tr>
        <w:trPr>
          <w:cantSplit/>
          <w:tblHeader w:val="off"/>
        </w:trPr>
        <w:tc>
          <w:tcPr>
            <w:tcW w:type="dxa" w:w="571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已申诉（日期时间、窗口、方法、申请人的立场（第7章 3.4“申请人的立场”））</w:t>
            </w:r>
          </w:p>
        </w:tc>
        <w:tc>
          <w:tcPr>
            <w:tcW w:type="dxa" w:w="392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使用者的输入（从第7章的流程）</w:t>
            </w:r>
          </w:p>
        </w:tc>
      </w:tr>
      <w:tr>
        <w:trPr>
          <w:cantSplit/>
          <w:tblHeader w:val="off"/>
        </w:trPr>
        <w:tc>
          <w:tcPr>
            <w:tcW w:type="dxa" w:w="571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事业者的应答（受理、判断的结果）</w:t>
            </w:r>
          </w:p>
        </w:tc>
        <w:tc>
          <w:tcPr>
            <w:tcW w:type="dxa" w:w="392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使用者的输入</w:t>
            </w:r>
          </w:p>
        </w:tc>
      </w:tr>
      <w:tr>
        <w:trPr>
          <w:cantSplit/>
          <w:tblHeader w:val="off"/>
        </w:trPr>
        <w:tc>
          <w:tcPr>
            <w:tcW w:type="dxa" w:w="571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确认删除</w:t>
            </w:r>
          </w:p>
        </w:tc>
        <w:tc>
          <w:tcPr>
            <w:tcW w:type="dxa" w:w="392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使用者的操作（6.2）</w:t>
            </w:r>
          </w:p>
        </w:tc>
      </w:tr>
      <w:tr>
        <w:trPr>
          <w:cantSplit/>
          <w:tblHeader w:val="off"/>
        </w:trPr>
        <w:tc>
          <w:tcPr>
            <w:tcW w:type="dxa" w:w="571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确认再次发布</w:t>
            </w:r>
          </w:p>
        </w:tc>
        <w:tc>
          <w:tcPr>
            <w:tcW w:type="dxa" w:w="392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使用者的操作</w:t>
            </w:r>
          </w:p>
        </w:tc>
      </w:tr>
      <w:tr>
        <w:trPr>
          <w:cantSplit/>
          <w:tblHeader w:val="off"/>
        </w:trPr>
        <w:tc>
          <w:tcPr>
            <w:tcW w:type="dxa" w:w="571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撤回</w:t>
            </w:r>
          </w:p>
        </w:tc>
        <w:tc>
          <w:tcPr>
            <w:tcW w:type="dxa" w:w="392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使用者的输入（7）</w:t>
            </w:r>
          </w:p>
        </w:tc>
      </w:tr>
    </w:tbl>
    <w:p>
      <w:pPr>
        <w:spacing w:after="100" w:before="0"/>
      </w:pPr>
    </w:p>
    <w:p>
      <w:pPr>
        <w:pStyle w:val="ListParagraph"/>
        <w:keepNext w:val="false"/>
        <w:keepLines/>
        <w:numPr>
          <w:ilvl w:val="0"/>
          <w:numId w:val="2"/>
        </w:numPr>
        <w:spacing w:after="20" w:before="20" w:line="300"/>
      </w:pPr>
      <w:r>
        <w:rPr>
          <w:rFonts w:ascii="Microsoft YaHei" w:eastAsia="Microsoft YaHei" w:hAnsi="Microsoft YaHei"/>
        </w:rPr>
        <w:t xml:space="preserve">申诉之后程序的期限（日本的大规模特定电信服务提供者的7日通知、美国反通知之后的10至14个工作日等），按第7章 6.3“程序期限的显示”的表在案件的界面上显示。</w:t>
      </w:r>
    </w:p>
    <w:p>
      <w:pPr>
        <w:pStyle w:val="Heading2"/>
      </w:pPr>
      <w:r>
        <w:rPr>
          <w:rFonts w:ascii="Microsoft YaHei" w:eastAsia="Microsoft YaHei" w:hAnsi="Microsoft YaHei"/>
        </w:rPr>
        <w:t xml:space="preserve">6.2 当前状态的确认</w:t>
      </w:r>
    </w:p>
    <w:p>
      <w:pPr>
        <w:pStyle w:val="ListParagraph"/>
        <w:keepNext/>
        <w:keepLines/>
        <w:numPr>
          <w:ilvl w:val="0"/>
          <w:numId w:val="2"/>
        </w:numPr>
        <w:spacing w:after="20" w:before="20" w:line="300"/>
      </w:pPr>
      <w:r>
        <w:rPr>
          <w:rFonts w:ascii="Microsoft YaHei" w:eastAsia="Microsoft YaHei" w:hAnsi="Microsoft YaHei"/>
        </w:rPr>
        <w:t xml:space="preserve">仅在使用者按下按钮时，对登记的URL进行1次不执行脚本的获取，记录HTTP的状态、正文的哈希、图片的有无，并附加可信时间戳。</w:t>
      </w:r>
    </w:p>
    <w:p>
      <w:pPr>
        <w:pStyle w:val="ListParagraph"/>
        <w:keepNext w:val="false"/>
        <w:keepLines/>
        <w:numPr>
          <w:ilvl w:val="0"/>
          <w:numId w:val="2"/>
        </w:numPr>
        <w:spacing w:after="20" w:before="20" w:line="300"/>
      </w:pPr>
      <w:r>
        <w:rPr>
          <w:rFonts w:ascii="Microsoft YaHei" w:eastAsia="Microsoft YaHei" w:hAnsi="Microsoft YaHei"/>
        </w:rPr>
        <w:t xml:space="preserve">不进行定期的自动确认。在一览的界面上显示“最后确认的日期”，使使用者能够想起。</w:t>
      </w:r>
    </w:p>
    <w:p>
      <w:pPr>
        <w:pStyle w:val="Heading1"/>
      </w:pPr>
      <w:r>
        <w:rPr>
          <w:rFonts w:ascii="Microsoft YaHei" w:eastAsia="Microsoft YaHei" w:hAnsi="Microsoft YaHei"/>
        </w:rPr>
        <w:t xml:space="preserve">7. 订正</w:t>
      </w:r>
    </w:p>
    <w:p>
      <w:pPr>
        <w:pStyle w:val="ListParagraph"/>
        <w:keepNext/>
        <w:keepLines/>
        <w:numPr>
          <w:ilvl w:val="0"/>
          <w:numId w:val="2"/>
        </w:numPr>
        <w:spacing w:after="20" w:before="20" w:line="300"/>
      </w:pPr>
      <w:r>
        <w:rPr>
          <w:rFonts w:ascii="Microsoft YaHei" w:eastAsia="Microsoft YaHei" w:hAnsi="Microsoft YaHei"/>
        </w:rPr>
        <w:t xml:space="preserve">错误登记的撤回：使用者选择理由（错误、已许可、其他），追加撤回的记录。删除证据文件，在案件记录中留下撤回、理由与日期时间（第1章 8.4“保留与删除”）。从一览的件数中除去。</w:t>
      </w:r>
    </w:p>
    <w:p>
      <w:pPr>
        <w:pStyle w:val="ListParagraph"/>
        <w:keepNext w:val="false"/>
        <w:keepLines/>
        <w:numPr>
          <w:ilvl w:val="0"/>
          <w:numId w:val="2"/>
        </w:numPr>
        <w:spacing w:after="20" w:before="20" w:line="300"/>
      </w:pPr>
      <w:r>
        <w:rPr>
          <w:rFonts w:ascii="Microsoft YaHei" w:eastAsia="Microsoft YaHei" w:hAnsi="Microsoft YaHei"/>
        </w:rPr>
        <w:t xml:space="preserve">登记了不是自己作品的转载时（R-6-6-2“登记了非本人作品的转载时的处理已确定”）：登记停留在终端中，不会送达其他使用者或事业者。产生损害的，是使用者以该登记为依据发送申诉的情况，在申诉之前显示比对的结果与线索（第2章 4.4“冒充权利人者出现时的线索”），并显示责任在于使用者（D-10-6“比对的判断及登记的责任，由进行登记的使用者本人承担”）。</w:t>
      </w:r>
    </w:p>
    <w:p>
      <w:pPr>
        <w:pStyle w:val="Heading1"/>
      </w:pPr>
      <w:r>
        <w:rPr>
          <w:rFonts w:ascii="Microsoft YaHei" w:eastAsia="Microsoft YaHei" w:hAnsi="Microsoft YaHei"/>
        </w:rPr>
        <w:t xml:space="preserve">8. 一览与手段</w:t>
      </w:r>
    </w:p>
    <w:p>
      <w:pPr>
        <w:pStyle w:val="ListParagraph"/>
        <w:keepNext/>
        <w:keepLines/>
        <w:numPr>
          <w:ilvl w:val="0"/>
          <w:numId w:val="2"/>
        </w:numPr>
        <w:spacing w:after="20" w:before="20" w:line="300"/>
      </w:pPr>
      <w:r>
        <w:rPr>
          <w:rFonts w:ascii="Microsoft YaHei" w:eastAsia="Microsoft YaHei" w:hAnsi="Microsoft YaHei"/>
        </w:rPr>
        <w:t xml:space="preserve">一览：把登记的转载按转载网站（域名）归并，显示件数、最初的登记日、最后确认的日期、状况（6.1）、商业利用的标记（第7章 6.2“共同的应对与优先”）。</w:t>
      </w:r>
    </w:p>
    <w:p>
      <w:pPr>
        <w:pStyle w:val="ListParagraph"/>
        <w:keepNext/>
        <w:keepLines/>
        <w:numPr>
          <w:ilvl w:val="0"/>
          <w:numId w:val="2"/>
        </w:numPr>
        <w:spacing w:after="20" w:before="20" w:line="300"/>
      </w:pPr>
      <w:r>
        <w:rPr>
          <w:rFonts w:ascii="Microsoft YaHei" w:eastAsia="Microsoft YaHei" w:hAnsi="Microsoft YaHei"/>
        </w:rPr>
        <w:t xml:space="preserve">手段的选项：对各案件显示可以采取的手段（向发布网站的窗口申诉、向CDN与托管事业者通知、中国网站的ICP备案查询、作为向专家咨询的准备而导出）。采取哪一个由使用者判断（第7章“法律应对指引”）。</w:t>
      </w:r>
    </w:p>
    <w:p>
      <w:pPr>
        <w:pStyle w:val="ListParagraph"/>
        <w:keepNext w:val="false"/>
        <w:keepLines/>
        <w:numPr>
          <w:ilvl w:val="0"/>
          <w:numId w:val="2"/>
        </w:numPr>
        <w:spacing w:after="20" w:before="20" w:line="300"/>
      </w:pPr>
      <w:r>
        <w:rPr>
          <w:rFonts w:ascii="Microsoft YaHei" w:eastAsia="Microsoft YaHei" w:hAnsi="Microsoft YaHei"/>
        </w:rPr>
        <w:t xml:space="preserve">共享：不与其他使用者共享（D-10-9“已登记转载的信息在使用者的终端汇总为一览，并提示可采取手段的选项。不在使用者之间共享（在第二阶段中处理）”）。转载网站信息的共享，以及由著作者以外的人向著作者的通知，在第二阶段的设计计划中处理（D-13-3“用于通知著作者的联系方式的登记，在第二阶段的设计计划中处理”）。</w:t>
      </w:r>
    </w:p>
    <w:p>
      <w:pPr>
        <w:pStyle w:val="Heading1"/>
      </w:pPr>
      <w:r>
        <w:rPr>
          <w:rFonts w:ascii="Microsoft YaHei" w:eastAsia="Microsoft YaHei" w:hAnsi="Microsoft YaHei"/>
        </w:rPr>
        <w:t xml:space="preserve">9. 与要求的对应</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36"/>
        <w:gridCol w:w="4098"/>
        <w:gridCol w:w="3904"/>
      </w:tblGrid>
      <w:tr>
        <w:trPr>
          <w:cantSplit/>
          <w:tblHeader/>
        </w:trPr>
        <w:tc>
          <w:tcPr>
            <w:tcW w:type="dxa" w:w="1636"/>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要求的编号</w:t>
            </w:r>
          </w:p>
        </w:tc>
        <w:tc>
          <w:tcPr>
            <w:tcW w:type="dxa" w:w="4098"/>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要求的内容</w:t>
            </w:r>
          </w:p>
        </w:tc>
        <w:tc>
          <w:tcPr>
            <w:tcW w:type="dxa" w:w="3904"/>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本文件中承接的节</w:t>
            </w:r>
          </w:p>
        </w:tc>
      </w:tr>
      <w:tr>
        <w:trPr>
          <w:cantSplit/>
          <w:tblHeader w:val="off"/>
        </w:trPr>
        <w:tc>
          <w:tcPr>
            <w:tcW w:type="dxa" w:w="163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R-6-1-1</w:t>
            </w:r>
          </w:p>
        </w:tc>
        <w:tc>
          <w:tcPr>
            <w:tcW w:type="dxa" w:w="409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能以1个按钮登记</w:t>
            </w:r>
          </w:p>
        </w:tc>
        <w:tc>
          <w:tcPr>
            <w:tcW w:type="dxa" w:w="390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2“登记”</w:t>
            </w:r>
          </w:p>
        </w:tc>
      </w:tr>
      <w:tr>
        <w:trPr>
          <w:cantSplit/>
          <w:tblHeader w:val="off"/>
        </w:trPr>
        <w:tc>
          <w:tcPr>
            <w:tcW w:type="dxa" w:w="163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R-6-1-2</w:t>
            </w:r>
          </w:p>
        </w:tc>
        <w:tc>
          <w:tcPr>
            <w:tcW w:type="dxa" w:w="409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需要登录的页面，能导入本人获取的内容</w:t>
            </w:r>
          </w:p>
        </w:tc>
        <w:tc>
          <w:tcPr>
            <w:tcW w:type="dxa" w:w="390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2“登记”</w:t>
            </w:r>
          </w:p>
        </w:tc>
      </w:tr>
      <w:tr>
        <w:trPr>
          <w:cantSplit/>
          <w:tblHeader w:val="off"/>
        </w:trPr>
        <w:tc>
          <w:tcPr>
            <w:tcW w:type="dxa" w:w="163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R-6-1-3</w:t>
            </w:r>
          </w:p>
        </w:tc>
        <w:tc>
          <w:tcPr>
            <w:tcW w:type="dxa" w:w="409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登记记录在使用者的终端中，不影响其他使用者的记录</w:t>
            </w:r>
          </w:p>
        </w:tc>
        <w:tc>
          <w:tcPr>
            <w:tcW w:type="dxa" w:w="390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2“登记”</w:t>
            </w:r>
          </w:p>
        </w:tc>
      </w:tr>
      <w:tr>
        <w:trPr>
          <w:cantSplit/>
          <w:tblHeader w:val="off"/>
        </w:trPr>
        <w:tc>
          <w:tcPr>
            <w:tcW w:type="dxa" w:w="163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R-6-1-4</w:t>
            </w:r>
          </w:p>
        </w:tc>
        <w:tc>
          <w:tcPr>
            <w:tcW w:type="dxa" w:w="409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有受理来自第二阶段登记的余地</w:t>
            </w:r>
          </w:p>
        </w:tc>
        <w:tc>
          <w:tcPr>
            <w:tcW w:type="dxa" w:w="390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2“登记”</w:t>
            </w:r>
          </w:p>
        </w:tc>
      </w:tr>
      <w:tr>
        <w:trPr>
          <w:cantSplit/>
          <w:tblHeader w:val="off"/>
        </w:trPr>
        <w:tc>
          <w:tcPr>
            <w:tcW w:type="dxa" w:w="163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R-6-2-1</w:t>
            </w:r>
          </w:p>
        </w:tc>
        <w:tc>
          <w:tcPr>
            <w:tcW w:type="dxa" w:w="409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能留下事后应显示的事项（设计计划书10.3）</w:t>
            </w:r>
          </w:p>
        </w:tc>
        <w:tc>
          <w:tcPr>
            <w:tcW w:type="dxa" w:w="390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2.2“不执行脚本的获取”、3.1“与事后应显示事项的对应（设计计划书10.3）”、3.3“获取的失败”</w:t>
            </w:r>
          </w:p>
        </w:tc>
      </w:tr>
      <w:tr>
        <w:trPr>
          <w:cantSplit/>
          <w:tblHeader w:val="off"/>
        </w:trPr>
        <w:tc>
          <w:tcPr>
            <w:tcW w:type="dxa" w:w="163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R-6-2-2</w:t>
            </w:r>
          </w:p>
        </w:tc>
        <w:tc>
          <w:tcPr>
            <w:tcW w:type="dxa" w:w="409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对获取的失败、恶意网站有所准备</w:t>
            </w:r>
          </w:p>
        </w:tc>
        <w:tc>
          <w:tcPr>
            <w:tcW w:type="dxa" w:w="390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2.2“不执行脚本的获取”、3.1“与事后应显示事项的对应（设计计划书10.3）”、3.3“获取的失败”</w:t>
            </w:r>
          </w:p>
        </w:tc>
      </w:tr>
      <w:tr>
        <w:trPr>
          <w:cantSplit/>
          <w:tblHeader w:val="off"/>
        </w:trPr>
        <w:tc>
          <w:tcPr>
            <w:tcW w:type="dxa" w:w="163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R-6-3-1</w:t>
            </w:r>
          </w:p>
        </w:tc>
        <w:tc>
          <w:tcPr>
            <w:tcW w:type="dxa" w:w="409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附有可信时间戳，能显示未被篡改</w:t>
            </w:r>
          </w:p>
        </w:tc>
        <w:tc>
          <w:tcPr>
            <w:tcW w:type="dxa" w:w="390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3.2“可信时间戳”、3.4“导出”</w:t>
            </w:r>
          </w:p>
        </w:tc>
      </w:tr>
      <w:tr>
        <w:trPr>
          <w:cantSplit/>
          <w:tblHeader w:val="off"/>
        </w:trPr>
        <w:tc>
          <w:tcPr>
            <w:tcW w:type="dxa" w:w="163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R-6-3-2</w:t>
            </w:r>
          </w:p>
        </w:tc>
        <w:tc>
          <w:tcPr>
            <w:tcW w:type="dxa" w:w="409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能以可交给专家的形式导出</w:t>
            </w:r>
          </w:p>
        </w:tc>
        <w:tc>
          <w:tcPr>
            <w:tcW w:type="dxa" w:w="390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3.2“可信时间戳”、3.4“导出”</w:t>
            </w:r>
          </w:p>
        </w:tc>
      </w:tr>
      <w:tr>
        <w:trPr>
          <w:cantSplit/>
          <w:tblHeader w:val="off"/>
        </w:trPr>
        <w:tc>
          <w:tcPr>
            <w:tcW w:type="dxa" w:w="163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R-6-4-1</w:t>
            </w:r>
          </w:p>
        </w:tc>
        <w:tc>
          <w:tcPr>
            <w:tcW w:type="dxa" w:w="409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能显示一致度与违反了什么</w:t>
            </w:r>
          </w:p>
        </w:tc>
        <w:tc>
          <w:tcPr>
            <w:tcW w:type="dxa" w:w="390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4“比对”</w:t>
            </w:r>
          </w:p>
        </w:tc>
      </w:tr>
      <w:tr>
        <w:trPr>
          <w:cantSplit/>
          <w:tblHeader w:val="off"/>
        </w:trPr>
        <w:tc>
          <w:tcPr>
            <w:tcW w:type="dxa" w:w="163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R-6-5-1</w:t>
            </w:r>
          </w:p>
        </w:tc>
        <w:tc>
          <w:tcPr>
            <w:tcW w:type="dxa" w:w="409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使用者能看到所登记转载的后续</w:t>
            </w:r>
          </w:p>
        </w:tc>
        <w:tc>
          <w:tcPr>
            <w:tcW w:type="dxa" w:w="390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6“状况确认”</w:t>
            </w:r>
          </w:p>
        </w:tc>
      </w:tr>
      <w:tr>
        <w:trPr>
          <w:cantSplit/>
          <w:tblHeader w:val="off"/>
        </w:trPr>
        <w:tc>
          <w:tcPr>
            <w:tcW w:type="dxa" w:w="163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R-6-5-2</w:t>
            </w:r>
          </w:p>
        </w:tc>
        <w:tc>
          <w:tcPr>
            <w:tcW w:type="dxa" w:w="409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与申诉的记录相关联</w:t>
            </w:r>
          </w:p>
        </w:tc>
        <w:tc>
          <w:tcPr>
            <w:tcW w:type="dxa" w:w="390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6“状况确认”</w:t>
            </w:r>
          </w:p>
        </w:tc>
      </w:tr>
      <w:tr>
        <w:trPr>
          <w:cantSplit/>
          <w:tblHeader w:val="off"/>
        </w:trPr>
        <w:tc>
          <w:tcPr>
            <w:tcW w:type="dxa" w:w="163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R-6-6-1</w:t>
            </w:r>
          </w:p>
        </w:tc>
        <w:tc>
          <w:tcPr>
            <w:tcW w:type="dxa" w:w="409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能撤回错误的登记</w:t>
            </w:r>
          </w:p>
        </w:tc>
        <w:tc>
          <w:tcPr>
            <w:tcW w:type="dxa" w:w="390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7“订正”</w:t>
            </w:r>
          </w:p>
        </w:tc>
      </w:tr>
      <w:tr>
        <w:trPr>
          <w:cantSplit/>
          <w:tblHeader w:val="off"/>
        </w:trPr>
        <w:tc>
          <w:tcPr>
            <w:tcW w:type="dxa" w:w="163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R-6-6-2</w:t>
            </w:r>
          </w:p>
        </w:tc>
        <w:tc>
          <w:tcPr>
            <w:tcW w:type="dxa" w:w="409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登记了不是自己作品的转载时的处理已确定</w:t>
            </w:r>
          </w:p>
        </w:tc>
        <w:tc>
          <w:tcPr>
            <w:tcW w:type="dxa" w:w="390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7“订正”</w:t>
            </w:r>
          </w:p>
        </w:tc>
      </w:tr>
      <w:tr>
        <w:trPr>
          <w:cantSplit/>
          <w:tblHeader w:val="off"/>
        </w:trPr>
        <w:tc>
          <w:tcPr>
            <w:tcW w:type="dxa" w:w="163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R-6-7-1</w:t>
            </w:r>
          </w:p>
        </w:tc>
        <w:tc>
          <w:tcPr>
            <w:tcW w:type="dxa" w:w="409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能把登记的转载汇总为一览，显示可以采取的手段的选项（不在使用者之间共享）</w:t>
            </w:r>
          </w:p>
        </w:tc>
        <w:tc>
          <w:tcPr>
            <w:tcW w:type="dxa" w:w="390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8“一览与手段”</w:t>
            </w:r>
          </w:p>
        </w:tc>
      </w:tr>
    </w:tbl>
    <w:p>
      <w:pPr>
        <w:spacing w:after="100" w:before="0"/>
      </w:pPr>
    </w:p>
    <w:p>
      <w:pPr>
        <w:pStyle w:val="Heading1"/>
      </w:pPr>
      <w:r>
        <w:rPr>
          <w:rFonts w:ascii="Microsoft YaHei" w:eastAsia="Microsoft YaHei" w:hAnsi="Microsoft YaHei"/>
        </w:rPr>
        <w:t xml:space="preserve">10. 本章声明的缺口</w:t>
      </w:r>
    </w:p>
    <w:p>
      <w:pPr>
        <w:pStyle w:val="ListParagraph"/>
        <w:keepNext/>
        <w:keepLines/>
        <w:numPr>
          <w:ilvl w:val="0"/>
          <w:numId w:val="2"/>
        </w:numPr>
        <w:spacing w:after="20" w:before="20" w:line="300"/>
      </w:pPr>
      <w:r>
        <w:rPr>
          <w:rFonts w:ascii="Microsoft YaHei" w:eastAsia="Microsoft YaHei" w:hAnsi="Microsoft YaHei"/>
        </w:rPr>
        <w:t xml:space="preserve">证据只存在于使用者的终端，未导出的使用者丢失终端时会失去证据（第8章“仓库与数据管理”）。</w:t>
      </w:r>
    </w:p>
    <w:p>
      <w:pPr>
        <w:pStyle w:val="ListParagraph"/>
        <w:keepNext/>
        <w:keepLines/>
        <w:numPr>
          <w:ilvl w:val="0"/>
          <w:numId w:val="2"/>
        </w:numPr>
        <w:spacing w:after="20" w:before="20" w:line="300"/>
      </w:pPr>
      <w:r>
        <w:rPr>
          <w:rFonts w:ascii="Microsoft YaHei" w:eastAsia="Microsoft YaHei" w:hAnsi="Microsoft YaHei"/>
        </w:rPr>
        <w:t xml:space="preserve">需要登录的页面，只能依靠使用者的屏幕图像。屏幕图像可以加工，因此作为证据的力量弱于获取的记录。</w:t>
      </w:r>
    </w:p>
    <w:p>
      <w:pPr>
        <w:pStyle w:val="ListParagraph"/>
        <w:keepNext/>
        <w:keepLines/>
        <w:numPr>
          <w:ilvl w:val="0"/>
          <w:numId w:val="2"/>
        </w:numPr>
        <w:spacing w:after="20" w:before="20" w:line="300"/>
      </w:pPr>
      <w:r>
        <w:rPr>
          <w:rFonts w:ascii="Microsoft YaHei" w:eastAsia="Microsoft YaHei" w:hAnsi="Microsoft YaHei"/>
        </w:rPr>
        <w:t xml:space="preserve">CDN背后的服务器有时无法确定。调查后也无法得知所在的转载不予应对（D-9-7“服务器的所在按通过调查可以查明处理，无法查明时放弃”）。</w:t>
      </w:r>
    </w:p>
    <w:p>
      <w:pPr>
        <w:pStyle w:val="ListParagraph"/>
        <w:keepNext/>
        <w:keepLines/>
        <w:numPr>
          <w:ilvl w:val="0"/>
          <w:numId w:val="2"/>
        </w:numPr>
        <w:spacing w:after="20" w:before="20" w:line="300"/>
      </w:pPr>
      <w:r>
        <w:rPr>
          <w:rFonts w:ascii="Microsoft YaHei" w:eastAsia="Microsoft YaHei" w:hAnsi="Microsoft YaHei"/>
        </w:rPr>
        <w:t xml:space="preserve">转载页面的屏幕记录中拍入的第三方著作物的处理，在中国未能确认明文的例外，需要专家的确认（法务 L-21“为证据的复制（日、中、美）”）。</w:t>
      </w:r>
    </w:p>
    <w:p>
      <w:pPr>
        <w:pStyle w:val="ListParagraph"/>
        <w:keepNext/>
        <w:keepLines/>
        <w:numPr>
          <w:ilvl w:val="0"/>
          <w:numId w:val="2"/>
        </w:numPr>
        <w:spacing w:after="20" w:before="20" w:line="300"/>
      </w:pPr>
      <w:r>
        <w:rPr>
          <w:rFonts w:ascii="Microsoft YaHei" w:eastAsia="Microsoft YaHei" w:hAnsi="Microsoft YaHei"/>
        </w:rPr>
        <w:t xml:space="preserve">状况确认仅通过使用者的操作进行，因此使用者未确认期间的变化（删除、再次发布）不会被记录。</w:t>
      </w:r>
    </w:p>
    <w:p>
      <w:pPr>
        <w:pStyle w:val="ListParagraph"/>
        <w:keepNext/>
        <w:keepLines/>
        <w:numPr>
          <w:ilvl w:val="0"/>
          <w:numId w:val="2"/>
        </w:numPr>
        <w:spacing w:after="20" w:before="20" w:line="300"/>
      </w:pPr>
      <w:r>
        <w:rPr>
          <w:rFonts w:ascii="Microsoft YaHei" w:eastAsia="Microsoft YaHei" w:hAnsi="Microsoft YaHei"/>
        </w:rPr>
        <w:t xml:space="preserve">比对的结果仅止于概率。在再压缩、裁切之后只能以一致度显示（第13章 H-2“比对的结果只是概率性的”）。</w:t>
      </w:r>
    </w:p>
    <w:p>
      <w:pPr>
        <w:pStyle w:val="ListParagraph"/>
        <w:keepNext w:val="false"/>
        <w:keepLines/>
        <w:numPr>
          <w:ilvl w:val="0"/>
          <w:numId w:val="2"/>
        </w:numPr>
        <w:spacing w:after="20" w:before="20" w:line="300"/>
      </w:pPr>
      <w:r>
        <w:rPr>
          <w:rFonts w:ascii="Microsoft YaHei" w:eastAsia="Microsoft YaHei" w:hAnsi="Microsoft YaHei"/>
        </w:rPr>
        <w:t xml:space="preserve">不在使用者之间共享转载网站的信息，因此其他权利人不易注意到同一转载网站（第13章 H-24“转载网站的信息不在使用者之间共享”）。</w:t>
      </w:r>
    </w:p>
    <w:p>
      <w:pPr>
        <w:pStyle w:val="Heading1"/>
      </w:pPr>
      <w:r>
        <w:rPr>
          <w:rFonts w:ascii="Microsoft YaHei" w:eastAsia="Microsoft YaHei" w:hAnsi="Microsoft YaHei"/>
        </w:rPr>
        <w:t xml:space="preserve">11. 对概要设计书的订正</w:t>
      </w:r>
    </w:p>
    <w:p>
      <w:pPr>
        <w:pStyle w:val="ListParagraph"/>
        <w:keepNext/>
        <w:keepLines/>
        <w:numPr>
          <w:ilvl w:val="0"/>
          <w:numId w:val="2"/>
        </w:numPr>
        <w:spacing w:after="20" w:before="20" w:line="300"/>
      </w:pPr>
      <w:r>
        <w:rPr>
          <w:rFonts w:ascii="Microsoft YaHei" w:eastAsia="Microsoft YaHei" w:hAnsi="Microsoft YaHei"/>
        </w:rPr>
        <w:t xml:space="preserve">O-06“转载网站信息的共享”在设计计划书第2版中被删除（不共享）。</w:t>
      </w:r>
    </w:p>
    <w:p>
      <w:pPr>
        <w:pStyle w:val="ListParagraph"/>
        <w:keepNext w:val="false"/>
        <w:keepLines/>
        <w:numPr>
          <w:ilvl w:val="0"/>
          <w:numId w:val="2"/>
        </w:numPr>
        <w:spacing w:after="20" w:before="20" w:line="300"/>
      </w:pPr>
      <w:r>
        <w:rPr>
          <w:rFonts w:ascii="Microsoft YaHei" w:eastAsia="Microsoft YaHei" w:hAnsi="Microsoft YaHei"/>
        </w:rPr>
        <w:t xml:space="preserve">在6-5（状况确认）中写明“仅在使用者操作时确认，不进行自动的巡查”。</w:t>
      </w:r>
    </w:p>
    <w:sectPr>
      <w:headerReference w:type="default" r:id="rId6"/>
      <w:footerReference w:type="default" r:id="rId7"/>
      <w:pgSz w:w="11906" w:h="16838" w:orient="portrait"/>
      <w:pgMar w:top="1304" w:right="1134" w:bottom="130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icrosoft YaHei" w:cs="Microsoft YaHei" w:eastAsia="Microsoft YaHei" w:hAnsi="Microsoft YaHei"/>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Microsoft YaHei" w:cs="Microsoft YaHei" w:eastAsia="Microsoft YaHei" w:hAnsi="Microsoft YaHei"/>
        <w:color w:val="808080"/>
        <w:sz w:val="16"/>
        <w:szCs w:val="16"/>
      </w:rPr>
      <w:t xml:space="preserve">Cosplay照片防盗图工具 基本设计书 第6章 登记与证据保全　第1版（草案）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20" w:hanging="300"/>
      </w:pPr>
    </w:lvl>
    <w:lvl w:ilvl="1" w:tentative="1">
      <w:start w:val="1"/>
      <w:numFmt w:val="bullet"/>
      <w:lvlText w:val="◦"/>
      <w:lvlJc w:val="left"/>
      <w:pPr>
        <w:ind w:left="780" w:hanging="300"/>
      </w:pPr>
    </w:lvl>
    <w:lvl w:ilvl="2" w:tentative="1">
      <w:start w:val="1"/>
      <w:numFmt w:val="bullet"/>
      <w:lvlText w:val="▪"/>
      <w:lvlJc w:val="left"/>
      <w:pPr>
        <w:ind w:left="1140" w:hanging="300"/>
      </w:pPr>
    </w:lvl>
  </w:abstractNum>
  <w:abstractNum w:abstractNumId="3" w15:restartNumberingAfterBreak="0">
    <w:multiLevelType w:val="hybridMultilevel"/>
    <w:lvl w:ilvl="0" w:tentative="1">
      <w:start w:val="1"/>
      <w:numFmt w:val="decimal"/>
      <w:lvlText w:val="%1."/>
      <w:lvlJc w:val="left"/>
      <w:pPr>
        <w:ind w:left="4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icrosoft YaHei" w:eastAsia="Microsoft YaHei" w:hAnsi="Microsoft YaHei"/>
        <w:sz w:val="21"/>
        <w:szCs w:val="21"/>
        <w:lang w:val="zh-CN" w:eastAsia="zh-CN"/>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00" w:before="240"/>
      <w:outlineLvl w:val="0"/>
    </w:pPr>
    <w:rPr>
      <w:rFonts w:ascii="Microsoft YaHei" w:cs="Microsoft YaHei" w:eastAsia="Microsoft YaHei" w:hAnsi="Microsoft YaHei"/>
      <w:b/>
      <w:bCs/>
      <w:color w:val="345A8A"/>
      <w:sz w:val="30"/>
      <w:szCs w:val="30"/>
    </w:rPr>
  </w:style>
  <w:style w:type="paragraph" w:styleId="Heading2">
    <w:name w:val="Heading 2"/>
    <w:basedOn w:val="Normal"/>
    <w:next w:val="Normal"/>
    <w:qFormat/>
    <w:pPr>
      <w:keepNext/>
      <w:spacing w:after="100" w:before="280"/>
      <w:outlineLvl w:val="1"/>
    </w:pPr>
    <w:rPr>
      <w:rFonts w:ascii="Microsoft YaHei" w:cs="Microsoft YaHei" w:eastAsia="Microsoft YaHei" w:hAnsi="Microsoft YaHei"/>
      <w:b/>
      <w:bCs/>
      <w:color w:val="4F81BD"/>
      <w:sz w:val="25"/>
      <w:szCs w:val="25"/>
    </w:rPr>
  </w:style>
  <w:style w:type="paragraph" w:styleId="Heading3">
    <w:name w:val="Heading 3"/>
    <w:basedOn w:val="Normal"/>
    <w:next w:val="Normal"/>
    <w:qFormat/>
    <w:pPr>
      <w:keepNext/>
      <w:spacing w:after="80" w:before="200"/>
      <w:outlineLvl w:val="2"/>
    </w:pPr>
    <w:rPr>
      <w:rFonts w:ascii="Microsoft YaHei" w:cs="Microsoft YaHei" w:eastAsia="Microsoft YaHei" w:hAnsi="Microsoft YaHei"/>
      <w:b/>
      <w:bCs/>
      <w:color w:val="4F81BD"/>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基本设计书 第6章 登记与证据保全</dc:title>
  <dc:creator>石川宗</dc:creator>
  <cp:lastModifiedBy>Un-named</cp:lastModifiedBy>
  <cp:revision>1</cp:revision>
  <dcterms:created xsi:type="dcterms:W3CDTF">2026-09-29T23:30:43.922Z</dcterms:created>
  <dcterms:modified xsi:type="dcterms:W3CDTF">2026-09-29T23:30:43.922Z</dcterms:modified>
</cp:coreProperties>
</file>

<file path=docProps/custom.xml><?xml version="1.0" encoding="utf-8"?>
<Properties xmlns="http://schemas.openxmlformats.org/officeDocument/2006/custom-properties" xmlns:vt="http://schemas.openxmlformats.org/officeDocument/2006/docPropsVTypes"/>
</file>