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Microsoft YaHei" w:cs="Microsoft YaHei" w:eastAsia="Microsoft YaHei" w:hAnsi="Microsoft YaHei"/>
          <w:color w:val="404040"/>
          <w:sz w:val="26"/>
          <w:szCs w:val="26"/>
        </w:rPr>
        <w:t xml:space="preserve">Cosplay照片防盗图工具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b/>
          <w:bCs/>
          <w:color w:val="345A8A"/>
          <w:sz w:val="40"/>
          <w:szCs w:val="40"/>
        </w:rPr>
        <w:t xml:space="preserve">基本设计书 第8章 仓库与数据管理</w:t>
      </w:r>
    </w:p>
    <w:p>
      <w:pPr>
        <w:spacing w:after="160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第1版（草案）　2026-09-29 · 石川宗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株式会社流山ソフトウェア開発（NRSD）</w:t>
      </w:r>
    </w:p>
    <w:p>
      <w:pPr>
        <w:spacing w:before="2400" w:line="300"/>
      </w:pPr>
      <w:r>
        <w:rPr>
          <w:rFonts w:ascii="Microsoft YaHei" w:cs="Microsoft YaHei" w:eastAsia="Microsoft YaHei" w:hAnsi="Microsoft YaHei"/>
          <w:color w:val="404040"/>
          <w:sz w:val="18"/>
          <w:szCs w:val="18"/>
        </w:rPr>
        <w:t xml:space="preserve">© 2026 株式会社流山ソフトウェア開発（NRSD）负责开发者　石川宗　本文件的著作权归株式会社流山ソフトウェア開発（NRSD）所有。本文件所引用的第三方标准、软件、法令解说等的权利归各权利人所有。本文件为日文原文的译本，如有不一致，以日文原文为准。</w:t>
      </w:r>
    </w:p>
    <w:p>
      <w:pPr>
        <w:pageBreakBefore/>
        <w:spacing w:after="240"/>
      </w:pPr>
      <w:r>
        <w:rPr>
          <w:rFonts w:ascii="Microsoft YaHei" w:cs="Microsoft YaHei" w:eastAsia="Microsoft YaHei" w:hAnsi="Microsoft YaHei"/>
          <w:b/>
          <w:bCs/>
          <w:color w:val="345A8A"/>
          <w:sz w:val="30"/>
          <w:szCs w:val="30"/>
        </w:rPr>
        <w:t xml:space="preserve">目录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本文件的定位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设计决定的一览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终端的数据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公开仓库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 完整性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5. 备份文件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6. 容量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7. 对GitHub的依赖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8. 失败的处理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9. 与要求的对应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10. 本章声明的缺口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11. 对其他章、概要设计书的订正</w:t>
      </w:r>
    </w:p>
    <w:p>
      <w:r>
        <w:br w:type="page"/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本文件的定位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细化概要设计书第8章。本章规定使用者终端上数据的配置、离开终端的内容、备份文件（格式、制作方法、恢复方法、合并）、公开仓库与公开页面、香港镜像、完整性、容量、对GitHub的依赖。与第2章“签名信息与比对”同时设计，在容量上与第6章“登记与证据保全”往返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本章基于研讨备忘“第2章 签名信息与比对、第8章 仓库与数据管理的研讨”（NRSD内部的研讨记录，不随本文件分发。作为设计依据的事实，已连同出处写在本文件的各节中）。第3稿加入了记录在终端中的加密、参考信息包的形式、GitHub账号与仓库的保护、镜像的运营、备份的存放方式（所调查的事实在同一研讨备忘第2轮的节中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承接的决定如下表。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4"/>
        <w:gridCol w:w="3733"/>
        <w:gridCol w:w="4871"/>
      </w:tblGrid>
      <w:tr>
        <w:trPr>
          <w:cantSplit/>
          <w:tblHeader/>
        </w:trPr>
        <w:tc>
          <w:tcPr>
            <w:tcW w:type="dxa" w:w="103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37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种类</w:t>
            </w:r>
          </w:p>
        </w:tc>
        <w:tc>
          <w:tcPr>
            <w:tcW w:type="dxa" w:w="487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rPr>
          <w:cantSplit/>
          <w:tblHeader w:val="off"/>
        </w:trPr>
        <w:tc>
          <w:tcPr>
            <w:tcW w:type="dxa" w:w="103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D-3-3</w:t>
            </w:r>
          </w:p>
        </w:tc>
        <w:tc>
          <w:tcPr>
            <w:tcW w:type="dxa" w:w="37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决定</w:t>
            </w:r>
          </w:p>
        </w:tc>
        <w:tc>
          <w:tcPr>
            <w:tcW w:type="dxa" w:w="487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使用者须能够在不查看GitHub的情况下使用本系统</w:t>
            </w:r>
          </w:p>
        </w:tc>
      </w:tr>
      <w:tr>
        <w:trPr>
          <w:cantSplit/>
          <w:tblHeader w:val="off"/>
        </w:trPr>
        <w:tc>
          <w:tcPr>
            <w:tcW w:type="dxa" w:w="103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D-10-7</w:t>
            </w:r>
          </w:p>
        </w:tc>
        <w:tc>
          <w:tcPr>
            <w:tcW w:type="dxa" w:w="37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决定</w:t>
            </w:r>
          </w:p>
        </w:tc>
        <w:tc>
          <w:tcPr>
            <w:tcW w:type="dxa" w:w="487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证据保存在使用者的终端，不予公开。本系统不收集证据</w:t>
            </w:r>
          </w:p>
        </w:tc>
      </w:tr>
      <w:tr>
        <w:trPr>
          <w:cantSplit/>
          <w:tblHeader w:val="off"/>
        </w:trPr>
        <w:tc>
          <w:tcPr>
            <w:tcW w:type="dxa" w:w="103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D-12-1</w:t>
            </w:r>
          </w:p>
        </w:tc>
        <w:tc>
          <w:tcPr>
            <w:tcW w:type="dxa" w:w="37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决定</w:t>
            </w:r>
          </w:p>
        </w:tc>
        <w:tc>
          <w:tcPr>
            <w:tcW w:type="dxa" w:w="487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设置公开仓库。不设置私有仓库</w:t>
            </w:r>
          </w:p>
        </w:tc>
      </w:tr>
      <w:tr>
        <w:trPr>
          <w:cantSplit/>
          <w:tblHeader w:val="off"/>
        </w:trPr>
        <w:tc>
          <w:tcPr>
            <w:tcW w:type="dxa" w:w="103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D-12-2</w:t>
            </w:r>
          </w:p>
        </w:tc>
        <w:tc>
          <w:tcPr>
            <w:tcW w:type="dxa" w:w="37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决定</w:t>
            </w:r>
          </w:p>
        </w:tc>
        <w:tc>
          <w:tcPr>
            <w:tcW w:type="dxa" w:w="487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公开软件，不阻止其被带走</w:t>
            </w:r>
          </w:p>
        </w:tc>
      </w:tr>
      <w:tr>
        <w:trPr>
          <w:cantSplit/>
          <w:tblHeader w:val="off"/>
        </w:trPr>
        <w:tc>
          <w:tcPr>
            <w:tcW w:type="dxa" w:w="103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D-12-3</w:t>
            </w:r>
          </w:p>
        </w:tc>
        <w:tc>
          <w:tcPr>
            <w:tcW w:type="dxa" w:w="37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决定</w:t>
            </w:r>
          </w:p>
        </w:tc>
        <w:tc>
          <w:tcPr>
            <w:tcW w:type="dxa" w:w="487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权利人信息、签名密钥、作品数据、台账及证据保存在使用者的终端，NRSD不收集</w:t>
            </w:r>
          </w:p>
        </w:tc>
      </w:tr>
      <w:tr>
        <w:trPr>
          <w:cantSplit/>
          <w:tblHeader w:val="off"/>
        </w:trPr>
        <w:tc>
          <w:tcPr>
            <w:tcW w:type="dxa" w:w="103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D-12-4</w:t>
            </w:r>
          </w:p>
        </w:tc>
        <w:tc>
          <w:tcPr>
            <w:tcW w:type="dxa" w:w="37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决定</w:t>
            </w:r>
          </w:p>
        </w:tc>
        <w:tc>
          <w:tcPr>
            <w:tcW w:type="dxa" w:w="487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公开页面可浏览、不可编辑，且不刊载可用于冒充的信息</w:t>
            </w:r>
          </w:p>
        </w:tc>
      </w:tr>
      <w:tr>
        <w:trPr>
          <w:cantSplit/>
          <w:tblHeader w:val="off"/>
        </w:trPr>
        <w:tc>
          <w:tcPr>
            <w:tcW w:type="dxa" w:w="103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D-12-5</w:t>
            </w:r>
          </w:p>
        </w:tc>
        <w:tc>
          <w:tcPr>
            <w:tcW w:type="dxa" w:w="37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决定</w:t>
            </w:r>
          </w:p>
        </w:tc>
        <w:tc>
          <w:tcPr>
            <w:tcW w:type="dxa" w:w="487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不以使用者本人进行Fork运营为前提</w:t>
            </w:r>
          </w:p>
        </w:tc>
      </w:tr>
      <w:tr>
        <w:trPr>
          <w:cantSplit/>
          <w:tblHeader w:val="off"/>
        </w:trPr>
        <w:tc>
          <w:tcPr>
            <w:tcW w:type="dxa" w:w="103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I-04</w:t>
            </w:r>
          </w:p>
        </w:tc>
        <w:tc>
          <w:tcPr>
            <w:tcW w:type="dxa" w:w="37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待调查</w:t>
            </w:r>
          </w:p>
        </w:tc>
        <w:tc>
          <w:tcPr>
            <w:tcW w:type="dxa" w:w="487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从中国大陆连接GitHub</w:t>
            </w:r>
          </w:p>
        </w:tc>
      </w:tr>
      <w:tr>
        <w:trPr>
          <w:cantSplit/>
          <w:tblHeader w:val="off"/>
        </w:trPr>
        <w:tc>
          <w:tcPr>
            <w:tcW w:type="dxa" w:w="103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O-05</w:t>
            </w:r>
          </w:p>
        </w:tc>
        <w:tc>
          <w:tcPr>
            <w:tcW w:type="dxa" w:w="37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未决（在基本设计 第8章 3.3“公开页面（O-05“公开页面的刊载内容”的决定）”中决定）</w:t>
            </w:r>
          </w:p>
        </w:tc>
        <w:tc>
          <w:tcPr>
            <w:tcW w:type="dxa" w:w="487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公开页面的刊载内容</w:t>
            </w:r>
          </w:p>
        </w:tc>
      </w:tr>
      <w:tr>
        <w:trPr>
          <w:cantSplit/>
          <w:tblHeader w:val="off"/>
        </w:trPr>
        <w:tc>
          <w:tcPr>
            <w:tcW w:type="dxa" w:w="103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O-10</w:t>
            </w:r>
          </w:p>
        </w:tc>
        <w:tc>
          <w:tcPr>
            <w:tcW w:type="dxa" w:w="37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未决（在基本设计 第3章 7.2“作品数据的项目（O-10“作品数据的记录格式”的决定）”中决定）</w:t>
            </w:r>
          </w:p>
        </w:tc>
        <w:tc>
          <w:tcPr>
            <w:tcW w:type="dxa" w:w="487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作品数据的记录格式</w:t>
            </w:r>
          </w:p>
        </w:tc>
      </w:tr>
      <w:tr>
        <w:trPr>
          <w:cantSplit/>
          <w:tblHeader w:val="off"/>
        </w:trPr>
        <w:tc>
          <w:tcPr>
            <w:tcW w:type="dxa" w:w="103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A-1</w:t>
            </w:r>
          </w:p>
        </w:tc>
        <w:tc>
          <w:tcPr>
            <w:tcW w:type="dxa" w:w="37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项目划分中发现的遗漏</w:t>
            </w:r>
          </w:p>
        </w:tc>
        <w:tc>
          <w:tcPr>
            <w:tcW w:type="dxa" w:w="487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向私有仓库写入的权限（第2版决定不设私有仓库，前提已不存在）</w:t>
            </w:r>
          </w:p>
        </w:tc>
      </w:tr>
      <w:tr>
        <w:trPr>
          <w:cantSplit/>
          <w:tblHeader w:val="off"/>
        </w:trPr>
        <w:tc>
          <w:tcPr>
            <w:tcW w:type="dxa" w:w="103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A-17</w:t>
            </w:r>
          </w:p>
        </w:tc>
        <w:tc>
          <w:tcPr>
            <w:tcW w:type="dxa" w:w="37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项目划分中发现的遗漏</w:t>
            </w:r>
          </w:p>
        </w:tc>
        <w:tc>
          <w:tcPr>
            <w:tcW w:type="dxa" w:w="487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数据的跨境传输（第2版决定NRSD不接收使用者的信息，前提已不存在）</w:t>
            </w:r>
          </w:p>
        </w:tc>
      </w:tr>
      <w:tr>
        <w:trPr>
          <w:cantSplit/>
          <w:tblHeader w:val="off"/>
        </w:trPr>
        <w:tc>
          <w:tcPr>
            <w:tcW w:type="dxa" w:w="103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A-9</w:t>
            </w:r>
          </w:p>
        </w:tc>
        <w:tc>
          <w:tcPr>
            <w:tcW w:type="dxa" w:w="37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项目划分中发现的遗漏</w:t>
            </w:r>
          </w:p>
        </w:tc>
        <w:tc>
          <w:tcPr>
            <w:tcW w:type="dxa" w:w="487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费用，以及GitHub的容量限制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Microsoft YaHei" w:eastAsia="Microsoft YaHei" w:hAnsi="Microsoft YaHei"/>
        </w:rPr>
        <w:t xml:space="preserve">1. 设计决定的一览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"/>
        <w:gridCol w:w="2695"/>
        <w:gridCol w:w="3404"/>
        <w:gridCol w:w="2509"/>
      </w:tblGrid>
      <w:tr>
        <w:trPr>
          <w:cantSplit/>
          <w:tblHeader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6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决定</w:t>
            </w:r>
          </w:p>
        </w:tc>
        <w:tc>
          <w:tcPr>
            <w:tcW w:type="dxa" w:w="340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理由</w:t>
            </w:r>
          </w:p>
        </w:tc>
        <w:tc>
          <w:tcPr>
            <w:tcW w:type="dxa" w:w="250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被否定的方案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DD-8-1</w:t>
            </w:r>
          </w:p>
        </w:tc>
        <w:tc>
          <w:tcPr>
            <w:tcW w:type="dxa" w:w="26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设置1个公开仓库（在NRSD的GitHub组织账号之下。DD-8-9“以GitHub组织与不可更改的发布加以保护”）。放置源代码、发布、README、公开页面、参考信息</w:t>
            </w:r>
          </w:p>
        </w:tc>
        <w:tc>
          <w:tcPr>
            <w:tcW w:type="dxa" w:w="340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设计计划书 D-12-1“设置公开仓库。不设置私有仓库”、D-12-2“公开软件，不阻止其被带走”、D-12-6“从GitHub的链接分发，并将README写得易于理解”、D-12-7“客户端应用接收公开仓库的二进制文件并自我更新”</w:t>
            </w:r>
          </w:p>
        </w:tc>
        <w:tc>
          <w:tcPr>
            <w:tcW w:type="dxa" w:w="250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DD-8-2</w:t>
            </w:r>
          </w:p>
        </w:tc>
        <w:tc>
          <w:tcPr>
            <w:tcW w:type="dxa" w:w="26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使用者的记录放在操作系统按使用者区分的、不同步的应用数据位置（2、第1章 DD-1-10“数据放在不同步的、按使用者区分的位置”）。应用不把记录发送到终端之外</w:t>
            </w:r>
          </w:p>
        </w:tc>
        <w:tc>
          <w:tcPr>
            <w:tcW w:type="dxa" w:w="340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设计计划书 D-12-3“权利人信息、签名密钥、作品数据、台账及证据保存在使用者的终端，NRSD不收集”、D-5-1“本系统不确认使用者，不收集使用者的信息。使用本系统不要求登记”</w:t>
            </w:r>
          </w:p>
        </w:tc>
        <w:tc>
          <w:tcPr>
            <w:tcW w:type="dxa" w:w="250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自动同步到外部存放处的方案（会变成收集使用者的信息）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DD-8-3</w:t>
            </w:r>
          </w:p>
        </w:tc>
        <w:tc>
          <w:tcPr>
            <w:tcW w:type="dxa" w:w="26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终端的迁移与故障的准备，以使用者制作的备份文件进行。格式为把全部记录（包括签名密钥）汇总为ZIP，并以age格式（口令，scrypt强度2^18）加密</w:t>
            </w:r>
          </w:p>
        </w:tc>
        <w:tc>
          <w:tcPr>
            <w:tcW w:type="dxa" w:w="340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既然不收集记录，备份就只能在使用者手头制作。age是按64KiB分段加密、也能检测头部篡改的公开格式，数GB的备份也能逐次处理。官方实现的默认强度（2^18，“在现代机器上1秒”）强于OWASP的最低值（2^17）</w:t>
            </w:r>
          </w:p>
        </w:tc>
        <w:tc>
          <w:tcPr>
            <w:tcW w:type="dxa" w:w="250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自行组合Argon2id与AES-256-GCM的方案（第1稿。一次加密数GB的形式，需要把全体载入内存或自行分段）。只导出证据的方案（无法迁移签名密钥）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DD-8-4</w:t>
            </w:r>
          </w:p>
        </w:tc>
        <w:tc>
          <w:tcPr>
            <w:tcW w:type="dxa" w:w="26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公开页面不刊载个别转载网站的名称、URL、使用者的信息。刊载本系统的说明、获取方法、比对的步骤、参考信息的版本</w:t>
            </w:r>
          </w:p>
        </w:tc>
        <w:tc>
          <w:tcPr>
            <w:tcW w:type="dxa" w:w="340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设计计划书 D-12-4“公开页面可浏览、不可编辑，且不刊载可用于冒充的信息”。本系统不收集转载的信息</w:t>
            </w:r>
          </w:p>
        </w:tc>
        <w:tc>
          <w:tcPr>
            <w:tcW w:type="dxa" w:w="250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DD-8-5</w:t>
            </w:r>
          </w:p>
        </w:tc>
        <w:tc>
          <w:tcPr>
            <w:tcW w:type="dxa" w:w="26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面向中国大陆，把公开仓库的发布与参考信息的副本放在香港地域的对象存储（仅静态分发）中。候选为阿里云OSS的香港地域</w:t>
            </w:r>
          </w:p>
        </w:tc>
        <w:tc>
          <w:tcPr>
            <w:tcW w:type="dxa" w:w="340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从中国大陆连接GitHub不稳定（调查资料“GitHub与分发”）。香港地域不需要ICP备案（阿里云的ICP备案说明）</w:t>
            </w:r>
          </w:p>
        </w:tc>
        <w:tc>
          <w:tcPr>
            <w:tcW w:type="dxa" w:w="250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放在中国大陆地域的方案（ICP备案的手续）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DD-8-6</w:t>
            </w:r>
          </w:p>
        </w:tc>
        <w:tc>
          <w:tcPr>
            <w:tcW w:type="dxa" w:w="26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导入备份文件时，若个人根证书与当前终端不同，则不合并，让使用者选择替换或取消</w:t>
            </w:r>
          </w:p>
        </w:tc>
        <w:tc>
          <w:tcPr>
            <w:tcW w:type="dxa" w:w="340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混合不同个人根证书的记录，声明码与记录电子签名会不一致</w:t>
            </w:r>
          </w:p>
        </w:tc>
        <w:tc>
          <w:tcPr>
            <w:tcW w:type="dxa" w:w="250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自动混合的方案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DD-8-7</w:t>
            </w:r>
          </w:p>
        </w:tc>
        <w:tc>
          <w:tcPr>
            <w:tcW w:type="dxa" w:w="26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应用数据位置中的记录，应用不自行加密。对终端被盗的防备交给操作系统的全盘加密（Windows的设备加密、BitLocker，macOS的FileVault，Linux的LUKS），在首次的指引与README中建议启用。签名密钥放在操作系统的密钥存储中（第2章 7“签名密钥”）</w:t>
            </w:r>
          </w:p>
        </w:tc>
        <w:tc>
          <w:tcPr>
            <w:tcW w:type="dxa" w:w="340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即使应用加密，其密钥也只能放在同一终端操作系统的密钥存储中，对能进入终端者的防护与全盘加密没有区别。另一方面，若失去密钥存储的项目，证据将无法读取。Windows的设备加密在以Microsoft账号设置时会自动启用。采用Apple CPU的Mac会自动加密保存的数据，但要对被盗的机器以登录密码加以保护，需要启用FileVault（Microsoft、Apple的说明）</w:t>
            </w:r>
          </w:p>
        </w:tc>
        <w:tc>
          <w:tcPr>
            <w:tcW w:type="dxa" w:w="250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以应用的密钥加密记录的方案（失去密钥即失去证据。与备份文件的双重加密）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DD-8-8</w:t>
            </w:r>
          </w:p>
        </w:tc>
        <w:tc>
          <w:tcPr>
            <w:tcW w:type="dxa" w:w="26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参考信息作为“信息包”（版本编号、发行的日期时间、期限、文件的一览与SHA-256）分发，以NRSD的参考信息签名密钥（硬件令牌中的ECDSA P-256）对信息包的目录进行电子签名。应用不接受比手头版本更旧的信息包，对已过期限的信息包继续使用并予以告知</w:t>
            </w:r>
          </w:p>
        </w:tc>
        <w:tc>
          <w:tcPr>
            <w:tcW w:type="dxa" w:w="340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防备伪造的参考信息，以及持续提供旧的正确信息包的攻击（版本回退、冻结）。对应The Update Framework（TUF）规范列举的攻击（rollback、indefinite freeze、endless data、mix-and-match）</w:t>
            </w:r>
          </w:p>
        </w:tc>
        <w:tc>
          <w:tcPr>
            <w:tcW w:type="dxa" w:w="250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只附加记录电子签名的方案（无法识别旧的正确信息包）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DD-8-9</w:t>
            </w:r>
          </w:p>
        </w:tc>
        <w:tc>
          <w:tcPr>
            <w:tcW w:type="dxa" w:w="26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NRSD的GitHub为组织账号，所有者为2人（以可信的另一人为第2人。不足3人）。在能设置第2人之前以1名所有者运营，把无法恢复组织的危险作为缺口声明（第13章 H-45“GitHub组织的所有者只有一人期间，若其失去全部认证手段与恢复手段，组织将无法恢复”）。所有者不使用本人的第2个账号。要求全员进行两步验证，所有者登记多个验证手段（2个以上的通行密钥或安全密钥，其中1个放在另外的地方。基于时间的一次性代码）。公开仓库以规则禁止主分支的强制改写与删除，发布为不可变的发布（immutable releases）</w:t>
            </w:r>
          </w:p>
        </w:tc>
        <w:tc>
          <w:tcPr>
            <w:tcW w:type="dxa" w:w="340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GitHub建议组织的所有者为2名以上的“人”（“Maintaining ownership continuity for your organization”）。免费账号限每人1个（GitHub的使用条款B.3）。对于失去全部两步验证手段与恢复手段的账号，GitHub不予恢复，也不进行基于身份确认的恢复（“GitHub account recovery policy”）。OpenSSF的SCM Best Practices规定所有者不足3人。GitHub要求制作发布的使用者等进行两步验证（自2023年3月）。不可变的发布在公开之后无法改变分发物与标签，并自动生成发布的证明（GitHub的说明）。防止因账号被盗用而替换分发物</w:t>
            </w:r>
          </w:p>
        </w:tc>
        <w:tc>
          <w:tcPr>
            <w:tcW w:type="dxa" w:w="250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放在个人账号之下的方案（会因1人的盗用、事故而停止）。以负责开发者的第2个账号为所有者的方案（根据免费账号限每人1个的条款，无法免费持有。即使付费，也不满足GitHub建议的“2名以上的人”，无法防备本人无法使用的事故）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DD-8-10</w:t>
            </w:r>
          </w:p>
        </w:tc>
        <w:tc>
          <w:tcPr>
            <w:tcW w:type="dxa" w:w="26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香港镜像（对象存储）的访问记录（日志的保存）不启用。禁止显示一览，仅公开读取</w:t>
            </w:r>
          </w:p>
        </w:tc>
        <w:tc>
          <w:tcPr>
            <w:tcW w:type="dxa" w:w="340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访问记录中会留下获取的使用者的IP地址，会变成NRSD收集使用者的信息（设计计划书 D-5-1“本系统不确认使用者，不收集使用者的信息。使用本系统不要求登记”）。阿里云OSS的访问记录默认为无效，不进行启用的操作</w:t>
            </w:r>
          </w:p>
        </w:tc>
        <w:tc>
          <w:tcPr>
            <w:tcW w:type="dxa" w:w="250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为调查故障而取得记录的方案（收集使用者的信息）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Microsoft YaHei" w:eastAsia="Microsoft YaHei" w:hAnsi="Microsoft YaHei"/>
        </w:rPr>
        <w:t xml:space="preserve">2. 终端的数据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2.1 配置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放置处：应用数据位置（第1章 9.1“各操作系统的存放位置”的app_local_data_dir）之下的应用文件夹。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0"/>
        <w:gridCol w:w="4701"/>
        <w:gridCol w:w="1130"/>
        <w:gridCol w:w="1477"/>
      </w:tblGrid>
      <w:tr>
        <w:trPr>
          <w:cantSplit/>
          <w:tblHeader/>
        </w:trPr>
        <w:tc>
          <w:tcPr>
            <w:tcW w:type="dxa" w:w="23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路径</w:t>
            </w:r>
          </w:p>
        </w:tc>
        <w:tc>
          <w:tcPr>
            <w:tcW w:type="dxa" w:w="470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内容</w:t>
            </w:r>
          </w:p>
        </w:tc>
        <w:tc>
          <w:tcPr>
            <w:tcW w:type="dxa" w:w="11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写入者</w:t>
            </w:r>
          </w:p>
        </w:tc>
        <w:tc>
          <w:tcPr>
            <w:tcW w:type="dxa" w:w="147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是否包含在备份中</w:t>
            </w:r>
          </w:p>
        </w:tc>
      </w:tr>
      <w:tr>
        <w:trPr>
          <w:cantSplit/>
          <w:tblHeader w:val="off"/>
        </w:trPr>
        <w:tc>
          <w:tcPr>
            <w:tcW w:type="dxa" w:w="23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identity/</w:t>
            </w:r>
          </w:p>
        </w:tc>
        <w:tc>
          <w:tcPr>
            <w:tcW w:type="dxa" w:w="470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个人根证书与签名用证书、输入的权利人信息、变更的履历（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history.jsonl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。第2章 6“权利人信息”）</w:t>
            </w:r>
          </w:p>
        </w:tc>
        <w:tc>
          <w:tcPr>
            <w:tcW w:type="dxa" w:w="11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应用</w:t>
            </w:r>
          </w:p>
        </w:tc>
        <w:tc>
          <w:tcPr>
            <w:tcW w:type="dxa" w:w="147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包含</w:t>
            </w:r>
          </w:p>
        </w:tc>
      </w:tr>
      <w:tr>
        <w:trPr>
          <w:cantSplit/>
          <w:tblHeader w:val="off"/>
        </w:trPr>
        <w:tc>
          <w:tcPr>
            <w:tcW w:type="dxa" w:w="23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identity/past_roots/</w:t>
            </w:r>
          </w:p>
        </w:tc>
        <w:tc>
          <w:tcPr>
            <w:tcW w:type="dxa" w:w="470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过去的个人根证书（仅公钥）、其声明码、使用期间、重新生成的理由（第2章 3.6“过去的个人根证书”）</w:t>
            </w:r>
          </w:p>
        </w:tc>
        <w:tc>
          <w:tcPr>
            <w:tcW w:type="dxa" w:w="11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应用</w:t>
            </w:r>
          </w:p>
        </w:tc>
        <w:tc>
          <w:tcPr>
            <w:tcW w:type="dxa" w:w="147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包含</w:t>
            </w:r>
          </w:p>
        </w:tc>
      </w:tr>
      <w:tr>
        <w:trPr>
          <w:cantSplit/>
          <w:tblHeader w:val="off"/>
        </w:trPr>
        <w:tc>
          <w:tcPr>
            <w:tcW w:type="dxa" w:w="23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identity/key.age</w:t>
            </w:r>
          </w:p>
        </w:tc>
        <w:tc>
          <w:tcPr>
            <w:tcW w:type="dxa" w:w="470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仅限没有Secret Service的Linux：以口令加密的密钥（第2章 7.5“各操作系统的保管方式”）</w:t>
            </w:r>
          </w:p>
        </w:tc>
        <w:tc>
          <w:tcPr>
            <w:tcW w:type="dxa" w:w="11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应用</w:t>
            </w:r>
          </w:p>
        </w:tc>
        <w:tc>
          <w:tcPr>
            <w:tcW w:type="dxa" w:w="147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不包含（在备份中另行放入密钥。5.2）</w:t>
            </w:r>
          </w:p>
        </w:tc>
      </w:tr>
      <w:tr>
        <w:trPr>
          <w:cantSplit/>
          <w:tblHeader w:val="off"/>
        </w:trPr>
        <w:tc>
          <w:tcPr>
            <w:tcW w:type="dxa" w:w="23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works/&lt;年&gt;/&lt;批量处理的编号&gt;.jsonl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与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.sig</w:t>
            </w:r>
          </w:p>
        </w:tc>
        <w:tc>
          <w:tcPr>
            <w:tcW w:type="dxa" w:w="470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作品数据（第3章 7.2“作品数据的项目（O-10“作品数据的记录格式”的决定）”）。每次批量处理1个文件</w:t>
            </w:r>
          </w:p>
        </w:tc>
        <w:tc>
          <w:tcPr>
            <w:tcW w:type="dxa" w:w="11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应用</w:t>
            </w:r>
          </w:p>
        </w:tc>
        <w:tc>
          <w:tcPr>
            <w:tcW w:type="dxa" w:w="147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包含</w:t>
            </w:r>
          </w:p>
        </w:tc>
      </w:tr>
      <w:tr>
        <w:trPr>
          <w:cantSplit/>
          <w:tblHeader w:val="off"/>
        </w:trPr>
        <w:tc>
          <w:tcPr>
            <w:tcW w:type="dxa" w:w="23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cases/&lt;案件的编号&gt;/case.json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与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.sig</w:t>
            </w:r>
          </w:p>
        </w:tc>
        <w:tc>
          <w:tcPr>
            <w:tcW w:type="dxa" w:w="470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案件记录（第6章）</w:t>
            </w:r>
          </w:p>
        </w:tc>
        <w:tc>
          <w:tcPr>
            <w:tcW w:type="dxa" w:w="11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应用</w:t>
            </w:r>
          </w:p>
        </w:tc>
        <w:tc>
          <w:tcPr>
            <w:tcW w:type="dxa" w:w="147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包含</w:t>
            </w:r>
          </w:p>
        </w:tc>
      </w:tr>
      <w:tr>
        <w:trPr>
          <w:cantSplit/>
          <w:tblHeader w:val="off"/>
        </w:trPr>
        <w:tc>
          <w:tcPr>
            <w:tcW w:type="dxa" w:w="23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cases/&lt;案件的编号&gt;/status/&lt;序号&gt;.json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与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.sig</w:t>
            </w:r>
          </w:p>
        </w:tc>
        <w:tc>
          <w:tcPr>
            <w:tcW w:type="dxa" w:w="470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状况的追加（第6章）</w:t>
            </w:r>
          </w:p>
        </w:tc>
        <w:tc>
          <w:tcPr>
            <w:tcW w:type="dxa" w:w="11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应用</w:t>
            </w:r>
          </w:p>
        </w:tc>
        <w:tc>
          <w:tcPr>
            <w:tcW w:type="dxa" w:w="147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包含</w:t>
            </w:r>
          </w:p>
        </w:tc>
      </w:tr>
      <w:tr>
        <w:trPr>
          <w:cantSplit/>
          <w:tblHeader w:val="off"/>
        </w:trPr>
        <w:tc>
          <w:tcPr>
            <w:tcW w:type="dxa" w:w="23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cases/&lt;案件的编号&gt;/evidence/</w:t>
            </w:r>
          </w:p>
        </w:tc>
        <w:tc>
          <w:tcPr>
            <w:tcW w:type="dxa" w:w="470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证据文件（第6章）</w:t>
            </w:r>
          </w:p>
        </w:tc>
        <w:tc>
          <w:tcPr>
            <w:tcW w:type="dxa" w:w="11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应用</w:t>
            </w:r>
          </w:p>
        </w:tc>
        <w:tc>
          <w:tcPr>
            <w:tcW w:type="dxa" w:w="147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包含</w:t>
            </w:r>
          </w:p>
        </w:tc>
      </w:tr>
      <w:tr>
        <w:trPr>
          <w:cantSplit/>
          <w:tblHeader w:val="off"/>
        </w:trPr>
        <w:tc>
          <w:tcPr>
            <w:tcW w:type="dxa" w:w="23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templates/&lt;模板的编号&gt;/</w:t>
            </w:r>
          </w:p>
        </w:tc>
        <w:tc>
          <w:tcPr>
            <w:tcW w:type="dxa" w:w="470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模板（第4章 8“模板”）及其草稿。样本照片的位置（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local.json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。不放入模板交接用的文件。第4章 9.2“显示”）</w:t>
            </w:r>
          </w:p>
        </w:tc>
        <w:tc>
          <w:tcPr>
            <w:tcW w:type="dxa" w:w="11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应用</w:t>
            </w:r>
          </w:p>
        </w:tc>
        <w:tc>
          <w:tcPr>
            <w:tcW w:type="dxa" w:w="147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包含</w:t>
            </w:r>
          </w:p>
        </w:tc>
      </w:tr>
      <w:tr>
        <w:trPr>
          <w:cantSplit/>
          <w:tblHeader w:val="off"/>
        </w:trPr>
        <w:tc>
          <w:tcPr>
            <w:tcW w:type="dxa" w:w="23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assets/</w:t>
            </w:r>
          </w:p>
        </w:tc>
        <w:tc>
          <w:tcPr>
            <w:tcW w:type="dxa" w:w="470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带入的字体、图像（以SHA-256命名。第4章 5“图像图层”、6.4“带入的字体”）</w:t>
            </w:r>
          </w:p>
        </w:tc>
        <w:tc>
          <w:tcPr>
            <w:tcW w:type="dxa" w:w="11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应用</w:t>
            </w:r>
          </w:p>
        </w:tc>
        <w:tc>
          <w:tcPr>
            <w:tcW w:type="dxa" w:w="147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包含</w:t>
            </w:r>
          </w:p>
        </w:tc>
      </w:tr>
      <w:tr>
        <w:trPr>
          <w:cantSplit/>
          <w:tblHeader w:val="off"/>
        </w:trPr>
        <w:tc>
          <w:tcPr>
            <w:tcW w:type="dxa" w:w="23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sessions/&lt;作业的编号&gt;/</w:t>
            </w:r>
          </w:p>
        </w:tc>
        <w:tc>
          <w:tcPr>
            <w:tcW w:type="dxa" w:w="470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作业（第4章 11“作业（编辑中途的状态）”）</w:t>
            </w:r>
          </w:p>
        </w:tc>
        <w:tc>
          <w:tcPr>
            <w:tcW w:type="dxa" w:w="11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应用</w:t>
            </w:r>
          </w:p>
        </w:tc>
        <w:tc>
          <w:tcPr>
            <w:tcW w:type="dxa" w:w="147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包含</w:t>
            </w:r>
          </w:p>
        </w:tc>
      </w:tr>
      <w:tr>
        <w:trPr>
          <w:cantSplit/>
          <w:tblHeader w:val="off"/>
        </w:trPr>
        <w:tc>
          <w:tcPr>
            <w:tcW w:type="dxa" w:w="23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approvals/</w:t>
            </w:r>
          </w:p>
        </w:tc>
        <w:tc>
          <w:tcPr>
            <w:tcW w:type="dxa" w:w="470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授权书、撤销书、共同权利的书面文件（第2章 5“授权与共同权利”）</w:t>
            </w:r>
          </w:p>
        </w:tc>
        <w:tc>
          <w:tcPr>
            <w:tcW w:type="dxa" w:w="11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应用</w:t>
            </w:r>
          </w:p>
        </w:tc>
        <w:tc>
          <w:tcPr>
            <w:tcW w:type="dxa" w:w="147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包含</w:t>
            </w:r>
          </w:p>
        </w:tc>
      </w:tr>
      <w:tr>
        <w:trPr>
          <w:cantSplit/>
          <w:tblHeader w:val="off"/>
        </w:trPr>
        <w:tc>
          <w:tcPr>
            <w:tcW w:type="dxa" w:w="23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reference/&lt;版本&gt;/</w:t>
            </w:r>
          </w:p>
        </w:tc>
        <w:tc>
          <w:tcPr>
            <w:tcW w:type="dxa" w:w="470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获取的参考信息与NRSD的记录电子签名</w:t>
            </w:r>
          </w:p>
        </w:tc>
        <w:tc>
          <w:tcPr>
            <w:tcW w:type="dxa" w:w="11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应用</w:t>
            </w:r>
          </w:p>
        </w:tc>
        <w:tc>
          <w:tcPr>
            <w:tcW w:type="dxa" w:w="147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不包含（可以从公开仓库重新获取）</w:t>
            </w:r>
          </w:p>
        </w:tc>
      </w:tr>
      <w:tr>
        <w:trPr>
          <w:cantSplit/>
          <w:tblHeader w:val="off"/>
        </w:trPr>
        <w:tc>
          <w:tcPr>
            <w:tcW w:type="dxa" w:w="23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settings.json</w:t>
            </w:r>
          </w:p>
        </w:tc>
        <w:tc>
          <w:tcPr>
            <w:tcW w:type="dxa" w:w="470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设置（第10章 10“设置”）</w:t>
            </w:r>
          </w:p>
        </w:tc>
        <w:tc>
          <w:tcPr>
            <w:tcW w:type="dxa" w:w="11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应用</w:t>
            </w:r>
          </w:p>
        </w:tc>
        <w:tc>
          <w:tcPr>
            <w:tcW w:type="dxa" w:w="147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包含</w:t>
            </w:r>
          </w:p>
        </w:tc>
      </w:tr>
      <w:tr>
        <w:trPr>
          <w:cantSplit/>
          <w:tblHeader w:val="off"/>
        </w:trPr>
        <w:tc>
          <w:tcPr>
            <w:tcW w:type="dxa" w:w="23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state/</w:t>
            </w:r>
          </w:p>
        </w:tc>
        <w:tc>
          <w:tcPr>
            <w:tcW w:type="dxa" w:w="470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启动中的标记、导出与登记的中途状态（第1章 7.8“异常退出后的启动”）</w:t>
            </w:r>
          </w:p>
        </w:tc>
        <w:tc>
          <w:tcPr>
            <w:tcW w:type="dxa" w:w="11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应用</w:t>
            </w:r>
          </w:p>
        </w:tc>
        <w:tc>
          <w:tcPr>
            <w:tcW w:type="dxa" w:w="147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不包含</w:t>
            </w:r>
          </w:p>
        </w:tc>
      </w:tr>
      <w:tr>
        <w:trPr>
          <w:cantSplit/>
          <w:tblHeader w:val="off"/>
        </w:trPr>
        <w:tc>
          <w:tcPr>
            <w:tcW w:type="dxa" w:w="23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migration-backup/&lt;原版本&gt;/</w:t>
            </w:r>
          </w:p>
        </w:tc>
        <w:tc>
          <w:tcPr>
            <w:tcW w:type="dxa" w:w="470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记录格式迁移前的副本（第9章 4.4“记录格式的迁移”。30日后删除）</w:t>
            </w:r>
          </w:p>
        </w:tc>
        <w:tc>
          <w:tcPr>
            <w:tcW w:type="dxa" w:w="11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应用</w:t>
            </w:r>
          </w:p>
        </w:tc>
        <w:tc>
          <w:tcPr>
            <w:tcW w:type="dxa" w:w="147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不包含</w:t>
            </w:r>
          </w:p>
        </w:tc>
      </w:tr>
      <w:tr>
        <w:trPr>
          <w:cantSplit/>
          <w:tblHeader w:val="off"/>
        </w:trPr>
        <w:tc>
          <w:tcPr>
            <w:tcW w:type="dxa" w:w="23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thumbs/</w:t>
            </w:r>
          </w:p>
        </w:tc>
        <w:tc>
          <w:tcPr>
            <w:tcW w:type="dxa" w:w="470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照片的缩小图像（可以重新生成）。放在缓存位置（app_cache_dir）之下。在Windows上缓存位置与应用数据位置相同，因此以此名称区分</w:t>
            </w:r>
          </w:p>
        </w:tc>
        <w:tc>
          <w:tcPr>
            <w:tcW w:type="dxa" w:w="11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应用</w:t>
            </w:r>
          </w:p>
        </w:tc>
        <w:tc>
          <w:tcPr>
            <w:tcW w:type="dxa" w:w="147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不包含</w:t>
            </w:r>
          </w:p>
        </w:tc>
      </w:tr>
      <w:tr>
        <w:trPr>
          <w:cantSplit/>
          <w:tblHeader w:val="off"/>
        </w:trPr>
        <w:tc>
          <w:tcPr>
            <w:tcW w:type="dxa" w:w="23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logs/</w:t>
            </w:r>
          </w:p>
        </w:tc>
        <w:tc>
          <w:tcPr>
            <w:tcW w:type="dxa" w:w="470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操作的记录（日志）。记录的位置（app_log_dir）在Windows与Linux上为应用数据位置之下的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logs/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，在macOS上为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~/Library/Logs/&lt;标识符&gt;</w:t>
            </w:r>
          </w:p>
        </w:tc>
        <w:tc>
          <w:tcPr>
            <w:tcW w:type="dxa" w:w="11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应用</w:t>
            </w:r>
          </w:p>
        </w:tc>
        <w:tc>
          <w:tcPr>
            <w:tcW w:type="dxa" w:w="147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不包含</w:t>
            </w:r>
          </w:p>
        </w:tc>
      </w:tr>
      <w:tr>
        <w:trPr>
          <w:cantSplit/>
          <w:tblHeader w:val="off"/>
        </w:trPr>
        <w:tc>
          <w:tcPr>
            <w:tcW w:type="dxa" w:w="23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EBWebView/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（仅Windows）</w:t>
            </w:r>
          </w:p>
        </w:tc>
        <w:tc>
          <w:tcPr>
            <w:tcW w:type="dxa" w:w="470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WebView2生成的界面组件数据（Tauri的默认放置处）。本应用不使用，但列入清除的对象（第9章 2.3““清除此终端的记录”的步骤”）</w:t>
            </w:r>
          </w:p>
        </w:tc>
        <w:tc>
          <w:tcPr>
            <w:tcW w:type="dxa" w:w="11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WebView2</w:t>
            </w:r>
          </w:p>
        </w:tc>
        <w:tc>
          <w:tcPr>
            <w:tcW w:type="dxa" w:w="147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不包含</w:t>
            </w:r>
          </w:p>
        </w:tc>
      </w:tr>
    </w:tbl>
    <w:p>
      <w:pPr>
        <w:spacing w:after="100" w:before="0"/>
      </w:pP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放置处的出处：Tauri的PathResolver说明（app_cache_dir、app_log_dir在各操作系统的位置。于2026-09-30确认）。macOS的WKWebView生成的数据（</w:t>
      </w:r>
      <w:r>
        <w:rPr>
          <w:rFonts w:ascii="Consolas" w:eastAsia="Microsoft YaHei" w:hAnsi="Consolas"/>
        </w:rPr>
        <w:t xml:space="preserve">~/Library/WebKit/&lt;标识符&gt;</w:t>
      </w:r>
      <w:r>
        <w:rPr>
          <w:rFonts w:ascii="Microsoft YaHei" w:eastAsia="Microsoft YaHei" w:hAnsi="Microsoft YaHei"/>
        </w:rPr>
        <w:t xml:space="preserve">等）也列入清除的对象（［需实测］在macOS上实际的放置处）。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缩小图像与操作的记录不包含在备份中。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文件名仅为ASCII（编号），使用者输入的名称放在JSON中（避免多语言文件名的问题。第1章 8.6“多语言的文件名与文字”）。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全部记录的写入按第1章 10.2“保存”的步骤（临时文件与替换）进行。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2.2 不离开终端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应用向终端之外发送的，限于第1章 4.2“与外部的交互”表中的对象与内容。均不包含使用者的记录本身。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除使用者自己制作的备份文件（5）与使用者自己发送的意见电子邮件（第10章 9“意见受理渠道”）外，记录不离开终端。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3. 公开仓库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3.1 构成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仓库中的配置依据第11章 7“仓库的构成”。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8"/>
        <w:gridCol w:w="8350"/>
      </w:tblGrid>
      <w:tr>
        <w:trPr>
          <w:cantSplit/>
          <w:tblHeader/>
        </w:trPr>
        <w:tc>
          <w:tcPr>
            <w:tcW w:type="dxa" w:w="128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位置</w:t>
            </w:r>
          </w:p>
        </w:tc>
        <w:tc>
          <w:tcPr>
            <w:tcW w:type="dxa" w:w="83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rPr>
          <w:cantSplit/>
          <w:tblHeader w:val="off"/>
        </w:trPr>
        <w:tc>
          <w:tcPr>
            <w:tcW w:type="dxa" w:w="128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README</w:t>
            </w:r>
          </w:p>
        </w:tc>
        <w:tc>
          <w:tcPr>
            <w:tcW w:type="dxa" w:w="83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3种语言。获取的指引、官方版的识别方法（第9章 3“官方版的证明”）、比对的步骤（第2章 4.1“与声明所在账号的比对”）、来源证明的确认方法（第11章 6“物料清单与来源证明”）</w:t>
            </w:r>
          </w:p>
        </w:tc>
      </w:tr>
      <w:tr>
        <w:trPr>
          <w:cantSplit/>
          <w:tblHeader w:val="off"/>
        </w:trPr>
        <w:tc>
          <w:tcPr>
            <w:tcW w:type="dxa" w:w="128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发布</w:t>
            </w:r>
          </w:p>
        </w:tc>
        <w:tc>
          <w:tcPr>
            <w:tcW w:type="dxa" w:w="83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3种操作系统的分发物、更新电子签名、软件物料清单（SBOM）、许可的一览、来源证明、该版本同捆的参考信息包的副本。设为不可变的发布（3.5）</w:t>
            </w:r>
          </w:p>
        </w:tc>
      </w:tr>
      <w:tr>
        <w:trPr>
          <w:cantSplit/>
          <w:tblHeader w:val="off"/>
        </w:trPr>
        <w:tc>
          <w:tcPr>
            <w:tcW w:type="dxa" w:w="128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update/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（公开页面之下）</w:t>
            </w:r>
          </w:p>
        </w:tc>
        <w:tc>
          <w:tcPr>
            <w:tcW w:type="dxa" w:w="83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更新的说明（JSON。GitHub用。第9章 4.3“更新说明（静态JSON）的形式”）。放在发布之外，能够替换并回退到上一个版本（第9章 6.5“发布了有错误的版本时”）</w:t>
            </w:r>
          </w:p>
        </w:tc>
      </w:tr>
      <w:tr>
        <w:trPr>
          <w:cantSplit/>
          <w:tblHeader w:val="off"/>
        </w:trPr>
        <w:tc>
          <w:tcPr>
            <w:tcW w:type="dxa" w:w="128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reference/&lt;版本&gt;/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（公开页面之下）</w:t>
            </w:r>
          </w:p>
        </w:tc>
        <w:tc>
          <w:tcPr>
            <w:tcW w:type="dxa" w:w="83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参考信息（窗口、文字、各国法律的参照对象、随附文件的文字）与NRSD的记录电子签名。应用从公开页面（GitHub Pages）的URL获取（第1章 7.5“参考信息的获取”）</w:t>
            </w:r>
          </w:p>
        </w:tc>
      </w:tr>
      <w:tr>
        <w:trPr>
          <w:cantSplit/>
          <w:tblHeader w:val="off"/>
        </w:trPr>
        <w:tc>
          <w:tcPr>
            <w:tcW w:type="dxa" w:w="128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公开页面</w:t>
            </w:r>
          </w:p>
        </w:tc>
        <w:tc>
          <w:tcPr>
            <w:tcW w:type="dxa" w:w="83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3.3</w:t>
            </w:r>
          </w:p>
        </w:tc>
      </w:tr>
    </w:tbl>
    <w:p>
      <w:pPr>
        <w:spacing w:after="100" w:before="0"/>
      </w:pP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不放置个人信息、按使用者的信息（R-8-1-1“放置软件、公开页面、参考信息，不持有个人信息”）。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3.2 与改造版的区别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参考信息与更新以NRSD的密钥进行电子签名，应用内部持有公钥进行验证。改造版分发的参考信息、更新，在官方的应用中无法通过验证。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官方版的识别方法见第9章 3“官方版的证明”。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3.3 公开页面（O-05“公开页面的刊载内容”的决定）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72"/>
        <w:gridCol w:w="1466"/>
      </w:tblGrid>
      <w:tr>
        <w:trPr>
          <w:cantSplit/>
          <w:tblHeader/>
        </w:trPr>
        <w:tc>
          <w:tcPr>
            <w:tcW w:type="dxa" w:w="817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刊载的内容</w:t>
            </w:r>
          </w:p>
        </w:tc>
        <w:tc>
          <w:tcPr>
            <w:tcW w:type="dxa" w:w="146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不刊载的内容</w:t>
            </w:r>
          </w:p>
        </w:tc>
      </w:tr>
      <w:tr>
        <w:trPr>
          <w:cantSplit/>
          <w:tblHeader w:val="off"/>
        </w:trPr>
        <w:tc>
          <w:tcPr>
            <w:tcW w:type="dxa" w:w="817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本系统的说明、获取的方法（明示官方的获取处）</w:t>
            </w:r>
          </w:p>
        </w:tc>
        <w:tc>
          <w:tcPr>
            <w:tcW w:type="dxa" w:w="146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转载网站的名称、URL</w:t>
            </w:r>
          </w:p>
        </w:tc>
      </w:tr>
      <w:tr>
        <w:trPr>
          <w:cantSplit/>
          <w:tblHeader w:val="off"/>
        </w:trPr>
        <w:tc>
          <w:tcPr>
            <w:tcW w:type="dxa" w:w="817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比对的步骤（在一般验证网站上的显示、线索的读法。第2章 4.1“与声明所在账号的比对”）与“核对声明码”页（只在浏览器中读取图片，根据C2PA签名的证书链计算并显示声明码的静态页面。图片不发送到任何地方。第2章 DD-2-9“在x5chain中放入个人根证书”）</w:t>
            </w:r>
          </w:p>
        </w:tc>
        <w:tc>
          <w:tcPr>
            <w:tcW w:type="dxa" w:w="146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使用者的网名、声明所在账号</w:t>
            </w:r>
          </w:p>
        </w:tc>
      </w:tr>
      <w:tr>
        <w:trPr>
          <w:cantSplit/>
          <w:tblHeader w:val="off"/>
        </w:trPr>
        <w:tc>
          <w:tcPr>
            <w:tcW w:type="dxa" w:w="817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参考信息的版本与更新日</w:t>
            </w:r>
          </w:p>
        </w:tc>
        <w:tc>
          <w:tcPr>
            <w:tcW w:type="dxa" w:w="146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案件的个别内容</w:t>
            </w:r>
          </w:p>
        </w:tc>
      </w:tr>
      <w:tr>
        <w:trPr>
          <w:cantSplit/>
          <w:tblHeader w:val="off"/>
        </w:trPr>
        <w:tc>
          <w:tcPr>
            <w:tcW w:type="dxa" w:w="817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不涉及原作的权利、不是法律建议</w:t>
            </w:r>
          </w:p>
        </w:tc>
        <w:tc>
          <w:tcPr>
            <w:tcW w:type="dxa" w:w="146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817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故障与通知（第1章 18.1“NRSD的参与点与体制”）</w:t>
            </w:r>
          </w:p>
        </w:tc>
        <w:tc>
          <w:tcPr>
            <w:tcW w:type="dxa" w:w="146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 w:before="0"/>
      </w:pP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公开页面以GitHub的公开页面功能制作，编辑经由公开仓库的反映（D-12-4“公开页面可浏览、不可编辑，且不刊载可用于冒充的信息”中的“不可编辑”，是指浏览者不能编辑）。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3.4 参考信息包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7208"/>
      </w:tblGrid>
      <w:tr>
        <w:trPr>
          <w:cantSplit/>
          <w:tblHeader/>
        </w:trPr>
        <w:tc>
          <w:tcPr>
            <w:tcW w:type="dxa" w:w="24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文件</w:t>
            </w:r>
          </w:p>
        </w:tc>
        <w:tc>
          <w:tcPr>
            <w:tcW w:type="dxa" w:w="72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rPr>
          <w:cantSplit/>
          <w:tblHeader w:val="off"/>
        </w:trPr>
        <w:tc>
          <w:tcPr>
            <w:tcW w:type="dxa" w:w="24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reference/&lt;版本&gt;/index.json</w:t>
            </w:r>
          </w:p>
        </w:tc>
        <w:tc>
          <w:tcPr>
            <w:tcW w:type="dxa" w:w="72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schema: nrsd.reference/1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、密钥的标识符（电子签名所用参考信息签名密钥的公钥的SHA-256）、版本编号（从1开始的整数。按密钥计数，只增不减）、发行的日期时间（RFC 3339）、期限（自发行起120日。初始值。在每季度的复查（第7章 2.2“跟进”）上加30日的余量）、应用的最低版本（第9章 4.2“旧版本的使用者（强制更新）”）、文件的一览（路径、大小、SHA-256）</w:t>
            </w:r>
          </w:p>
        </w:tc>
      </w:tr>
      <w:tr>
        <w:trPr>
          <w:cantSplit/>
          <w:tblHeader w:val="off"/>
        </w:trPr>
        <w:tc>
          <w:tcPr>
            <w:tcW w:type="dxa" w:w="24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reference/&lt;版本&gt;/index.json.sig</w:t>
            </w:r>
          </w:p>
        </w:tc>
        <w:tc>
          <w:tcPr>
            <w:tcW w:type="dxa" w:w="72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对以JCS（RFC 8785）规范化的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index.json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值的ECDSA P-256电子签名。密钥在NRSD的硬件令牌中（PIV的电子签名槽。每次签名输入PIN）</w:t>
            </w:r>
          </w:p>
        </w:tc>
      </w:tr>
      <w:tr>
        <w:trPr>
          <w:cantSplit/>
          <w:tblHeader w:val="off"/>
        </w:trPr>
        <w:tc>
          <w:tcPr>
            <w:tcW w:type="dxa" w:w="24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reference/&lt;版本&gt;/contacts.json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等</w:t>
            </w:r>
          </w:p>
        </w:tc>
        <w:tc>
          <w:tcPr>
            <w:tcW w:type="dxa" w:w="72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窗口（第7章 2“窗口”）、文字的示例（第7章 3“文字的示例”）、各国法律的参照对象（第7章 4“各国法律的参照对象”）、随附文件的文字（第5章 3.7“共通部分文字的草稿”）、通知（第10章 G-21“通知”）</w:t>
            </w:r>
          </w:p>
        </w:tc>
      </w:tr>
      <w:tr>
        <w:trPr>
          <w:cantSplit/>
          <w:tblHeader w:val="off"/>
        </w:trPr>
        <w:tc>
          <w:tcPr>
            <w:tcW w:type="dxa" w:w="24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reference/latest.json</w:t>
            </w:r>
          </w:p>
        </w:tc>
        <w:tc>
          <w:tcPr>
            <w:tcW w:type="dxa" w:w="72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最新版本的编号与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index.json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的SHA-256（前往获取哪个版本的指引。它本身不作为信任的依据）</w:t>
            </w:r>
          </w:p>
        </w:tc>
      </w:tr>
    </w:tbl>
    <w:p>
      <w:pPr>
        <w:spacing w:after="100" w:before="0"/>
      </w:pP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应用的验证（第1章 7.5“参考信息的获取”第2步的内容）：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7"/>
        <w:gridCol w:w="3777"/>
        <w:gridCol w:w="5324"/>
      </w:tblGrid>
      <w:tr>
        <w:trPr>
          <w:cantSplit/>
          <w:tblHeader/>
        </w:trPr>
        <w:tc>
          <w:tcPr>
            <w:tcW w:type="dxa" w:w="53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顺序</w:t>
            </w:r>
          </w:p>
        </w:tc>
        <w:tc>
          <w:tcPr>
            <w:tcW w:type="dxa" w:w="377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确认的事项</w:t>
            </w:r>
          </w:p>
        </w:tc>
        <w:tc>
          <w:tcPr>
            <w:tcW w:type="dxa" w:w="532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未通过时</w:t>
            </w:r>
          </w:p>
        </w:tc>
      </w:tr>
      <w:tr>
        <w:trPr>
          <w:cantSplit/>
          <w:tblHeader w:val="off"/>
        </w:trPr>
        <w:tc>
          <w:tcPr>
            <w:tcW w:type="dxa" w:w="53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77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index.json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的大小在64KB以下，各文件在一览的大小以下，合计在1MB以下（第1章 4.2“与外部的交互”的上限）</w:t>
            </w:r>
          </w:p>
        </w:tc>
        <w:tc>
          <w:tcPr>
            <w:tcW w:type="dxa" w:w="532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停止获取（防备以大量数据妨碍终端的攻击）</w:t>
            </w:r>
          </w:p>
        </w:tc>
      </w:tr>
      <w:tr>
        <w:trPr>
          <w:cantSplit/>
          <w:tblHeader w:val="off"/>
        </w:trPr>
        <w:tc>
          <w:tcPr>
            <w:tcW w:type="dxa" w:w="53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77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以嵌入应用的参考信息公钥验证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index.json.sig</w:t>
            </w:r>
          </w:p>
        </w:tc>
        <w:tc>
          <w:tcPr>
            <w:tcW w:type="dxa" w:w="532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不使用。以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REF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的编号记录</w:t>
            </w:r>
          </w:p>
        </w:tc>
      </w:tr>
      <w:tr>
        <w:trPr>
          <w:cantSplit/>
          <w:tblHeader w:val="off"/>
        </w:trPr>
        <w:tc>
          <w:tcPr>
            <w:tcW w:type="dxa" w:w="53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77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密钥的标识符为嵌入应用的公钥，版本编号大于以该密钥计数的手头版本</w:t>
            </w:r>
          </w:p>
        </w:tc>
        <w:tc>
          <w:tcPr>
            <w:tcW w:type="dxa" w:w="532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不使用小于或等于手头版本的信息包、旧密钥的信息包（防备版本回退）</w:t>
            </w:r>
          </w:p>
        </w:tc>
      </w:tr>
      <w:tr>
        <w:trPr>
          <w:cantSplit/>
          <w:tblHeader w:val="off"/>
        </w:trPr>
        <w:tc>
          <w:tcPr>
            <w:tcW w:type="dxa" w:w="53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77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各文件的SHA-256与一览一致</w:t>
            </w:r>
          </w:p>
        </w:tc>
        <w:tc>
          <w:tcPr>
            <w:tcW w:type="dxa" w:w="532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整个信息包都不使用（防备组合的伪造）</w:t>
            </w:r>
          </w:p>
        </w:tc>
      </w:tr>
      <w:tr>
        <w:trPr>
          <w:cantSplit/>
          <w:tblHeader w:val="off"/>
        </w:trPr>
        <w:tc>
          <w:tcPr>
            <w:tcW w:type="dxa" w:w="53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77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期限</w:t>
            </w:r>
          </w:p>
        </w:tc>
        <w:tc>
          <w:tcPr>
            <w:tcW w:type="dxa" w:w="532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即使已过期限，也作为手头最新的信息包使用，但在G-21“通知”中显示“参考信息已过时（最后确认：日期）”（防备冻结）。期限过后超过30日时，也在窗口指引（G-17“应对指引”）的上端显示</w:t>
            </w:r>
          </w:p>
        </w:tc>
      </w:tr>
    </w:tbl>
    <w:p>
      <w:pPr>
        <w:spacing w:after="100" w:before="0"/>
      </w:pP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同捆的信息包：在各发布的应用中同捆当时最新的参考信息包（附目录与电子签名）。即使首次启动时离线，也能制作随附文件、声明的文字示例、范本。启动后获取的信息包版本大于同捆的版本时，使用获取的信息包（3.4验证的第3项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公钥的替换：参考信息签名密钥的替换，只通过放入新公钥的应用版本（以更新签名密钥进行电子签名后分发）进行。在信息包的目录（</w:t>
      </w:r>
      <w:r>
        <w:rPr>
          <w:rFonts w:ascii="Consolas" w:eastAsia="Microsoft YaHei" w:hAnsi="Consolas"/>
        </w:rPr>
        <w:t xml:space="preserve">index.json</w:t>
      </w:r>
      <w:r>
        <w:rPr>
          <w:rFonts w:ascii="Microsoft YaHei" w:eastAsia="Microsoft YaHei" w:hAnsi="Microsoft YaHei"/>
        </w:rPr>
        <w:t xml:space="preserve">）中持有密钥的标识符（公钥的SHA-256），应用按密钥计数版本编号。放入新公钥版本的应用，不接受旧密钥的信息包，舍弃以旧密钥计数的版本编号，从1开始计数新密钥信息包的版本。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理由：“最低版本”在信息包中，不以旧密钥进行电子签名就无法提升（失去密钥时无法提升）。密钥泄露时，攻击者可以发出版本编号极大的信息包，若手头的版本编号变为该编号，更换密钥后正确的信息包会一直作为“版本回退”被拒绝。按密钥计数版本，并把替换委托给更新签名密钥的途径，二者都不会发生（与TUF规范中通过另外的密钥途径替换信任根的思路相同）。</w:t>
      </w:r>
    </w:p>
    <w:p>
      <w:pPr>
        <w:pStyle w:val="ListParagraph"/>
        <w:keepNext w:val="false"/>
        <w:keepLines/>
        <w:numPr>
          <w:ilvl w:val="1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泄露时，在安装新版本的应用之前，使用者的应用可能接受攻击者的信息包（包括伪造的窗口、伪造的通知（G-21“通知”）、被抬高的“最低版本”（第9章 4.2“旧版本的使用者（强制更新）”。C2PA签名与登记会停止））（第13章 H-22“NRSD的密钥（更新、参考信息）被盗时，可能被分发伪造的更新、参考信息”）。步骤依据第1章 18.3“NRSD的密钥事故”。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3.5 GitHub账号与仓库的保护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0"/>
        <w:gridCol w:w="8208"/>
      </w:tblGrid>
      <w:tr>
        <w:trPr>
          <w:cantSplit/>
          <w:tblHeader/>
        </w:trPr>
        <w:tc>
          <w:tcPr>
            <w:tcW w:type="dxa" w:w="14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对象</w:t>
            </w:r>
          </w:p>
        </w:tc>
        <w:tc>
          <w:tcPr>
            <w:tcW w:type="dxa" w:w="82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设置</w:t>
            </w:r>
          </w:p>
        </w:tc>
      </w:tr>
      <w:tr>
        <w:trPr>
          <w:cantSplit/>
          <w:tblHeader w:val="off"/>
        </w:trPr>
        <w:tc>
          <w:tcPr>
            <w:tcW w:type="dxa" w:w="14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组织</w:t>
            </w:r>
          </w:p>
        </w:tc>
        <w:tc>
          <w:tcPr>
            <w:tcW w:type="dxa" w:w="82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NRSD的组织账号。所有者为2人（可信的另一人。在能设置之前为1人）。要求全员进行两步验证（组织的设置。关闭者会被移出组织）。每半年确认所有者的活动（OpenSSF的SCM Best Practices）</w:t>
            </w:r>
          </w:p>
        </w:tc>
      </w:tr>
      <w:tr>
        <w:trPr>
          <w:cantSplit/>
          <w:tblHeader w:val="off"/>
        </w:trPr>
        <w:tc>
          <w:tcPr>
            <w:tcW w:type="dxa" w:w="14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两步验证</w:t>
            </w:r>
          </w:p>
        </w:tc>
        <w:tc>
          <w:tcPr>
            <w:tcW w:type="dxa" w:w="82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登记2个以上的通行密钥或安全密钥（1个保管在另外的地方）与基于时间的一次性代码应用。不使用SMS（GitHub的说明：SMS存在危险）。恢复代码（16个）抄写在纸上，放在与密码管理工具不同的实物场所（保险箱）。作为恢复的要素，也持有用于验证的SSH密钥与已登记的终端（GitHub“Configuring two-factor authentication recovery methods”强烈建议登记2个以上的手段并保管恢复代码）</w:t>
            </w:r>
          </w:p>
        </w:tc>
      </w:tr>
      <w:tr>
        <w:trPr>
          <w:cantSplit/>
          <w:tblHeader w:val="off"/>
        </w:trPr>
        <w:tc>
          <w:tcPr>
            <w:tcW w:type="dxa" w:w="14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失去组织时的准备</w:t>
            </w:r>
          </w:p>
        </w:tc>
        <w:tc>
          <w:tcPr>
            <w:tcW w:type="dxa" w:w="82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在运营者的电脑上保存公开仓库的副本（clone），即使失去组织也能在其他地方重建（GitHub不恢复被冻结、丢失的组织的内容，但公开的内容可以clone）。组织的名称、发布、已有的URL会失去（第13章 H-45“GitHub组织的所有者只有一人期间，若其失去全部认证手段与恢复手段，组织将无法恢复”）</w:t>
            </w:r>
          </w:p>
        </w:tc>
      </w:tr>
      <w:tr>
        <w:trPr>
          <w:cantSplit/>
          <w:tblHeader w:val="off"/>
        </w:trPr>
        <w:tc>
          <w:tcPr>
            <w:tcW w:type="dxa" w:w="14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主分支</w:t>
            </w:r>
          </w:p>
        </w:tc>
        <w:tc>
          <w:tcPr>
            <w:tcW w:type="dxa" w:w="82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以规则（rulesets）禁止强制改写、删除，变更须经过拉取请求（pull request）。CI的检查（第11章 8.1“每次变更”）不通过则不能合并</w:t>
            </w:r>
          </w:p>
        </w:tc>
      </w:tr>
      <w:tr>
        <w:trPr>
          <w:cantSplit/>
          <w:tblHeader w:val="off"/>
        </w:trPr>
        <w:tc>
          <w:tcPr>
            <w:tcW w:type="dxa" w:w="14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标签</w:t>
            </w:r>
          </w:p>
        </w:tc>
        <w:tc>
          <w:tcPr>
            <w:tcW w:type="dxa" w:w="82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把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v*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标签的创建、删除限于所有者的规则</w:t>
            </w:r>
          </w:p>
        </w:tc>
      </w:tr>
      <w:tr>
        <w:trPr>
          <w:cantSplit/>
          <w:tblHeader w:val="off"/>
        </w:trPr>
        <w:tc>
          <w:tcPr>
            <w:tcW w:type="dxa" w:w="14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发布</w:t>
            </w:r>
          </w:p>
        </w:tc>
        <w:tc>
          <w:tcPr>
            <w:tcW w:type="dxa" w:w="82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启用不可变的发布。在草稿状态下附上全部分发物、更新电子签名、物料清单之后再公开（公开之后无法追加）。有错误的版本不删除而修改标题（第9章 6.5“发布了有错误的版本时”）。更新的说明不放入发布，而放在公开页面的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update/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中（3.1。为了替换与回退说明）</w:t>
            </w:r>
          </w:p>
        </w:tc>
      </w:tr>
      <w:tr>
        <w:trPr>
          <w:cantSplit/>
          <w:tblHeader w:val="off"/>
        </w:trPr>
        <w:tc>
          <w:tcPr>
            <w:tcW w:type="dxa" w:w="14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Actions</w:t>
            </w:r>
          </w:p>
        </w:tc>
        <w:tc>
          <w:tcPr>
            <w:tcW w:type="dxa" w:w="82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第三方的Actions以提交的编号固定版本（第11章 8.1“每次变更”）。发布的机密放在仅能由附加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v*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标签时运行的发布CI使用的环境中（第11章 8.3“机密的处理”）</w:t>
            </w:r>
          </w:p>
        </w:tc>
      </w:tr>
      <w:tr>
        <w:trPr>
          <w:cantSplit/>
          <w:tblHeader w:val="off"/>
        </w:trPr>
        <w:tc>
          <w:tcPr>
            <w:tcW w:type="dxa" w:w="14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使用者的确认</w:t>
            </w:r>
          </w:p>
        </w:tc>
        <w:tc>
          <w:tcPr>
            <w:tcW w:type="dxa" w:w="82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在README中显示确认方法，使高级使用者能够确认自动附在不可变发布上的发布证明</w:t>
            </w:r>
          </w:p>
        </w:tc>
      </w:tr>
      <w:tr>
        <w:trPr>
          <w:cantSplit/>
          <w:tblHeader w:val="off"/>
        </w:trPr>
        <w:tc>
          <w:tcPr>
            <w:tcW w:type="dxa" w:w="14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Issues、Discussions</w:t>
            </w:r>
          </w:p>
        </w:tc>
        <w:tc>
          <w:tcPr>
            <w:tcW w:type="dxa" w:w="82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设为无效。意见受理渠道限于电子邮件（第10章 9“意见受理渠道”）。避免使用者在公开的场所写入转载的URL或自己的信息（DD-8-4“公开页面不刊载转载网站名与使用者的信息”、法务调查 L-18“GitHub的条款”）。在README中写明“意见请通过电子邮件”</w:t>
            </w:r>
          </w:p>
        </w:tc>
      </w:tr>
    </w:tbl>
    <w:p>
      <w:pPr>
        <w:spacing w:after="100" w:before="0"/>
      </w:pPr>
    </w:p>
    <w:p>
      <w:pPr>
        <w:pStyle w:val="Heading2"/>
      </w:pPr>
      <w:r>
        <w:rPr>
          <w:rFonts w:ascii="Microsoft YaHei" w:eastAsia="Microsoft YaHei" w:hAnsi="Microsoft YaHei"/>
        </w:rPr>
        <w:t xml:space="preserve">3.6 香港镜像的运营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"/>
        <w:gridCol w:w="8608"/>
      </w:tblGrid>
      <w:tr>
        <w:trPr>
          <w:cantSplit/>
          <w:tblHeader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tcW w:type="dxa" w:w="86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设置、步骤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放置处</w:t>
            </w:r>
          </w:p>
        </w:tc>
        <w:tc>
          <w:tcPr>
            <w:tcW w:type="dxa" w:w="86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阿里云OSS香港地域的1个存储桶。标准的存储类型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公开</w:t>
            </w:r>
          </w:p>
        </w:tc>
        <w:tc>
          <w:tcPr>
            <w:tcW w:type="dxa" w:w="86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仅公开读取。禁止显示一览。写入限于NRSD运营者的密钥（RAM用户，仅对此存储桶有写入的权限）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访问记录</w:t>
            </w:r>
          </w:p>
        </w:tc>
        <w:tc>
          <w:tcPr>
            <w:tcW w:type="dxa" w:w="86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不启用（DD-8-10“镜像不记录访问日志”）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复制方法</w:t>
            </w:r>
          </w:p>
        </w:tc>
        <w:tc>
          <w:tcPr>
            <w:tcW w:type="dxa" w:w="86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在第9章 6.1“步骤”的第6步，复制GitHub发布的分发物、更新电子签名、镜像用的更新说明、参考信息包。复制之后，从镜像重新获取，把SHA-256与GitHub的对照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旧版本</w:t>
            </w:r>
          </w:p>
        </w:tc>
        <w:tc>
          <w:tcPr>
            <w:tcW w:type="dxa" w:w="86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分发物只放置最新与上一个版本，更旧的版本予以删除（抑制容量与费用。GitHub的发布中保留全部版本）。镜像用于更新的获取，以及从README中文节的直接获取（第9章 5“获取途径”）。README的链接指向各版本的分发物，每次发布时修改README。声明与随附文件中不刊载镜像的URL。不放置HTML的入口页面。参考信息包放置全部版本（体积小，版本的验证不需要，但使用者可以确认）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费用</w:t>
            </w:r>
          </w:p>
        </w:tc>
        <w:tc>
          <w:tcPr>
            <w:tcW w:type="dxa" w:w="86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6.3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Microsoft YaHei" w:eastAsia="Microsoft YaHei" w:hAnsi="Microsoft YaHei"/>
        </w:rPr>
        <w:t xml:space="preserve">4. 完整性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篡改的检测：对作品数据、案件记录、状况的追加、授权书以使用者的密钥附加记录电子签名（第1章 DD-1-5“终端的记录附记录电子签名并加以验证”），读取时验证。证据文件在案件记录中记录SHA-256，并附加可信时间戳（第6章）。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履历：记录只追加。订正、撤回也作为新的记录追加（第6章 DD-6-5“案件记录只追加”）。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读取了未通过验证的记录时，不使用该记录，告知使用者（第1章 10.3“错误”的</w:t>
      </w:r>
      <w:r>
        <w:rPr>
          <w:rFonts w:ascii="Consolas" w:eastAsia="Microsoft YaHei" w:hAnsi="Consolas"/>
        </w:rPr>
        <w:t xml:space="preserve">STO</w:t>
      </w:r>
      <w:r>
        <w:rPr>
          <w:rFonts w:ascii="Microsoft YaHei" w:eastAsia="Microsoft YaHei" w:hAnsi="Microsoft YaHei"/>
        </w:rPr>
        <w:t xml:space="preserve">编号），并指引从备份文件恢复。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启动时在后台进行全部记录的记录电子签名验证（件数多时每天至多1次。初始值）。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5. 备份文件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5.1 格式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外层为age格式（C2SP的age规范）。接收者段只有口令（scrypt）的1段（在age的规范中，口令段必须是唯一的段）。scrypt的强度为2^18（age官方Go实现的默认。注记“在现代机器上1秒”）。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内容为ZIP。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0"/>
        <w:gridCol w:w="8008"/>
      </w:tblGrid>
      <w:tr>
        <w:trPr>
          <w:cantSplit/>
          <w:tblHeader/>
        </w:trPr>
        <w:tc>
          <w:tcPr>
            <w:tcW w:type="dxa" w:w="16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ZIP中</w:t>
            </w:r>
          </w:p>
        </w:tc>
        <w:tc>
          <w:tcPr>
            <w:tcW w:type="dxa" w:w="80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rPr>
          <w:cantSplit/>
          <w:tblHeader w:val="off"/>
        </w:trPr>
        <w:tc>
          <w:tcPr>
            <w:tcW w:type="dxa" w:w="16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manifest.json</w:t>
            </w:r>
          </w:p>
        </w:tc>
        <w:tc>
          <w:tcPr>
            <w:tcW w:type="dxa" w:w="80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备份格式的版本（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schema: nrsd.backup/1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）、制作的日期时间、应用的版本、各记录格式的版本、个人根证书的声明码、文件的一览（路径、大小、SHA-256）</w:t>
            </w:r>
          </w:p>
        </w:tc>
      </w:tr>
      <w:tr>
        <w:trPr>
          <w:cantSplit/>
          <w:tblHeader w:val="off"/>
        </w:trPr>
        <w:tc>
          <w:tcPr>
            <w:tcW w:type="dxa" w:w="16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keys/</w:t>
            </w:r>
          </w:p>
        </w:tc>
        <w:tc>
          <w:tcPr>
            <w:tcW w:type="dxa" w:w="80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个人根证书的密钥与签名用证书的密钥（PKCS#8）。从密钥存储中取出放入</w:t>
            </w:r>
          </w:p>
        </w:tc>
      </w:tr>
      <w:tr>
        <w:trPr>
          <w:cantSplit/>
          <w:tblHeader w:val="off"/>
        </w:trPr>
        <w:tc>
          <w:tcPr>
            <w:tcW w:type="dxa" w:w="16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data/</w:t>
            </w:r>
          </w:p>
        </w:tc>
        <w:tc>
          <w:tcPr>
            <w:tcW w:type="dxa" w:w="80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2.1表中“包含在备份中”的内容</w:t>
            </w:r>
          </w:p>
        </w:tc>
      </w:tr>
    </w:tbl>
    <w:p>
      <w:pPr>
        <w:spacing w:after="100" w:before="0"/>
      </w:pP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扩展名为本应用专用（例：</w:t>
      </w:r>
      <w:r>
        <w:rPr>
          <w:rFonts w:ascii="Consolas" w:eastAsia="Microsoft YaHei" w:hAnsi="Consolas"/>
        </w:rPr>
        <w:t xml:space="preserve">.nrsdbak</w:t>
      </w:r>
      <w:r>
        <w:rPr>
          <w:rFonts w:ascii="Microsoft YaHei" w:eastAsia="Microsoft YaHei" w:hAnsi="Microsoft YaHei"/>
        </w:rPr>
        <w:t xml:space="preserve">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组件：age的Rust版（age 0.12.1，MIT OR Apache-2.0）、zip（第11章 4.1“Rust的组件”）。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5.2 制作方法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3"/>
        <w:gridCol w:w="8925"/>
      </w:tblGrid>
      <w:tr>
        <w:trPr>
          <w:cantSplit/>
          <w:tblHeader/>
        </w:trPr>
        <w:tc>
          <w:tcPr>
            <w:tcW w:type="dxa" w:w="71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顺序</w:t>
            </w:r>
          </w:p>
        </w:tc>
        <w:tc>
          <w:tcPr>
            <w:tcW w:type="dxa" w:w="892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处理</w:t>
            </w:r>
          </w:p>
        </w:tc>
      </w:tr>
      <w:tr>
        <w:trPr>
          <w:cantSplit/>
          <w:tblHeader w:val="off"/>
        </w:trPr>
        <w:tc>
          <w:tcPr>
            <w:tcW w:type="dxa" w:w="71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92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使用者选择保存处与口令。口令为12个字符以上（初始值）。不接受常用口令一览（初始值为1万条）中的口令</w:t>
            </w:r>
          </w:p>
        </w:tc>
      </w:tr>
      <w:tr>
        <w:trPr>
          <w:cantSplit/>
          <w:tblHeader w:val="off"/>
        </w:trPr>
        <w:tc>
          <w:tcPr>
            <w:tcW w:type="dxa" w:w="71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892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确认没有导出、登记的中途处理（若有则等待其结束）</w:t>
            </w:r>
          </w:p>
        </w:tc>
      </w:tr>
      <w:tr>
        <w:trPr>
          <w:cantSplit/>
          <w:tblHeader w:val="off"/>
        </w:trPr>
        <w:tc>
          <w:tcPr>
            <w:tcW w:type="dxa" w:w="71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892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从密钥存储读取密钥，读取记录，在汇总为ZIP的同时以age加密，以临时名称写入（逐次处理，不把全体载入内存）</w:t>
            </w:r>
          </w:p>
        </w:tc>
      </w:tr>
      <w:tr>
        <w:trPr>
          <w:cantSplit/>
          <w:tblHeader w:val="off"/>
        </w:trPr>
        <w:tc>
          <w:tcPr>
            <w:tcW w:type="dxa" w:w="71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892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写完后重新读取文件，解密头部，与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manifest.json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的SHA-256一览对照确认</w:t>
            </w:r>
          </w:p>
        </w:tc>
      </w:tr>
      <w:tr>
        <w:trPr>
          <w:cantSplit/>
          <w:tblHeader w:val="off"/>
        </w:trPr>
        <w:tc>
          <w:tcPr>
            <w:tcW w:type="dxa" w:w="71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892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改为正式的名称，把制作的日期时间记录到设置中（用于主页“最后的备份”的显示与30日的建议。第1章 13“终端与人”）</w:t>
            </w:r>
          </w:p>
        </w:tc>
      </w:tr>
    </w:tbl>
    <w:p>
      <w:pPr>
        <w:spacing w:after="100" w:before="0"/>
      </w:pP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保存处的指引：建议不放在同一台电脑中，而放在外部存储介质（USB存储介质等）或使用者的云端。因为已加密，放在云端也可以，但显示若口令较弱则可能被读取的意旨。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在制作时显示忘记口令就无法恢复的意旨，并要求按下确认。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［需实测］包含证据的5GB备份的制作时间。判定：在一般的电脑（第1章 14.1“规模与性能的目标”）上15分钟以内（初始值）。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5.3 恢复方法（导入）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2"/>
        <w:gridCol w:w="8806"/>
      </w:tblGrid>
      <w:tr>
        <w:trPr>
          <w:cantSplit/>
          <w:tblHeader/>
        </w:trPr>
        <w:tc>
          <w:tcPr>
            <w:tcW w:type="dxa" w:w="8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顺序</w:t>
            </w:r>
          </w:p>
        </w:tc>
        <w:tc>
          <w:tcPr>
            <w:tcW w:type="dxa" w:w="880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处理</w:t>
            </w:r>
          </w:p>
        </w:tc>
      </w:tr>
      <w:tr>
        <w:trPr>
          <w:cantSplit/>
          <w:tblHeader w:val="off"/>
        </w:trPr>
        <w:tc>
          <w:tcPr>
            <w:tcW w:type="dxa" w:w="8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80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使用者输入文件与口令</w:t>
            </w:r>
          </w:p>
        </w:tc>
      </w:tr>
      <w:tr>
        <w:trPr>
          <w:cantSplit/>
          <w:tblHeader w:val="off"/>
        </w:trPr>
        <w:tc>
          <w:tcPr>
            <w:tcW w:type="dxa" w:w="8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880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读取age的头部，不接受scrypt强度超过2^22的文件（age官方Go实现接受的上限。防止需要长时间解密的伪造）</w:t>
            </w:r>
          </w:p>
        </w:tc>
      </w:tr>
      <w:tr>
        <w:trPr>
          <w:cantSplit/>
          <w:tblHeader w:val="off"/>
        </w:trPr>
        <w:tc>
          <w:tcPr>
            <w:tcW w:type="dxa" w:w="8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880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一边解密一边读取ZIP，确认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manifest.json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（格式、版本、文件的一览）。若ZIP中的路径含有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..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或绝对路径则中止。展开的合计大小与一览的大小不一致则中止（第1章 10.6“来自外部输入的确认”）</w:t>
            </w:r>
          </w:p>
        </w:tc>
      </w:tr>
      <w:tr>
        <w:trPr>
          <w:cantSplit/>
          <w:tblHeader w:val="off"/>
        </w:trPr>
        <w:tc>
          <w:tcPr>
            <w:tcW w:type="dxa" w:w="8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880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把各文件的SHA-256与一览对照</w:t>
            </w:r>
          </w:p>
        </w:tc>
      </w:tr>
      <w:tr>
        <w:trPr>
          <w:cantSplit/>
          <w:tblHeader w:val="off"/>
        </w:trPr>
        <w:tc>
          <w:tcPr>
            <w:tcW w:type="dxa" w:w="8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880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确认个人根证书是否与当前终端相同，或终端上是否没有记录（5.4）</w:t>
            </w:r>
          </w:p>
        </w:tc>
      </w:tr>
      <w:tr>
        <w:trPr>
          <w:cantSplit/>
          <w:tblHeader w:val="off"/>
        </w:trPr>
        <w:tc>
          <w:tcPr>
            <w:tcW w:type="dxa" w:w="8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880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把密钥放入密钥存储，把记录展开到临时位置，验证记录电子签名之后移到正式的位置</w:t>
            </w:r>
          </w:p>
        </w:tc>
      </w:tr>
      <w:tr>
        <w:trPr>
          <w:cantSplit/>
          <w:tblHeader w:val="off"/>
        </w:trPr>
        <w:tc>
          <w:tcPr>
            <w:tcW w:type="dxa" w:w="8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80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显示导入的件数与未通过验证的记录的一览</w:t>
            </w:r>
          </w:p>
        </w:tc>
      </w:tr>
    </w:tbl>
    <w:p>
      <w:pPr>
        <w:spacing w:after="100" w:before="0"/>
      </w:pP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以比自己新的应用制作的备份（记录格式的版本较新），提示更新应用而不导入。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5.4 合并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8"/>
        <w:gridCol w:w="6210"/>
      </w:tblGrid>
      <w:tr>
        <w:trPr>
          <w:cantSplit/>
          <w:tblHeader/>
        </w:trPr>
        <w:tc>
          <w:tcPr>
            <w:tcW w:type="dxa" w:w="342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当前的终端</w:t>
            </w:r>
          </w:p>
        </w:tc>
        <w:tc>
          <w:tcPr>
            <w:tcW w:type="dxa" w:w="62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处理</w:t>
            </w:r>
          </w:p>
        </w:tc>
      </w:tr>
      <w:tr>
        <w:trPr>
          <w:cantSplit/>
          <w:tblHeader w:val="off"/>
        </w:trPr>
        <w:tc>
          <w:tcPr>
            <w:tcW w:type="dxa" w:w="342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没有记录（新的终端）</w:t>
            </w:r>
          </w:p>
        </w:tc>
        <w:tc>
          <w:tcPr>
            <w:tcW w:type="dxa" w:w="62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原样导入</w:t>
            </w:r>
          </w:p>
        </w:tc>
      </w:tr>
      <w:tr>
        <w:trPr>
          <w:cantSplit/>
          <w:tblHeader w:val="off"/>
        </w:trPr>
        <w:tc>
          <w:tcPr>
            <w:tcW w:type="dxa" w:w="342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有同一个人根证书的记录（在2台上使用）</w:t>
            </w:r>
          </w:p>
        </w:tc>
        <w:tc>
          <w:tcPr>
            <w:tcW w:type="dxa" w:w="62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合并（下述规则）</w:t>
            </w:r>
          </w:p>
        </w:tc>
      </w:tr>
      <w:tr>
        <w:trPr>
          <w:cantSplit/>
          <w:tblHeader w:val="off"/>
        </w:trPr>
        <w:tc>
          <w:tcPr>
            <w:tcW w:type="dxa" w:w="342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有不同个人根证书的记录</w:t>
            </w:r>
          </w:p>
        </w:tc>
        <w:tc>
          <w:tcPr>
            <w:tcW w:type="dxa" w:w="62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不合并（DD-8-6“个人根证书不同的备份不合并”）。让使用者选择“以备份文件替换当前的记录（先为当前的记录制作备份）”或“取消”</w:t>
            </w:r>
          </w:p>
        </w:tc>
      </w:tr>
    </w:tbl>
    <w:p>
      <w:pPr>
        <w:spacing w:after="100" w:before="0"/>
      </w:pP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合并的规则（同一个人根证书）：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2"/>
        <w:gridCol w:w="7636"/>
      </w:tblGrid>
      <w:tr>
        <w:trPr>
          <w:cantSplit/>
          <w:tblHeader/>
        </w:trPr>
        <w:tc>
          <w:tcPr>
            <w:tcW w:type="dxa" w:w="200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记录</w:t>
            </w:r>
          </w:p>
        </w:tc>
        <w:tc>
          <w:tcPr>
            <w:tcW w:type="dxa" w:w="76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规则</w:t>
            </w:r>
          </w:p>
        </w:tc>
      </w:tr>
      <w:tr>
        <w:trPr>
          <w:cantSplit/>
          <w:tblHeader w:val="off"/>
        </w:trPr>
        <w:tc>
          <w:tcPr>
            <w:tcW w:type="dxa" w:w="200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作品数据（每次批量处理的文件）</w:t>
            </w:r>
          </w:p>
        </w:tc>
        <w:tc>
          <w:tcPr>
            <w:tcW w:type="dxa" w:w="76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编号相同且内容相同则为1个。编号相同而内容不同，则两者都保留，并显示差异（通常不会发生）</w:t>
            </w:r>
          </w:p>
        </w:tc>
      </w:tr>
      <w:tr>
        <w:trPr>
          <w:cantSplit/>
          <w:tblHeader w:val="off"/>
        </w:trPr>
        <w:tc>
          <w:tcPr>
            <w:tcW w:type="dxa" w:w="200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案件记录与状况的追加</w:t>
            </w:r>
          </w:p>
        </w:tc>
        <w:tc>
          <w:tcPr>
            <w:tcW w:type="dxa" w:w="76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按案件的编号合并状况的追加，按时刻的顺序排列（因为是只追加的记录，两者都保留即可）</w:t>
            </w:r>
          </w:p>
        </w:tc>
      </w:tr>
      <w:tr>
        <w:trPr>
          <w:cantSplit/>
          <w:tblHeader w:val="off"/>
        </w:trPr>
        <w:tc>
          <w:tcPr>
            <w:tcW w:type="dxa" w:w="200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证据</w:t>
            </w:r>
          </w:p>
        </w:tc>
        <w:tc>
          <w:tcPr>
            <w:tcW w:type="dxa" w:w="76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以SHA-256的名称合并（相同的为1个）</w:t>
            </w:r>
          </w:p>
        </w:tc>
      </w:tr>
      <w:tr>
        <w:trPr>
          <w:cantSplit/>
          <w:tblHeader w:val="off"/>
        </w:trPr>
        <w:tc>
          <w:tcPr>
            <w:tcW w:type="dxa" w:w="200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模板、作业</w:t>
            </w:r>
          </w:p>
        </w:tc>
        <w:tc>
          <w:tcPr>
            <w:tcW w:type="dxa" w:w="76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编号相同时，采用版本编号（最后修改的日期时间）较新的一方，把旧的一方作为备份保留</w:t>
            </w:r>
          </w:p>
        </w:tc>
      </w:tr>
      <w:tr>
        <w:trPr>
          <w:cantSplit/>
          <w:tblHeader w:val="off"/>
        </w:trPr>
        <w:tc>
          <w:tcPr>
            <w:tcW w:type="dxa" w:w="200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授权书等</w:t>
            </w:r>
          </w:p>
        </w:tc>
        <w:tc>
          <w:tcPr>
            <w:tcW w:type="dxa" w:w="76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按编号合并</w:t>
            </w:r>
          </w:p>
        </w:tc>
      </w:tr>
      <w:tr>
        <w:trPr>
          <w:cantSplit/>
          <w:tblHeader w:val="off"/>
        </w:trPr>
        <w:tc>
          <w:tcPr>
            <w:tcW w:type="dxa" w:w="200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设置</w:t>
            </w:r>
          </w:p>
        </w:tc>
        <w:tc>
          <w:tcPr>
            <w:tcW w:type="dxa" w:w="76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保留当前终端的设置</w:t>
            </w:r>
          </w:p>
        </w:tc>
      </w:tr>
      <w:tr>
        <w:trPr>
          <w:cantSplit/>
          <w:tblHeader w:val="off"/>
        </w:trPr>
        <w:tc>
          <w:tcPr>
            <w:tcW w:type="dxa" w:w="200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变更的履历</w:t>
            </w:r>
          </w:p>
        </w:tc>
        <w:tc>
          <w:tcPr>
            <w:tcW w:type="dxa" w:w="76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按时刻的顺序合并</w:t>
            </w:r>
          </w:p>
        </w:tc>
      </w:tr>
    </w:tbl>
    <w:p>
      <w:pPr>
        <w:spacing w:after="100" w:before="0"/>
      </w:pPr>
    </w:p>
    <w:p>
      <w:pPr>
        <w:pStyle w:val="Heading2"/>
      </w:pPr>
      <w:r>
        <w:rPr>
          <w:rFonts w:ascii="Microsoft YaHei" w:eastAsia="Microsoft YaHei" w:hAnsi="Microsoft YaHei"/>
        </w:rPr>
        <w:t xml:space="preserve">5.5 备份的建议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在首次输入之后，以及自最后制作备份起经过30日（初始值）时，在主页上建议（第10章 G-07“主页”）。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登记证据之后，若有未制作备份的证据，在主页上显示件数。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5.6 备份存放方式的指引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在制作备份的界面（G-05“创建备份”）与README中，按照一般推荐的“3-2-1”原则（重要文件持有3个副本，放在2种介质上，1个放在远离的地方。美国CISA“Data Backup Options”），显示以下内容。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5"/>
        <w:gridCol w:w="8413"/>
      </w:tblGrid>
      <w:tr>
        <w:trPr>
          <w:cantSplit/>
          <w:tblHeader/>
        </w:trPr>
        <w:tc>
          <w:tcPr>
            <w:tcW w:type="dxa" w:w="122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副本</w:t>
            </w:r>
          </w:p>
        </w:tc>
        <w:tc>
          <w:tcPr>
            <w:tcW w:type="dxa" w:w="841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放置处的示例</w:t>
            </w:r>
          </w:p>
        </w:tc>
      </w:tr>
      <w:tr>
        <w:trPr>
          <w:cantSplit/>
          <w:tblHeader w:val="off"/>
        </w:trPr>
        <w:tc>
          <w:tcPr>
            <w:tcW w:type="dxa" w:w="122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第1个</w:t>
            </w:r>
          </w:p>
        </w:tc>
        <w:tc>
          <w:tcPr>
            <w:tcW w:type="dxa" w:w="841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此电脑上应用的记录（原件）</w:t>
            </w:r>
          </w:p>
        </w:tc>
      </w:tr>
      <w:tr>
        <w:trPr>
          <w:cantSplit/>
          <w:tblHeader w:val="off"/>
        </w:trPr>
        <w:tc>
          <w:tcPr>
            <w:tcW w:type="dxa" w:w="122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第2个</w:t>
            </w:r>
          </w:p>
        </w:tc>
        <w:tc>
          <w:tcPr>
            <w:tcW w:type="dxa" w:w="841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外部存储介质（USB存储介质、外置磁盘）上的备份文件</w:t>
            </w:r>
          </w:p>
        </w:tc>
      </w:tr>
      <w:tr>
        <w:trPr>
          <w:cantSplit/>
          <w:tblHeader w:val="off"/>
        </w:trPr>
        <w:tc>
          <w:tcPr>
            <w:tcW w:type="dxa" w:w="122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第3个</w:t>
            </w:r>
          </w:p>
        </w:tc>
        <w:tc>
          <w:tcPr>
            <w:tcW w:type="dxa" w:w="841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远离的地方：使用者的云端（备份已加密），或放在另外地方的存储介质</w:t>
            </w:r>
          </w:p>
        </w:tc>
      </w:tr>
    </w:tbl>
    <w:p>
      <w:pPr>
        <w:spacing w:after="100" w:before="0"/>
      </w:pP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备份文件每次以新的名称（名称中包含制作的日期时间）制作，不覆盖旧的备份。是否删除旧的备份由使用者决定。若放置处有3个以上同一个人根证书的备份，应用只显示可以删除最旧的一个的意旨（不删除使用者的文件）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6. 容量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6.1 终端容量的估计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3"/>
        <w:gridCol w:w="7135"/>
      </w:tblGrid>
      <w:tr>
        <w:trPr>
          <w:cantSplit/>
          <w:tblHeader/>
        </w:trPr>
        <w:tc>
          <w:tcPr>
            <w:tcW w:type="dxa" w:w="250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数据</w:t>
            </w:r>
          </w:p>
        </w:tc>
        <w:tc>
          <w:tcPr>
            <w:tcW w:type="dxa" w:w="713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估算（根据初始值的估算）</w:t>
            </w:r>
          </w:p>
        </w:tc>
      </w:tr>
      <w:tr>
        <w:trPr>
          <w:cantSplit/>
          <w:tblHeader w:val="off"/>
        </w:trPr>
        <w:tc>
          <w:tcPr>
            <w:tcW w:type="dxa" w:w="250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作品数据</w:t>
            </w:r>
          </w:p>
        </w:tc>
        <w:tc>
          <w:tcPr>
            <w:tcW w:type="dxa" w:w="713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每个作品2KB×每年5,000个作品＝10MB/年</w:t>
            </w:r>
          </w:p>
        </w:tc>
      </w:tr>
      <w:tr>
        <w:trPr>
          <w:cantSplit/>
          <w:tblHeader w:val="off"/>
        </w:trPr>
        <w:tc>
          <w:tcPr>
            <w:tcW w:type="dxa" w:w="250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证据</w:t>
            </w:r>
          </w:p>
        </w:tc>
        <w:tc>
          <w:tcPr>
            <w:tcW w:type="dxa" w:w="713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每件20MB×每年200件＝4GB/年</w:t>
            </w:r>
          </w:p>
        </w:tc>
      </w:tr>
      <w:tr>
        <w:trPr>
          <w:cantSplit/>
          <w:tblHeader w:val="off"/>
        </w:trPr>
        <w:tc>
          <w:tcPr>
            <w:tcW w:type="dxa" w:w="250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作业</w:t>
            </w:r>
          </w:p>
        </w:tc>
        <w:tc>
          <w:tcPr>
            <w:tcW w:type="dxa" w:w="713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每个作业数MB（仅照片的位置与调整）</w:t>
            </w:r>
          </w:p>
        </w:tc>
      </w:tr>
      <w:tr>
        <w:trPr>
          <w:cantSplit/>
          <w:tblHeader w:val="off"/>
        </w:trPr>
        <w:tc>
          <w:tcPr>
            <w:tcW w:type="dxa" w:w="250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模板、素材</w:t>
            </w:r>
          </w:p>
        </w:tc>
        <w:tc>
          <w:tcPr>
            <w:tcW w:type="dxa" w:w="713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数十MB</w:t>
            </w:r>
          </w:p>
        </w:tc>
      </w:tr>
      <w:tr>
        <w:trPr>
          <w:cantSplit/>
          <w:tblHeader w:val="off"/>
        </w:trPr>
        <w:tc>
          <w:tcPr>
            <w:tcW w:type="dxa" w:w="250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缩小图像（缓存）</w:t>
            </w:r>
          </w:p>
        </w:tc>
        <w:tc>
          <w:tcPr>
            <w:tcW w:type="dxa" w:w="713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每张约50KB×500张＝25MB/作业（删除后也可以重新生成）</w:t>
            </w:r>
          </w:p>
        </w:tc>
      </w:tr>
    </w:tbl>
    <w:p>
      <w:pPr>
        <w:spacing w:after="100" w:before="0"/>
      </w:pP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空闲低于1GB（初始值）时予以告知，指引把旧案件的证据做成备份文件之后再删除。删除前显示请求的期间（第1章 8.4“保留与删除”）。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缓存超过1GB（初始值）时，从旧作业的缩小图像开始删除。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6.2 中国大陆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获取（更新、参考信息）：从GitHub获取，失败时从香港镜像（DD-8-5“为中国大陆设置香港镜像”）获取。分发物与参考信息包以电子签名验证，因此能检测在镜像上的替换。更新的说明（JSON）没有电子签名，因此通过改写说明强加旧版本的行为，以说明的版本与更新电子签名的版本的对照（第9章 DD-9-2“更新通过Tauri的机制获取，并核对更新清单与电子签名中的版本”）防止。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首次获取：在README的中文节中，刊载指向镜像最新版分发物的直接链接与SHA-256（3.6、第9章 5“获取途径”）。README本身无法到达时无法获取（第13章 H-17“在中国大陆有时无法访问README”）。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记录的写入在终端中完成，因此不需要连接GitHub。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镜像的候选：阿里云OSS的香港地域（静态分发）。香港地域不需要ICP备案（阿里云的说明）。有说明称从中国大陆的延迟为30至50ms（同上）。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费用：由保管量与向外的传输量决定。［需估算］分发物的大小（第11章 4.3“素材”）×获取的次数。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［需实测］从中国大陆到镜像的可达性与速度。判定：能从镜像获取更新与参考信息。不满足时作为缺口声明（第13章）。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6.3 镜像费用的估算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费用由保管量与向外的传输量决定。香港地域向外的传输每月至5GB免费（阿里云OSS的说明）。单价表在阿里云的价格页面上，本文件的调查（2026-09-29）中未能获取该画面。［需估算］NRSD在签约前在价格页面上确认单价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估算的公式：每月向外的传输量 ＝ 分发物的大小（第9章 2.1“各操作系统的分发物”的预计。各操作系统200MB左右，Linux因同捆的组件而更大。设计的目标为300MB以下）×每月从镜像进行更新、新安装的使用者数 ＋ 参考信息（1MB以下）×获取的次数。保管量 ＝ 1个版本的分发物（Windows的安装程序、macOS的DMG与更新用的</w:t>
      </w:r>
      <w:r>
        <w:rPr>
          <w:rFonts w:ascii="Consolas" w:eastAsia="Microsoft YaHei" w:hAnsi="Consolas"/>
        </w:rPr>
        <w:t xml:space="preserve">.app.tar.gz</w:t>
      </w:r>
      <w:r>
        <w:rPr>
          <w:rFonts w:ascii="Microsoft YaHei" w:eastAsia="Microsoft YaHei" w:hAnsi="Microsoft YaHei"/>
        </w:rPr>
        <w:t xml:space="preserve">、Linux的AppImage共4个。各约200MB）×2个版本（约1.6至2GB）＋ Linux的AppImage中同捆的LGPL组件的源代码包（2个版本的份。［需估算］大小）＋参考信息。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例：镜像的使用者每月有200人更新时，传输约为50GB/月。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7. 对GitHub的依赖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"/>
        <w:gridCol w:w="8608"/>
      </w:tblGrid>
      <w:tr>
        <w:trPr>
          <w:cantSplit/>
          <w:tblHeader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事件</w:t>
            </w:r>
          </w:p>
        </w:tc>
        <w:tc>
          <w:tcPr>
            <w:tcW w:type="dxa" w:w="86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准备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GitHub的故障</w:t>
            </w:r>
          </w:p>
        </w:tc>
        <w:tc>
          <w:tcPr>
            <w:tcW w:type="dxa" w:w="86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更新与参考信息从镜像获取。记录在终端中，因此作业不会停止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账号、仓库的停止</w:t>
            </w:r>
          </w:p>
        </w:tc>
        <w:tc>
          <w:tcPr>
            <w:tcW w:type="dxa" w:w="86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把公开仓库迁移到镜像与其他git托管，通过应用的更新替换获取来源。应用持有多个更新的获取来源（第9章 DD-9-2“更新通过Tauri的机制获取，并核对更新清单与电子签名中的版本”）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条款</w:t>
            </w:r>
          </w:p>
        </w:tc>
        <w:tc>
          <w:tcPr>
            <w:tcW w:type="dxa" w:w="86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公开仓库中不放置个人信息、转载的信息（法务调查 L-18“GitHub的条款”）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发布的容量</w:t>
            </w:r>
          </w:p>
        </w:tc>
        <w:tc>
          <w:tcPr>
            <w:tcW w:type="dxa" w:w="86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发布的1个文件不足2GiB，1个发布的文件至1,000个。发布的合计大小与传输量没有上限（GitHub的说明“About releases”）。分发物大小的设计目标为300MB以下（第9章 2.1“各操作系统的分发物”）。第1章 4.2“与外部的交互”的500MB是获取的上限，超过此值的分发物不获取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账号的盗用</w:t>
            </w:r>
          </w:p>
        </w:tc>
        <w:tc>
          <w:tcPr>
            <w:tcW w:type="dxa" w:w="86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3.5的保护。即使被盗用，没有NRSD密钥的电子签名，更新与参考信息也不会被应用（3.2）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Microsoft YaHei" w:eastAsia="Microsoft YaHei" w:hAnsi="Microsoft YaHei"/>
        </w:rPr>
        <w:t xml:space="preserve">8. 失败的处理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83"/>
        <w:gridCol w:w="4485"/>
        <w:gridCol w:w="2670"/>
      </w:tblGrid>
      <w:tr>
        <w:trPr>
          <w:cantSplit/>
          <w:tblHeader/>
        </w:trPr>
        <w:tc>
          <w:tcPr>
            <w:tcW w:type="dxa" w:w="248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事件</w:t>
            </w:r>
          </w:p>
        </w:tc>
        <w:tc>
          <w:tcPr>
            <w:tcW w:type="dxa" w:w="448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通知方式</w:t>
            </w:r>
          </w:p>
        </w:tc>
        <w:tc>
          <w:tcPr>
            <w:tcW w:type="dxa" w:w="267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使用者要做的事</w:t>
            </w:r>
          </w:p>
        </w:tc>
      </w:tr>
      <w:tr>
        <w:trPr>
          <w:cantSplit/>
          <w:tblHeader w:val="off"/>
        </w:trPr>
        <w:tc>
          <w:tcPr>
            <w:tcW w:type="dxa" w:w="248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备份的口令不对</w:t>
            </w:r>
          </w:p>
        </w:tc>
        <w:tc>
          <w:tcPr>
            <w:tcW w:type="dxa" w:w="448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显示“口令不对，或文件已损坏”（age不区分二者）</w:t>
            </w:r>
          </w:p>
        </w:tc>
        <w:tc>
          <w:tcPr>
            <w:tcW w:type="dxa" w:w="267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确认口令</w:t>
            </w:r>
          </w:p>
        </w:tc>
      </w:tr>
      <w:tr>
        <w:trPr>
          <w:cantSplit/>
          <w:tblHeader w:val="off"/>
        </w:trPr>
        <w:tc>
          <w:tcPr>
            <w:tcW w:type="dxa" w:w="248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备份文件已损坏</w:t>
            </w:r>
          </w:p>
        </w:tc>
        <w:tc>
          <w:tcPr>
            <w:tcW w:type="dxa" w:w="448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同上。若在展开中途发现，撤销已导入的部分</w:t>
            </w:r>
          </w:p>
        </w:tc>
        <w:tc>
          <w:tcPr>
            <w:tcW w:type="dxa" w:w="267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使用其他备份</w:t>
            </w:r>
          </w:p>
        </w:tc>
      </w:tr>
      <w:tr>
        <w:trPr>
          <w:cantSplit/>
          <w:tblHeader w:val="off"/>
        </w:trPr>
        <w:tc>
          <w:tcPr>
            <w:tcW w:type="dxa" w:w="248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备份保存处的空闲不足</w:t>
            </w:r>
          </w:p>
        </w:tc>
        <w:tc>
          <w:tcPr>
            <w:tcW w:type="dxa" w:w="448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在制作前显示估算，不开始</w:t>
            </w:r>
          </w:p>
        </w:tc>
        <w:tc>
          <w:tcPr>
            <w:tcW w:type="dxa" w:w="267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选择其他保存处</w:t>
            </w:r>
          </w:p>
        </w:tc>
      </w:tr>
      <w:tr>
        <w:trPr>
          <w:cantSplit/>
          <w:tblHeader w:val="off"/>
        </w:trPr>
        <w:tc>
          <w:tcPr>
            <w:tcW w:type="dxa" w:w="248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记录电子签名不符</w:t>
            </w:r>
          </w:p>
        </w:tc>
        <w:tc>
          <w:tcPr>
            <w:tcW w:type="dxa" w:w="448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不使用该记录，显示一览</w:t>
            </w:r>
          </w:p>
        </w:tc>
        <w:tc>
          <w:tcPr>
            <w:tcW w:type="dxa" w:w="267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从备份恢复</w:t>
            </w:r>
          </w:p>
        </w:tc>
      </w:tr>
      <w:tr>
        <w:trPr>
          <w:cantSplit/>
          <w:tblHeader w:val="off"/>
        </w:trPr>
        <w:tc>
          <w:tcPr>
            <w:tcW w:type="dxa" w:w="248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终端的空闲不足</w:t>
            </w:r>
          </w:p>
        </w:tc>
        <w:tc>
          <w:tcPr>
            <w:tcW w:type="dxa" w:w="448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6.1的通知</w:t>
            </w:r>
          </w:p>
        </w:tc>
        <w:tc>
          <w:tcPr>
            <w:tcW w:type="dxa" w:w="267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把旧的证据做成备份之后删除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Microsoft YaHei" w:eastAsia="Microsoft YaHei" w:hAnsi="Microsoft YaHei"/>
        </w:rPr>
        <w:t xml:space="preserve">9. 与要求的对应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2"/>
        <w:gridCol w:w="5160"/>
        <w:gridCol w:w="2666"/>
      </w:tblGrid>
      <w:tr>
        <w:trPr>
          <w:cantSplit/>
          <w:tblHeader/>
        </w:trPr>
        <w:tc>
          <w:tcPr>
            <w:tcW w:type="dxa" w:w="181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要求的编号</w:t>
            </w:r>
          </w:p>
        </w:tc>
        <w:tc>
          <w:tcPr>
            <w:tcW w:type="dxa" w:w="51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要求的内容</w:t>
            </w:r>
          </w:p>
        </w:tc>
        <w:tc>
          <w:tcPr>
            <w:tcW w:type="dxa" w:w="266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本文件中承接的节</w:t>
            </w:r>
          </w:p>
        </w:tc>
      </w:tr>
      <w:tr>
        <w:trPr>
          <w:cantSplit/>
          <w:tblHeader w:val="off"/>
        </w:trPr>
        <w:tc>
          <w:tcPr>
            <w:tcW w:type="dxa" w:w="181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R-8-1-1</w:t>
            </w:r>
          </w:p>
        </w:tc>
        <w:tc>
          <w:tcPr>
            <w:tcW w:type="dxa" w:w="51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放置软件、公开页面、参考信息，不持有个人信息</w:t>
            </w:r>
          </w:p>
        </w:tc>
        <w:tc>
          <w:tcPr>
            <w:tcW w:type="dxa" w:w="266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3“公开仓库”</w:t>
            </w:r>
          </w:p>
        </w:tc>
      </w:tr>
      <w:tr>
        <w:trPr>
          <w:cantSplit/>
          <w:tblHeader w:val="off"/>
        </w:trPr>
        <w:tc>
          <w:tcPr>
            <w:tcW w:type="dxa" w:w="181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R-8-1-2</w:t>
            </w:r>
          </w:p>
        </w:tc>
        <w:tc>
          <w:tcPr>
            <w:tcW w:type="dxa" w:w="51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改造版的参考信息、更新能与官方的相区别</w:t>
            </w:r>
          </w:p>
        </w:tc>
        <w:tc>
          <w:tcPr>
            <w:tcW w:type="dxa" w:w="266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3.2“与改造版的区别”</w:t>
            </w:r>
          </w:p>
        </w:tc>
      </w:tr>
      <w:tr>
        <w:trPr>
          <w:cantSplit/>
          <w:tblHeader w:val="off"/>
        </w:trPr>
        <w:tc>
          <w:tcPr>
            <w:tcW w:type="dxa" w:w="181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R-8-2-1</w:t>
            </w:r>
          </w:p>
        </w:tc>
        <w:tc>
          <w:tcPr>
            <w:tcW w:type="dxa" w:w="51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权利人信息、台账、证据、作品数据的配置已确定</w:t>
            </w:r>
          </w:p>
        </w:tc>
        <w:tc>
          <w:tcPr>
            <w:tcW w:type="dxa" w:w="266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2.1“配置”</w:t>
            </w:r>
          </w:p>
        </w:tc>
      </w:tr>
      <w:tr>
        <w:trPr>
          <w:cantSplit/>
          <w:tblHeader w:val="off"/>
        </w:trPr>
        <w:tc>
          <w:tcPr>
            <w:tcW w:type="dxa" w:w="181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R-8-2-2</w:t>
            </w:r>
          </w:p>
        </w:tc>
        <w:tc>
          <w:tcPr>
            <w:tcW w:type="dxa" w:w="51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保证不离开终端（使用者导出的情况除外）</w:t>
            </w:r>
          </w:p>
        </w:tc>
        <w:tc>
          <w:tcPr>
            <w:tcW w:type="dxa" w:w="266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2.2“不离开终端”</w:t>
            </w:r>
          </w:p>
        </w:tc>
      </w:tr>
      <w:tr>
        <w:trPr>
          <w:cantSplit/>
          <w:tblHeader w:val="off"/>
        </w:trPr>
        <w:tc>
          <w:tcPr>
            <w:tcW w:type="dxa" w:w="181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R-8-4-1</w:t>
            </w:r>
          </w:p>
        </w:tc>
        <w:tc>
          <w:tcPr>
            <w:tcW w:type="dxa" w:w="51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能检测篡改，留下履历，能从导出中恢复</w:t>
            </w:r>
          </w:p>
        </w:tc>
        <w:tc>
          <w:tcPr>
            <w:tcW w:type="dxa" w:w="266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4“完整性”、5“备份文件”</w:t>
            </w:r>
          </w:p>
        </w:tc>
      </w:tr>
      <w:tr>
        <w:trPr>
          <w:cantSplit/>
          <w:tblHeader w:val="off"/>
        </w:trPr>
        <w:tc>
          <w:tcPr>
            <w:tcW w:type="dxa" w:w="181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R-8-5-1</w:t>
            </w:r>
          </w:p>
        </w:tc>
        <w:tc>
          <w:tcPr>
            <w:tcW w:type="dxa" w:w="51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已显示终端容量的估计</w:t>
            </w:r>
          </w:p>
        </w:tc>
        <w:tc>
          <w:tcPr>
            <w:tcW w:type="dxa" w:w="266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6.1“终端容量的估计”</w:t>
            </w:r>
          </w:p>
        </w:tc>
      </w:tr>
      <w:tr>
        <w:trPr>
          <w:cantSplit/>
          <w:tblHeader w:val="off"/>
        </w:trPr>
        <w:tc>
          <w:tcPr>
            <w:tcW w:type="dxa" w:w="181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R-8-5-2</w:t>
            </w:r>
          </w:p>
        </w:tc>
        <w:tc>
          <w:tcPr>
            <w:tcW w:type="dxa" w:w="51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从中国大陆也能获取公开仓库的分发物、参考信息</w:t>
            </w:r>
          </w:p>
        </w:tc>
        <w:tc>
          <w:tcPr>
            <w:tcW w:type="dxa" w:w="266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6.2“中国大陆”</w:t>
            </w:r>
          </w:p>
        </w:tc>
      </w:tr>
      <w:tr>
        <w:trPr>
          <w:cantSplit/>
          <w:tblHeader w:val="off"/>
        </w:trPr>
        <w:tc>
          <w:tcPr>
            <w:tcW w:type="dxa" w:w="181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R-8-7-1</w:t>
            </w:r>
          </w:p>
        </w:tc>
        <w:tc>
          <w:tcPr>
            <w:tcW w:type="dxa" w:w="51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对GitHub无法使用时有所准备</w:t>
            </w:r>
          </w:p>
        </w:tc>
        <w:tc>
          <w:tcPr>
            <w:tcW w:type="dxa" w:w="266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7“对GitHub的依赖”</w:t>
            </w:r>
          </w:p>
        </w:tc>
      </w:tr>
    </w:tbl>
    <w:p>
      <w:pPr>
        <w:spacing w:after="100" w:before="0"/>
      </w:pP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关于向私有仓库写入与接纳使用者的要求4项（概要设计书旧的8-3与8-6），在设计计划书第2版中已删除。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10. 本章声明的缺口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未制作备份文件的使用者丢失终端时，会失去记录、证据、签名密钥。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备份文件的口令较弱时，盗取文件者可能读取签名密钥与记录（第1章 T-5“盗取并读取备份文件”）。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未启用操作系统全盘加密的终端被盗时，应用数据位置中的记录（证据、案件记录、权利人信息）可能被读取（DD-8-7“记录的加密交给操作系统的全盘加密”。签名密钥在操作系统的密钥存储中，不在此限）。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参考信息的分发被停止（冻结）时，应用继续使用手头最后的信息包。可以通过期限的通知（3.4）察觉，但新的窗口不会送达。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忘记口令时，无法从备份文件恢复。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在2台上并行使用时，合并是经由备份文件的手工作业，没有自动的同步。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CI、GitHub的组织被盗用时，公开仓库的发布、README、公开页面可能被改写，可能被放置附有正确代码签名的伪造分发物（第13章 H-44“CI或GitHub组织被劫持时，可能有经正确代码签名的伪造分发物被放入正式发布”）。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GitHub组织的所有者为1人期间，若该人失去全部验证与恢复手段，将无法恢复组织（第13章 H-45“GitHub组织的所有者只有一人期间，若其失去全部认证手段与恢复手段，组织将无法恢复”）。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11. 对其他章、概要设计书的订正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第2章 12“对其他章、概要设计书的订正”与第11章 4.1“Rust的组件”：把备份的加密改为age（DD-8-3“更换终端与故障的准备通过备份文件（age格式）进行”）。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概要设计书第8章：R-8-1-1“放置软件、公开页面、参考信息，不持有个人信息”至R-8-7-1“对GitHub无法使用时有所准备”的正文不变。</w:t>
      </w:r>
    </w:p>
    <w:sectPr>
      <w:headerReference w:type="default" r:id="rId6"/>
      <w:footerReference w:type="default" r:id="rId7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808080"/>
        <w:sz w:val="16"/>
        <w:szCs w:val="16"/>
      </w:rPr>
      <w:t xml:space="preserve">Cosplay照片防盗图工具 基本设计书 第8章 仓库与数据管理　第1版（草案）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300"/>
      </w:pPr>
    </w:lvl>
    <w:lvl w:ilvl="1" w:tentative="1">
      <w:start w:val="1"/>
      <w:numFmt w:val="bullet"/>
      <w:lvlText w:val="◦"/>
      <w:lvlJc w:val="left"/>
      <w:pPr>
        <w:ind w:left="780" w:hanging="300"/>
      </w:pPr>
    </w:lvl>
    <w:lvl w:ilvl="2" w:tentative="1">
      <w:start w:val="1"/>
      <w:numFmt w:val="bullet"/>
      <w:lvlText w:val="▪"/>
      <w:lvlJc w:val="left"/>
      <w:pPr>
        <w:ind w:left="11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eastAsia="Microsoft YaHei" w:hAnsi="Microsoft YaHei"/>
        <w:sz w:val="21"/>
        <w:szCs w:val="21"/>
        <w:lang w:val="zh-CN" w:eastAsia="zh-CN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Microsoft YaHei" w:cs="Microsoft YaHei" w:eastAsia="Microsoft YaHei" w:hAnsi="Microsoft YaHei"/>
      <w:b/>
      <w:bCs/>
      <w:color w:val="345A8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Microsoft YaHei" w:cs="Microsoft YaHei" w:eastAsia="Microsoft YaHei" w:hAnsi="Microsoft YaHei"/>
      <w:b/>
      <w:bCs/>
      <w:color w:val="4F81B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Microsoft YaHei" w:cs="Microsoft YaHei" w:eastAsia="Microsoft YaHei" w:hAnsi="Microsoft YaHei"/>
      <w:b/>
      <w:bCs/>
      <w:color w:val="4F81B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基本设计书 第8章 仓库与数据管理</dc:title>
  <dc:creator>石川宗</dc:creator>
  <cp:lastModifiedBy>Un-named</cp:lastModifiedBy>
  <cp:revision>1</cp:revision>
  <dcterms:created xsi:type="dcterms:W3CDTF">2026-09-29T23:30:44.173Z</dcterms:created>
  <dcterms:modified xsi:type="dcterms:W3CDTF">2026-09-29T23:30:44.173Z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