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基本设计书 第13章 设计的验证</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w:t>
      </w:r>
    </w:p>
    <w:p>
      <w:pPr>
        <w:spacing w:after="40" w:before="40"/>
        <w:ind w:left="240"/>
      </w:pPr>
      <w:r>
        <w:rPr>
          <w:rFonts w:ascii="Microsoft YaHei" w:cs="Microsoft YaHei" w:eastAsia="Microsoft YaHei" w:hAnsi="Microsoft YaHei"/>
          <w:sz w:val="22"/>
          <w:szCs w:val="22"/>
        </w:rPr>
        <w:t xml:space="preserve">1. 完备性（13-1）</w:t>
      </w:r>
    </w:p>
    <w:p>
      <w:pPr>
        <w:spacing w:after="40" w:before="40"/>
        <w:ind w:left="240"/>
      </w:pPr>
      <w:r>
        <w:rPr>
          <w:rFonts w:ascii="Microsoft YaHei" w:cs="Microsoft YaHei" w:eastAsia="Microsoft YaHei" w:hAnsi="Microsoft YaHei"/>
          <w:sz w:val="22"/>
          <w:szCs w:val="22"/>
        </w:rPr>
        <w:t xml:space="preserve">2. 目的的达成（13-2）</w:t>
      </w:r>
    </w:p>
    <w:p>
      <w:pPr>
        <w:spacing w:after="40" w:before="40"/>
        <w:ind w:left="240"/>
      </w:pPr>
      <w:r>
        <w:rPr>
          <w:rFonts w:ascii="Microsoft YaHei" w:cs="Microsoft YaHei" w:eastAsia="Microsoft YaHei" w:hAnsi="Microsoft YaHei"/>
          <w:sz w:val="22"/>
          <w:szCs w:val="22"/>
        </w:rPr>
        <w:t xml:space="preserve">3. 一致（13-3）</w:t>
      </w:r>
    </w:p>
    <w:p>
      <w:pPr>
        <w:spacing w:after="40" w:before="40"/>
        <w:ind w:left="240"/>
      </w:pPr>
      <w:r>
        <w:rPr>
          <w:rFonts w:ascii="Microsoft YaHei" w:cs="Microsoft YaHei" w:eastAsia="Microsoft YaHei" w:hAnsi="Microsoft YaHei"/>
          <w:sz w:val="22"/>
          <w:szCs w:val="22"/>
        </w:rPr>
        <w:t xml:space="preserve">4. 缺口的声明（13-4）</w:t>
      </w:r>
    </w:p>
    <w:p>
      <w:pPr>
        <w:spacing w:after="40" w:before="40"/>
        <w:ind w:left="240"/>
      </w:pPr>
      <w:r>
        <w:rPr>
          <w:rFonts w:ascii="Microsoft YaHei" w:cs="Microsoft YaHei" w:eastAsia="Microsoft YaHei" w:hAnsi="Microsoft YaHei"/>
          <w:sz w:val="22"/>
          <w:szCs w:val="22"/>
        </w:rPr>
        <w:t xml:space="preserve">5. 实测与确认的一览</w:t>
      </w:r>
    </w:p>
    <w:p>
      <w:pPr>
        <w:spacing w:after="40" w:before="40"/>
        <w:ind w:left="240"/>
      </w:pPr>
      <w:r>
        <w:rPr>
          <w:rFonts w:ascii="Microsoft YaHei" w:cs="Microsoft YaHei" w:eastAsia="Microsoft YaHei" w:hAnsi="Microsoft YaHei"/>
          <w:sz w:val="22"/>
          <w:szCs w:val="22"/>
        </w:rPr>
        <w:t xml:space="preserve">6. 由NRSD确认并决定的事项【NRSD确认】</w:t>
      </w:r>
    </w:p>
    <w:p>
      <w:pPr>
        <w:spacing w:after="40" w:before="40"/>
        <w:ind w:left="240"/>
      </w:pPr>
      <w:r>
        <w:rPr>
          <w:rFonts w:ascii="Microsoft YaHei" w:cs="Microsoft YaHei" w:eastAsia="Microsoft YaHei" w:hAnsi="Microsoft YaHei"/>
          <w:sz w:val="22"/>
          <w:szCs w:val="22"/>
        </w:rPr>
        <w:t xml:space="preserve">7. 对概要设计书的订正</w:t>
      </w:r>
    </w:p>
    <w:p>
      <w:r>
        <w:br w:type="page"/>
      </w:r>
    </w:p>
    <w:p>
      <w:pPr>
        <w:pStyle w:val="Heading1"/>
      </w:pPr>
      <w:r>
        <w:rPr>
          <w:rFonts w:ascii="Microsoft YaHei" w:eastAsia="Microsoft YaHei" w:hAnsi="Microsoft YaHei"/>
        </w:rPr>
        <w:t xml:space="preserve">本文件的定位</w:t>
      </w:r>
    </w:p>
    <w:p>
      <w:pPr>
        <w:pStyle w:val="ListParagraph"/>
        <w:keepNext/>
        <w:keepLines/>
        <w:numPr>
          <w:ilvl w:val="0"/>
          <w:numId w:val="2"/>
        </w:numPr>
        <w:spacing w:after="20" w:before="20" w:line="300"/>
      </w:pPr>
      <w:r>
        <w:rPr>
          <w:rFonts w:ascii="Microsoft YaHei" w:eastAsia="Microsoft YaHei" w:hAnsi="Microsoft YaHei"/>
        </w:rPr>
        <w:t xml:space="preserve">以基本设计的第1至12章为对象，进行概要设计书第13章（13-1至13-4）的验证。论证以此设计能够达成目的（保护使用者照片的权利、威慑），并声明已知的缺口。</w:t>
      </w:r>
    </w:p>
    <w:p>
      <w:pPr>
        <w:pStyle w:val="ListParagraph"/>
        <w:keepNext w:val="false"/>
        <w:keepLines/>
        <w:numPr>
          <w:ilvl w:val="0"/>
          <w:numId w:val="2"/>
        </w:numPr>
        <w:spacing w:after="20" w:before="20" w:line="300"/>
      </w:pPr>
      <w:r>
        <w:rPr>
          <w:rFonts w:ascii="Microsoft YaHei" w:eastAsia="Microsoft YaHei" w:hAnsi="Microsoft YaHei"/>
        </w:rPr>
        <w:t xml:space="preserve">承接的决定如下表（设计计划书第2版的决定、待调查、未决，以及项目划分中发现的遗漏）。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6"/>
        <w:gridCol w:w="1425"/>
        <w:gridCol w:w="7287"/>
      </w:tblGrid>
      <w:tr>
        <w:trPr>
          <w:cantSplit/>
          <w:tblHeader/>
        </w:trPr>
        <w:tc>
          <w:tcPr>
            <w:tcW w:type="dxa" w:w="9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14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72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D-2-3</w:t>
            </w:r>
          </w:p>
        </w:tc>
        <w:tc>
          <w:tcPr>
            <w:tcW w:type="dxa" w:w="14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72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本系统的最大价值为威慑（没有对应的要求。这是本系统的目的，在2.2“对威慑的作用方式”中论证各章的作用方式）</w:t>
            </w:r>
          </w:p>
        </w:tc>
      </w:tr>
      <w:tr>
        <w:trPr>
          <w:cantSplit/>
          <w:tblHeader w:val="off"/>
        </w:trPr>
        <w:tc>
          <w:tcPr>
            <w:tcW w:type="dxa" w:w="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A-10</w:t>
            </w:r>
          </w:p>
        </w:tc>
        <w:tc>
          <w:tcPr>
            <w:tcW w:type="dxa" w:w="14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72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从设计计划书的决定到设计的对应表</w:t>
            </w:r>
          </w:p>
        </w:tc>
      </w:tr>
      <w:tr>
        <w:trPr>
          <w:cantSplit/>
          <w:tblHeader w:val="off"/>
        </w:trPr>
        <w:tc>
          <w:tcPr>
            <w:tcW w:type="dxa" w:w="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全章</w:t>
            </w:r>
          </w:p>
        </w:tc>
        <w:tc>
          <w:tcPr>
            <w:tcW w:type="dxa" w:w="14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72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本文件以全部各章的设计为验证的对象</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验证的方法：编号的对应（要求、决定、去向表），从文件中机械地抽出编号进行对照。场景、威胁、缺口，沿各章的正文进行确认。</w:t>
      </w:r>
    </w:p>
    <w:p>
      <w:pPr>
        <w:pStyle w:val="ListParagraph"/>
        <w:keepNext/>
        <w:keepLines/>
        <w:numPr>
          <w:ilvl w:val="0"/>
          <w:numId w:val="2"/>
        </w:numPr>
        <w:spacing w:after="20" w:before="20" w:line="300"/>
      </w:pPr>
      <w:r>
        <w:rPr>
          <w:rFonts w:ascii="Microsoft YaHei" w:eastAsia="Microsoft YaHei" w:hAnsi="Microsoft YaHei"/>
        </w:rPr>
        <w:t xml:space="preserve">已承接设计计划书第2版（2026-09-29）的修订：本系统不收集使用者的信息，在客户端应用中完成。C2PA签名的证书在终端上制作，不需要认证机构。冒充权利人者无法排除，显示比对的线索。不设私有仓库。</w:t>
      </w:r>
    </w:p>
    <w:p>
      <w:pPr>
        <w:pStyle w:val="ListParagraph"/>
        <w:keepNext w:val="false"/>
        <w:keepLines/>
        <w:numPr>
          <w:ilvl w:val="0"/>
          <w:numId w:val="2"/>
        </w:numPr>
        <w:spacing w:after="20" w:before="20" w:line="300"/>
      </w:pPr>
      <w:r>
        <w:rPr>
          <w:rFonts w:ascii="Microsoft YaHei" w:eastAsia="Microsoft YaHei" w:hAnsi="Microsoft YaHei"/>
        </w:rPr>
        <w:t xml:space="preserve">记法：“【NRSD确认】”表示由NRSD确认并决定的事项（一览见6）。</w:t>
      </w:r>
    </w:p>
    <w:p>
      <w:pPr>
        <w:pStyle w:val="Heading1"/>
      </w:pPr>
      <w:r>
        <w:rPr>
          <w:rFonts w:ascii="Microsoft YaHei" w:eastAsia="Microsoft YaHei" w:hAnsi="Microsoft YaHei"/>
        </w:rPr>
        <w:t xml:space="preserve">1. 完备性（13-1）</w:t>
      </w:r>
    </w:p>
    <w:p>
      <w:pPr>
        <w:pStyle w:val="Heading2"/>
      </w:pPr>
      <w:r>
        <w:rPr>
          <w:rFonts w:ascii="Microsoft YaHei" w:eastAsia="Microsoft YaHei" w:hAnsi="Microsoft YaHei"/>
        </w:rPr>
        <w:t xml:space="preserve">1.1 从要求到基本设计的节的对应</w:t>
      </w:r>
    </w:p>
    <w:p>
      <w:pPr>
        <w:pStyle w:val="ListParagraph"/>
        <w:keepNext/>
        <w:keepLines/>
        <w:numPr>
          <w:ilvl w:val="0"/>
          <w:numId w:val="2"/>
        </w:numPr>
        <w:spacing w:after="20" w:before="20" w:line="300"/>
      </w:pPr>
      <w:r>
        <w:rPr>
          <w:rFonts w:ascii="Microsoft YaHei" w:eastAsia="Microsoft YaHei" w:hAnsi="Microsoft YaHei"/>
        </w:rPr>
        <w:t xml:space="preserve">概要设计书的要求150项（在第2版中，删除了关于私有仓库与接纳使用者的要求4项）全部出现在某一章“与要求的对应”的表中（缺少0项，不存在的编号0项）。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0"/>
        <w:gridCol w:w="2520"/>
        <w:gridCol w:w="4538"/>
      </w:tblGrid>
      <w:tr>
        <w:trPr>
          <w:cantSplit/>
          <w:tblHeader/>
        </w:trPr>
        <w:tc>
          <w:tcPr>
            <w:tcW w:type="dxa" w:w="25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c>
          <w:tcPr>
            <w:tcW w:type="dxa" w:w="2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要求的数量</w:t>
            </w:r>
          </w:p>
        </w:tc>
        <w:tc>
          <w:tcPr>
            <w:tcW w:type="dxa" w:w="45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设计决定（DD）的数量</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 整体结构</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25</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11</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 签名信息与比对</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17</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11</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 签名处理</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22</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 图片编辑与批量套用</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14</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14</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 权利文书</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10</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 登记与证据保全</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14</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 法律应对指引</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10</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 仓库与数据管理</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10</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9 分发与更新</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9</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10 界面与设计</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12</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11 开发基础</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15</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12 与法务的接点</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10</w:t>
            </w:r>
          </w:p>
        </w:tc>
      </w:tr>
      <w:tr>
        <w:trPr>
          <w:cantSplit/>
          <w:tblHeader w:val="off"/>
        </w:trPr>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合计</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150</w:t>
            </w:r>
          </w:p>
        </w:tc>
        <w:tc>
          <w:tcPr>
            <w:tcW w:type="dxa" w:w="4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116</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第2章至第9章的要求104项（其中伴随使用者操作的91项）与界面的对应，依据第10章 4“要求与界面的对应”的表（91项有界面，13项为内部的处理、NRSD的作业、README）。</w:t>
      </w:r>
    </w:p>
    <w:p>
      <w:pPr>
        <w:pStyle w:val="Heading2"/>
      </w:pPr>
      <w:r>
        <w:rPr>
          <w:rFonts w:ascii="Microsoft YaHei" w:eastAsia="Microsoft YaHei" w:hAnsi="Microsoft YaHei"/>
        </w:rPr>
        <w:t xml:space="preserve">1.2 从设计计划书的决定到概要设计书、基本设计的对应</w:t>
      </w:r>
    </w:p>
    <w:p>
      <w:pPr>
        <w:pStyle w:val="ListParagraph"/>
        <w:keepNext/>
        <w:keepLines/>
        <w:numPr>
          <w:ilvl w:val="0"/>
          <w:numId w:val="2"/>
        </w:numPr>
        <w:spacing w:after="20" w:before="20" w:line="300"/>
      </w:pPr>
      <w:r>
        <w:rPr>
          <w:rFonts w:ascii="Microsoft YaHei" w:eastAsia="Microsoft YaHei" w:hAnsi="Microsoft YaHei"/>
        </w:rPr>
        <w:t xml:space="preserve">对设计计划书第2版的决定63项（第2版中追加了D-5-5“本系统提供比对的手段，但不代为进行比对”、D-7-7“识别编号由客户端应用发放，并自动记录在C2PA清单中。是否附加在文件名之后，由使用者在保存时选择”、D-13-3“用于通知著作者的联系方式的登记，在第二阶段的设计计划中处理”），在下表中显示承接的要求（概要设计书）与承接的节（基本设计）（概要设计书 R-1-9-2“有从设计计划书的决定编号到本文件要求编号的对应表”、项目划分的遗漏A-10“从设计计划书的决定到设计的对应表”）。63项全部有承接的节。有承接要求的为61项，不是要求的目的（D-2-3“本系统的最大价值为威慑”）与范围的界线（D-6-2“本系统不作为网站构建”）2项，在第13章的2.2、3.4中处理。</w:t>
      </w:r>
    </w:p>
    <w:p>
      <w:pPr>
        <w:pStyle w:val="ListParagraph"/>
        <w:keepNext w:val="false"/>
        <w:keepLines/>
        <w:numPr>
          <w:ilvl w:val="0"/>
          <w:numId w:val="2"/>
        </w:numPr>
        <w:spacing w:after="20" w:before="20" w:line="300"/>
      </w:pPr>
      <w:r>
        <w:rPr>
          <w:rFonts w:ascii="Microsoft YaHei" w:eastAsia="Microsoft YaHei" w:hAnsi="Microsoft YaHei"/>
        </w:rPr>
        <w:t xml:space="preserve">前提的决定（D-3-4“以交付、可见签名及与摄影师的权利关系由Coser本人掌握为前提构建”、D-3-5“不进行访谈，根据可以使用后的指正加以改进”），在概要设计书的“前提”中承接，崩溃时的处理在4.2中显示。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0"/>
        <w:gridCol w:w="2700"/>
        <w:gridCol w:w="3759"/>
        <w:gridCol w:w="2249"/>
      </w:tblGrid>
      <w:tr>
        <w:trPr>
          <w:cantSplit/>
          <w:tblHeader/>
        </w:trPr>
        <w:tc>
          <w:tcPr>
            <w:tcW w:type="dxa" w:w="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决定</w:t>
            </w:r>
          </w:p>
        </w:tc>
        <w:tc>
          <w:tcPr>
            <w:tcW w:type="dxa" w:w="27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决定的内容</w:t>
            </w:r>
          </w:p>
        </w:tc>
        <w:tc>
          <w:tcPr>
            <w:tcW w:type="dxa" w:w="37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承接的要求</w:t>
            </w:r>
          </w:p>
        </w:tc>
        <w:tc>
          <w:tcPr>
            <w:tcW w:type="dxa" w:w="22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承接的节（基本设计）</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D-2-1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本系统所保护的，是权利人对其自身照片所享有的权利（著作权及肖像权）</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R-1-1-2“明示第二阶段、销售管理、原作的权利、使用者信息的收集在边界之外”</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4.1“构成要素”、第1章 2.1“目的”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D-2-2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本系统的范围为许可的适用</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R-1-1-2“明示第二阶段、销售管理、原作的权利、使用者信息的收集在边界之外”</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4.1“构成要素”、第4章 2“可见签名的范围”</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D-2-3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本系统的最大价值为威慑</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没有对应的要求（这是本系统的目的，在第13章 2.2“对威慑的作用方式”中论证）</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2.1“目的”、第13章 2.2“对威慑的作用方式”</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D-2-4</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自动检测作为另一份设计计划</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R-1-1-2“明示第二阶段、销售管理、原作的权利、使用者信息的收集在边界之外”、R-6-1-4“留有接受第二阶段登记的余地”</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4.1“构成要素”、第6章 2.6“来自第二阶段的受理口”</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D-2-5</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不处理销售管理。需要者应Fork并加以改造，其结果NRSD概不过问</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R-1-1-2“明示第二阶段、销售管理、原作的权利、使用者信息的收集在边界之外”</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4.1“构成要素”、第11章 9“NRSD的许可（O-09“NRSD的许可证类型”的决定）”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D-2-6</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不进行法律程序的代理及法律判断</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R-1-1-2“明示第二阶段、销售管理、原作的权利、使用者信息的收集在边界之外”、R-7-6-1“明示不是法律建议，并明示信息的出处”</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3“约束”、第7章 7“界线”</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D-3-1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使用者为图片的权利人（Coser及摄影师），以及经其中任一方授权者</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R-2-4-2“能进行授权的授予、范围、期限、撤销”、R-2-4-3“摄影者与Cosplayer能处理同一张照片”</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5“授权与共同权利”、第7章 3.4“申请人的立场”</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D-3-2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浏览者及运营者不在本系统中定义</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R-1-1-1“各构成要素持有什么、不持有什么是唯一确定的”</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2.2“利害关系者”、第1章 4.1“构成要素”</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D-3-3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使用者须能够在不查看GitHub的情况下使用本系统</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R-9-4-1“能从README毫不迷惑地获取。从中国大陆也能获取”、R-10-7-1“不看GitHub也能传达问题（接收方为运营者功能。1-10）”</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5“获取途径”、第10章 9“意见受理渠道”</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D-3-4</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以交付、可见签名及与摄影师的权利关系由Coser本人掌握为前提构建</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R-2-4-3“摄影者与Cosplayer能处理同一张照片”</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5.2“共同权利（摄影者与Cosplayer）”、第13章 4.2“前提（概要设计书“前提”）崩溃时”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D-3-5</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不进行访谈，根据可以使用后的指正加以改进</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R-10-7-1“不看GitHub也能传达问题（接收方为运营者功能。1-10）”、R-1-10-1“NRSD能进行发布、参考信息的维护、意见的受理”</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2.4“判定”、第13章 4.2“前提（概要设计书“前提”）崩溃时”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D-3-6</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以无法排除冒充权利人者为前提，在第5章中规定比对的处理方式</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R-2-3-1“发生抢先签名、替换签名、反向申诉时，能把比对线索并列显示（不作判定）”</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4.4“冒充权利人者出现时的线索”</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D-5-1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本系统不确认使用者，不收集使用者的信息。使用本系统不要求登记</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R-1-1-2“明示第二阶段、销售管理、原作的权利、使用者信息的收集在边界之外”、R-8-2-2“保证不离开终端（使用者导出时除外）”</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3“约束”、第2章 2“C2PA签名所需信息的输入”、第8章 2.2“不离开终端”</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D-5-2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C2PA签名的证书，根据使用者输入的信息在客户端应用内生成。不需要认证机构</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R-2-1-1“能从图片的C2PA签名确认签名者（放入证书的信息）”、R-2-1-2“对证书的期限、更新以及输入错误有所准备”</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3“证书”</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D-5-3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冒充权利人者的行为（抢先签名、替换签名及反向申请）视为无法防止，提示比对的线索。不作判定</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R-2-3-1“发生抢先签名、替换签名、反向申诉时，能把比对线索并列显示（不作判定）”、R-2-3-3“能根据线索知道真正的权利人可采取的手段（第7章）”</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4.4“冒充权利人者出现时的线索”、第7章 3.2.1“错误、虚假申诉的责任”</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D-5-4</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将本人性与权利性区分处理</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R-2-1-1“能从图片的C2PA签名确认签名者（放入证书的信息）”、R-2-2-1“有让任何人都能通过与声明所在账号的比对来确认签名者与该照片权利人之间关联的手段”</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4“比对的手段与线索”</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D-5-5</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本系统提供比对的手段，但不代为进行比对</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R-2-2-1“有让任何人都能通过与声明所在账号的比对来确认签名者与该照片权利人之间关联的手段”、R-2-3-1“发生抢先签名、替换签名、反向申诉时，能把比对线索并列显示（不作判定）”</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4.1“与声明所在账号的比对”、第2章 4.4“冒充权利人者出现时的线索”</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D-6-1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客户端应用为在Windows、macOS及Linux上运行的桌面应用</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R-9-1-1“非技术人员能在3种操作系统上安装”、R-11-1-1“满足设计计划书6.2的条件”</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2.1“各操作系统的分发物”、第11章 3.1“支持的操作系统下限”</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D-6-2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本系统不作为网站构建</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没有对应的要求（是范围的界线，在第13章 3.4“范围的界线”中确认未越过）</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3“约束”、第1章 4.1“构成要素”</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D-6-3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开发基础在本文件中不固定为特定的库。不继承企划草案第6节中有关c2pa-python的记载</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R-11-1-1“满足设计计划书6.2的条件”</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 1“设计决定的一览”、第11章 2“选定的依据（设计计划书6.2的条件）”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D-6-4</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开发基础由设计书从满足第6.2节条件者中选定</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R-11-1-1“满足设计计划书6.2的条件”</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 2“选定的依据（设计计划书6.2的条件）”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D-7-1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对输出的所有图片附加C2PA签名</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R-3-2-1“记录的项目与不记录的项目（个人信息）已确定”、R-3-7-1“以不破坏签名的处理顺序运行”</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3“C2PA清单”、第3章 8.1“顺序”</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D-7-2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继承企划草案第4节的三个层级（C2PA签名、隐形水印、比对用哈希）</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R-3-2-1“记录的项目与不记录的项目（个人信息）已确定”、R-3-4-1“嵌入的信息与强度已确定”、R-3-5-1“计算的对象与记录位置已确定”</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3“C2PA清单”、第3章 5“隐形水印”、第3章 6“比对用哈希”</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D-7-3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设置①交付用及②社交平台用两条流程</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R-3-7-2“交付用与社交平台用的差别已确定”</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8.2“系统的差异”</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D-7-4</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对交付用图片附加比对数据，并附上随附文件</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R-3-7-2“交付用与社交平台用的差别已确定”、R-5-2-1“包含设计计划书9.2的事项”</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8.2“系统的差异”、第5章 3“随附文件”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D-7-5</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对社交平台用图片加入权利人选择的设计的可见签名</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R-4-1-1“能放置名称、账号名、日期、叠加图片、许可标注”、R-4-6-1“能以面向社交平台的尺寸、压缩、色彩空间输出”</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2“可见签名的范围”、第4章 14“导出”</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D-7-6</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签名的缺失，按可以断定为接收方故意去除处理</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R-3-9-3“掌握发布网站与云中C2PA签名是否留存，不留存时的处理已确定（根据NRSD的决定，云也列为调查对象）”</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10.3“在发布网站、云端的保留”、第3章 13“本章声明的缺口”</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D-7-7</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识别编号由客户端应用发放，并自动记录在C2PA清单中。是否附加在文件名之后，由使用者在保存时选择</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R-3-6-1“编号唯一地发放，并能写入文件名、配文”</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7.1“识别编号”、第1章 8.2“标识符的体系”</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D-8-1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客户端应用应具有良好的外观。外观作为与本系统效力直接相关的要求处理</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R-10-1-1“外观的方针（可爱、角色）已确定，判定者已确定”</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2“设计”</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D-8-2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具备图片编辑界面、批量套用及权利文书制作界面。其他界面的构成由设计书决定</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R-10-2-1“全章（第2章至第9章）的要求中使用者的操作，存在于某个界面上”</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3.1“界面的一览”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D-8-3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将在编辑界面中制作的设计作为模板，既能逐张套用，也能按文件夹套用</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R-4-2-1“能保存设计并反复使用。能在多台终端上使用”、R-4-5-1“能对文件夹批量套用，并按照片修改”</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8“模板”、第4章 12“批量套用”</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D-8-4</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即使在批量套用中，也能按每张照片调整位置、方向及颜色</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R-4-5-1“能对文件夹批量套用，并按照片修改”、R-4-1-2“能改变方向（竖排、旋转）与颜色”</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12.3“一并调整”、第4章 4.3“组的操作”</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D-8-5</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界面的详细内容由设计书决定</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R-10-2-1“全章（第2章至第9章）的要求中使用者的操作，存在于某个界面上”</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3.5“各界面的规格”</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D-9-1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权利人在销售时选择授予多大范围的权利</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R-5-1-1“非技术人员能理解其含义并作选择（判定标准在基本设计中规定）”</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2.1“选项（O-04“许可范围的选项”的决定）”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D-9-2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以销售时选择的许可范围，作为判断转载抵触了什么的基准</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R-5-1-2“为哪张图片选择了哪个许可范围会留下记录”、R-6-4-1“能显示一致度，以及抵触了什么”</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2.3“与图片的关联”、第6章 4.2“违反了什么”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D-9-3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对交付用图片附上载明第9.2节所定事项的随附文件</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R-5-2-1“包含设计计划书9.2的事项”</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3“随附文件”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D-9-4</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随附文件中加入不得擅自将图片转交他人的一句话。其缺失并非权利人的过失所致</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R-5-2-1“包含设计计划书9.2的事项”</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3.2“共通部分的骨架”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D-9-5</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将涵盖所有国家的信息作为链接目标公开，仅对购买者中常见的国籍附上文本文稿</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R-5-4-1“有涵盖全部国家的链接，以及决定随附国籍的方法”</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5“国家”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D-9-6</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追究的对象为违法者，不问其是否为购买者</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R-7-5-1“能了解附上证据包与许可范围、随附文件进行申诉的流程”</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6“申诉的流程”</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D-9-7</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服务器的所在按通过调查可以查明处理，无法查明时放弃</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R-7-4-1“能显示步骤”、R-7-4-2“已显示调查后仍不明所在时放弃应对（在第13章作为缺口声明）”</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5“运营者的确定”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D-9-8</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界面语言为日语、中文及英语，根据要求追加</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R-10-3-1“能以日、中、英使用”</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5“语言”</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使用者本人对转载的登记，包含在本文件的范围之内</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R-6-1-1“能以一个按钮登记”</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2“登记”</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登记通过客户端应用一键进行，同时保全证据</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R-6-1-1“能以一个按钮登记”、R-6-2-1“能留下日后应表明的事项（设计计划书10.3）”</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2.1“步骤”、第6章 3“证据的保全”</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需要登录的页面，由使用者本人登录后取得</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R-6-1-2“需要登录的页面，能导入本人获取的内容”</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2.2“不执行脚本的获取”</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D-10-4</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设置提示应保留证据的输入栏</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R-6-2-1“能留下日后应表明的事项（设计计划书10.3）”</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2.3“应保留证据的输入栏”</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D-10-5</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取得的具体项目由设计书决定</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R-6-2-1“能留下日后应表明的事项（设计计划书10.3）”</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2.4“登记数据的项目”、第6章 3.1“与事后应显示事项的对应（设计计划书10.3）”</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D-10-6</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比对的判断及登记的责任，由进行登记的使用者本人承担</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R-6-6-2“登记了非本人作品的转载时的处理已确定”</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7“订正”、第7章 3.2.1“错误、虚假申诉的责任”</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D-10-7</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证据保存在使用者的终端，不予公开。本系统不收集证据</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R-8-2-1“权利人信息、台账、证据、作品数据的配置已确定”、R-8-2-2“保证不离开终端（使用者导出时除外）”</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3“证据的保全”、第8章 2“终端的数据”</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D-10-8</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能够在客户端应用中随时查看已登记转载的状况</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R-6-5-1“使用者能看到已登记转载的后续”</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6“状况确认”</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D-10-9</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已登记转载的信息在使用者的终端汇总为一览，并提示可采取手段的选项。不在使用者之间共享（在第二阶段中处理）</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R-6-7-1“能把已登记的转载汇总成列表，并显示可采取手段的选项（不在使用者之间共享）”</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8“一览与手段”</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D-11-1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不判断如何追究侵权</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R-7-6-1“明示不是法律建议，并明示信息的出处”</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7“界线”</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D-11-2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将窗口、发送文本的范例及各国法律的参照处作为指引提示</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R-7-1-1“能知道每个发布网站、服务商的窗口”、R-7-2-1“能按国家与语言显示”、R-7-3-1“以“所有国家”的框架积累各国法律的参考，并能送到使用者”</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2“窗口”、第7章 3“文字的示例”、第7章 4“各国法律的参照对象”</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D-11-3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各国法律以“所有”国家的框架作为参照处积累，并随每次实现补充</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R-7-3-1“以“所有国家”的框架积累各国法律的参考，并能送到使用者”</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4“各国法律的参照对象”</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D-12-1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设置公开仓库。不设置私有仓库</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R-8-1-1“放置软件、公开页面、参考信息，不持有个人信息”</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3“公开仓库”</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D-12-2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公开软件，不阻止其被带走</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R-8-1-2“改造版的参考信息、更新能与正式版区分”</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3.2“与改造版的区别”、第11章 9“NRSD的许可（O-09“NRSD的许可证类型”的决定）”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D-12-3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权利人信息、签名密钥、作品数据、台账及证据保存在使用者的终端，NRSD不收集</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R-8-2-1“权利人信息、台账、证据、作品数据的配置已确定”、R-8-2-2“保证不离开终端（使用者导出时除外）”</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2“终端的数据”</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D-12-4</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公开页面可浏览、不可编辑，且不刊载可用于冒充的信息</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R-8-1-1“放置软件、公开页面、参考信息，不持有个人信息”</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3.3“公开页面（O-05“公开页面的刊载内容”的决定）”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D-12-5</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不以使用者本人进行Fork运营为前提</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R-8-1-2“改造版的参考信息、更新能与正式版区分”</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3.2“与改造版的区别”</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D-12-6</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从GitHub的链接分发，并将README写得易于理解</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R-9-4-1“能从README毫不迷惑地获取。从中国大陆也能获取”</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5“获取途径”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D-12-7</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客户端应用接收公开仓库的二进制文件并自我更新</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R-9-3-1“无需操作即被更新，收到的内容会被验证”</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4“更新”</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D-13-1</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第二阶段作为另一份设计计划</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R-1-1-2“明示第二阶段、销售管理、原作的权利、使用者信息的收集在边界之外”、R-6-1-4“留有接受第二阶段登记的余地”</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4.1“构成要素”、第6章 2.6“来自第二阶段的受理口”</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D-13-2</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登记机制应设计为留有日后接受来自自动检测的登记的余地</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R-6-1-4“留有接受第二阶段登记的余地”</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2.6“来自第二阶段的受理口”</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D-13-3</w:t>
            </w:r>
          </w:p>
        </w:tc>
        <w:tc>
          <w:tcPr>
            <w:tcW w:type="dxa" w:w="2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用于通知著作者的联系方式的登记，在第二阶段的设计计划中处理</w:t>
            </w:r>
          </w:p>
        </w:tc>
        <w:tc>
          <w:tcPr>
            <w:tcW w:type="dxa" w:w="37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R-1-1-2“明示第二阶段、销售管理、原作的权利、使用者信息的收集在边界之外”</w:t>
            </w:r>
          </w:p>
        </w:tc>
        <w:tc>
          <w:tcPr>
            <w:tcW w:type="dxa" w:w="2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4.1“构成要素”、第6章 8“一览与手段”</w:t>
            </w:r>
          </w:p>
        </w:tc>
      </w:tr>
    </w:tbl>
    <w:p>
      <w:pPr>
        <w:spacing w:after="100" w:before="0"/>
      </w:pPr>
    </w:p>
    <w:p>
      <w:pPr>
        <w:pStyle w:val="Heading2"/>
      </w:pPr>
      <w:r>
        <w:rPr>
          <w:rFonts w:ascii="Microsoft YaHei" w:eastAsia="Microsoft YaHei" w:hAnsi="Microsoft YaHei"/>
        </w:rPr>
        <w:t xml:space="preserve">1.3 去向表（概要设计书“去向表”）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1646"/>
        <w:gridCol w:w="4165"/>
        <w:gridCol w:w="3097"/>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16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c>
          <w:tcPr>
            <w:tcW w:type="dxa" w:w="41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结果</w:t>
            </w:r>
          </w:p>
        </w:tc>
        <w:tc>
          <w:tcPr>
            <w:tcW w:type="dxa" w:w="30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解决的节</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I-01</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C2PA证书（第2版：在终端上制作的证书的要件）</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3“证书”</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I-02</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与声明所在账号的比对</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已解决（微博的上限为［需实测］）</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2.2“揭示声明码处的上限”、4.1“与声明所在账号的比对”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I-03</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在发布网站上C2PA的保留</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已解决（部分为［需实测］）</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10.3“在发布网站、云端的保留”</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I-04</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从中国大陆连接GitHub（第2版：分发与更新）</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已解决（可达性为［需实测］）</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6.2“中国大陆”、第9章 5“获取途径”</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I-05</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代码签名</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DD-9-1“每个操作系统一个分发物，并进行代码签名”</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I-06</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各国权利的差异</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 2“把握的法律的一览”、法务调查的全部项目（34项）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I-07</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购买者国家的掌握</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已解决（无法缩小购买者的国家范围。经由VPN则无从得知国家，无法确定。设计不依赖购买者的国家）</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5“国家”</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I-08</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权利文书文字的专家确认</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已解决（经确认之后分发）</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 DD-12-10“权利文书的文字经专家确认后才分发”、第5章 4“文字的管理”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O-01</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比对线索的显示方式（第2版中改题）</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4“比对的手段与线索”</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O-02</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开发基础</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第11章“开发基础”设计决定的全部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O-03</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准据法的思路</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放置了方案（采用与否取决于专家的确认。在确认之前不写入随附文件。第12章 DD-12-10“权利文书的文字经专家确认后才分发”）</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3.5“法律上的定位（在法务中处理）”、5“国家”</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O-04</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许可范围的选项</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2.1“选项（O-04“许可范围的选项”的决定）”</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O-05</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公开页面的内容</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3.3“公开页面（O-05“公开页面的刊载内容”的决定）”</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O-06</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转载网站信息的共享</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在第2版中删除（不共享。D-10-9“已登记转载的信息在使用者的终端汇总为一览，并提示可采取手段的选项。不在使用者之间共享（在第二阶段中处理）”）</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8“一览与手段”</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O-07</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与操作系统的集成</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已解决（不设）</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DD-10-5“不设与操作系统的集成，以拖放代替”</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O-08</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识别编号的发行主体</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在设计计划书第2版中决定（D-7-7“识别编号由客户端应用发放，并自动记录在C2PA清单中。是否附加在文件名之后，由使用者在保存时选择”。由客户端应用发行。与比对编号、作品编号为同一个值）</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7.1“识别编号”、第1章 8.2“标识符的体系”</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O-09</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NRSD的许可</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已解决（Apache-2.0。2026-09-30 NRSD的决定）</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 9“NRSD的许可（O-09“NRSD的许可证类型”的决定）”</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O-10</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作品数据的记录格式（第2版中改题。记录处为使用者的终端）</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7.2“作品数据的项目（O-10“作品数据的记录格式”的决定）”、第8章 2.1“配置”</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O-11</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交付用图片上的可见签名</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已解决（按模板决定）</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DD-3-6“交付用图片的可见签名按模板决定”</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B-2</w:t>
            </w:r>
          </w:p>
        </w:tc>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把云端列入I-03“发布网站及Cloud对C2PA签名的保留”的对象</w:t>
            </w:r>
          </w:p>
        </w:tc>
        <w:tc>
          <w:tcPr>
            <w:tcW w:type="dxa" w:w="41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已解决（Drive为［需实测］）</w:t>
            </w:r>
          </w:p>
        </w:tc>
        <w:tc>
          <w:tcPr>
            <w:tcW w:type="dxa" w:w="3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10.3“在发布网站、云端的保留”</w:t>
            </w:r>
          </w:p>
        </w:tc>
      </w:tr>
    </w:tbl>
    <w:p>
      <w:pPr>
        <w:spacing w:after="100" w:before="0"/>
      </w:pPr>
    </w:p>
    <w:p>
      <w:pPr>
        <w:pStyle w:val="Heading1"/>
      </w:pPr>
      <w:r>
        <w:rPr>
          <w:rFonts w:ascii="Microsoft YaHei" w:eastAsia="Microsoft YaHei" w:hAnsi="Microsoft YaHei"/>
        </w:rPr>
        <w:t xml:space="preserve">2. 目的的达成（13-2）</w:t>
      </w:r>
    </w:p>
    <w:p>
      <w:pPr>
        <w:pStyle w:val="Heading2"/>
      </w:pPr>
      <w:r>
        <w:rPr>
          <w:rFonts w:ascii="Microsoft YaHei" w:eastAsia="Microsoft YaHei" w:hAnsi="Microsoft YaHei"/>
        </w:rPr>
        <w:t xml:space="preserve">2.1 各使用场景的路径（设计计划书4.3）</w:t>
      </w:r>
    </w:p>
    <w:p>
      <w:pPr>
        <w:pStyle w:val="ListParagraph"/>
        <w:keepNext/>
        <w:keepLines/>
        <w:numPr>
          <w:ilvl w:val="0"/>
          <w:numId w:val="2"/>
        </w:numPr>
        <w:spacing w:after="20" w:before="20" w:line="300"/>
      </w:pPr>
      <w:r>
        <w:rPr>
          <w:rFonts w:ascii="Microsoft YaHei" w:eastAsia="Microsoft YaHei" w:hAnsi="Microsoft YaHei"/>
        </w:rPr>
        <w:t xml:space="preserve">把各场景从起点到终点，以界面、要求、基本设计的节追溯。没有中断之处。任何场景都不经由NRSD。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377"/>
        <w:gridCol w:w="3067"/>
        <w:gridCol w:w="1608"/>
        <w:gridCol w:w="1556"/>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场景</w:t>
            </w:r>
          </w:p>
        </w:tc>
        <w:tc>
          <w:tcPr>
            <w:tcW w:type="dxa" w:w="23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路径（界面与处理的顺序）</w:t>
            </w:r>
          </w:p>
        </w:tc>
        <w:tc>
          <w:tcPr>
            <w:tcW w:type="dxa" w:w="30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w:t>
            </w:r>
          </w:p>
        </w:tc>
        <w:tc>
          <w:tcPr>
            <w:tcW w:type="dxa" w:w="16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基本设计的节</w:t>
            </w:r>
          </w:p>
        </w:tc>
        <w:tc>
          <w:tcPr>
            <w:tcW w:type="dxa" w:w="15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终点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准备</w:t>
            </w:r>
          </w:p>
        </w:tc>
        <w:tc>
          <w:tcPr>
            <w:tcW w:type="dxa" w:w="2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-01“欢迎”，其次G-02“同意”，其次G-03“签名信息”（签名信息的输入。在终端上制作密钥、证书、声明码），其次G-04“发布声明”，其次（任意）G-05“创建备份”，其次在G-25“图片编辑”中制作可见签名的模板</w:t>
            </w:r>
          </w:p>
        </w:tc>
        <w:tc>
          <w:tcPr>
            <w:tcW w:type="dxa" w:w="3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-4-1“非技术人员能完成C2PA签名所需信息的输入（判定标准在基本设计中规定）”、R-2-6-1“被安全地保存，处理中也受保护”、R-4-2-1“能保存设计并反复使用。能在多台终端上使用”、R-12-1-2“是否需要使用者申报、登记已确定”</w:t>
            </w:r>
          </w:p>
        </w:tc>
        <w:tc>
          <w:tcPr>
            <w:tcW w:type="dxa" w:w="1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2“C2PA签名所需信息的输入”、3“证书”，第8章 5“备份文件”，第4章 8“模板”</w:t>
            </w:r>
          </w:p>
        </w:tc>
        <w:tc>
          <w:tcPr>
            <w:tcW w:type="dxa" w:w="1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能够进行C2PA签名的状态。记录全部在终端上</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w:t>
            </w:r>
          </w:p>
        </w:tc>
        <w:tc>
          <w:tcPr>
            <w:tcW w:type="dxa" w:w="2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G-04“发布声明”（复制声明码、文字示例），其次揭示在各网站的个人资料中</w:t>
            </w:r>
          </w:p>
        </w:tc>
        <w:tc>
          <w:tcPr>
            <w:tcW w:type="dxa" w:w="3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R-2-2-1“有让任何人都能通过与声明所在账号的比对来确认签名者与该照片权利人之间关联的手段”、R-5-5-1“能显示声明的文例（3种语言）”、R-5-5-2“能在声明中载明权利性比对所需的信息”</w:t>
            </w:r>
          </w:p>
        </w:tc>
        <w:tc>
          <w:tcPr>
            <w:tcW w:type="dxa" w:w="1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2“C2PA签名所需信息的输入”、第5章 6“声明的支援”</w:t>
            </w:r>
          </w:p>
        </w:tc>
        <w:tc>
          <w:tcPr>
            <w:tcW w:type="dxa" w:w="1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声明所在账号上有声明码，任何人都能从图片的证书追溯进行比对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销售</w:t>
            </w:r>
          </w:p>
        </w:tc>
        <w:tc>
          <w:tcPr>
            <w:tcW w:type="dxa" w:w="2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交付用），其次G-09“导出：批量套用”（以模板加入可见签名），其次G-10“导出：许可范围”（许可范围、随附文件的国家），其次G-11“导出：执行与结果”（批量处理：隐形水印、PDQ、清单、C2PA签名、可信时间戳），其次把输出文件夹放到云端（本系统之外）</w:t>
            </w:r>
          </w:p>
        </w:tc>
        <w:tc>
          <w:tcPr>
            <w:tcW w:type="dxa" w:w="3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第3章“签名处理”的全部要求，要求组5-1“许可范围”、5-2“随附文件”、5-3“文字”、5-4“国家”</w:t>
            </w:r>
          </w:p>
        </w:tc>
        <w:tc>
          <w:tcPr>
            <w:tcW w:type="dxa" w:w="1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8“处理的顺序与系统”至10，第5章 2“许可范围”至5，第4章 12“批量套用”</w:t>
            </w:r>
          </w:p>
        </w:tc>
        <w:tc>
          <w:tcPr>
            <w:tcW w:type="dxa" w:w="1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附有随附文件的文件夹。作品数据在终端上</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发布</w:t>
            </w:r>
          </w:p>
        </w:tc>
        <w:tc>
          <w:tcPr>
            <w:tcW w:type="dxa" w:w="2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社交平台用），其次G-09“导出：批量套用”（可见签名、按照片的调整），其次G-11“导出：执行与结果”，其次发布（本系统之外）。是否在说明文字中写识别编号由使用者决定（任意。第3章 7.1“识别编号”）</w:t>
            </w:r>
          </w:p>
        </w:tc>
        <w:tc>
          <w:tcPr>
            <w:tcW w:type="dxa" w:w="3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图片编辑与批量套用”的全部要求，R-3-6-1“编号唯一地发放，并能写入文件名、配文”、R-3-7-2“交付用与社交平台用的差别已确定”、R-3-9-3“掌握发布网站与云中C2PA签名是否留存，不留存时的处理已确定（根据NRSD的决定，云也列为调查对象）”</w:t>
            </w:r>
          </w:p>
        </w:tc>
        <w:tc>
          <w:tcPr>
            <w:tcW w:type="dxa" w:w="1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第4章“图片编辑与批量套用”，第3章 7.1“识别编号”、8.2“系统的差异”</w:t>
            </w:r>
          </w:p>
        </w:tc>
        <w:tc>
          <w:tcPr>
            <w:tcW w:type="dxa" w:w="1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放入了可见签名、隐形水印、识别编号的图片。使用者知道C2PA签名在社交平台上会消失</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w:t>
            </w:r>
          </w:p>
        </w:tc>
        <w:tc>
          <w:tcPr>
            <w:tcW w:type="dxa" w:w="2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G-15“转载（案件列表）”，其次G-14“登记转载”（URL、转载图片、屏幕图像、证据栏），其次比对（水印，其次PDQ），其次“登记”，其次证据的保全与可信时间戳，其次保存到终端</w:t>
            </w:r>
          </w:p>
        </w:tc>
        <w:tc>
          <w:tcPr>
            <w:tcW w:type="dxa" w:w="3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要求组6-1“登记”、6-2“证据的获取”、6-3“证据的保全”、6-4“比对”</w:t>
            </w:r>
          </w:p>
        </w:tc>
        <w:tc>
          <w:tcPr>
            <w:tcW w:type="dxa" w:w="1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2“登记”至4</w:t>
            </w:r>
          </w:p>
        </w:tc>
        <w:tc>
          <w:tcPr>
            <w:tcW w:type="dxa" w:w="1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案件记录（附记录电子签名、可信时间戳）与证据在终端上</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确认</w:t>
            </w:r>
          </w:p>
        </w:tc>
        <w:tc>
          <w:tcPr>
            <w:tcW w:type="dxa" w:w="2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G-15“转载（案件列表）”（按转载网站的一览），其次G-16“案件详情”，其次“确认当前状态”（仅在按下时获取）</w:t>
            </w:r>
          </w:p>
        </w:tc>
        <w:tc>
          <w:tcPr>
            <w:tcW w:type="dxa" w:w="3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R-6-5-1“使用者能看到已登记转载的后续”、R-6-5-2“与申诉的记录相关联”、R-6-7-1“能把已登记的转载汇总成列表，并显示可采取手段的选项（不在使用者之间共享）”</w:t>
            </w:r>
          </w:p>
        </w:tc>
        <w:tc>
          <w:tcPr>
            <w:tcW w:type="dxa" w:w="1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6“状况确认”、8“一览与手段”</w:t>
            </w:r>
          </w:p>
        </w:tc>
        <w:tc>
          <w:tcPr>
            <w:tcW w:type="dxa" w:w="1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状况的履历附可信时间戳追加。显示可以采取的手段</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应对</w:t>
            </w:r>
          </w:p>
        </w:tc>
        <w:tc>
          <w:tcPr>
            <w:tcW w:type="dxa" w:w="2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G-16“案件详情”，其次“应对”，其次G-17“应对指引”（窗口、必要事项、个人信息的确认、范本），其次由使用者发送，其次记录“已申诉”，其次（必要时）“取出证据包”</w:t>
            </w:r>
          </w:p>
        </w:tc>
        <w:tc>
          <w:tcPr>
            <w:tcW w:type="dxa" w:w="3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第7章“法律应对指引”的全部要求，R-6-3-2“能以可交给专家的形式导出”、R-12-1-3“返回界面的内容（同意、免责、原作的权利、个人信息的传递）已交给第10章”</w:t>
            </w:r>
          </w:p>
        </w:tc>
        <w:tc>
          <w:tcPr>
            <w:tcW w:type="dxa" w:w="1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2“窗口”至7，第6章 3.4“导出”</w:t>
            </w:r>
          </w:p>
        </w:tc>
        <w:tc>
          <w:tcPr>
            <w:tcW w:type="dxa" w:w="1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使用者本人的申诉。能交给专家的证据包（附验证的步骤说明书）</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比对（冒充权利人者出现时）</w:t>
            </w:r>
          </w:p>
        </w:tc>
        <w:tc>
          <w:tcPr>
            <w:tcW w:type="dxa" w:w="2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G-13“核验”（放入图片），其次G-24“线索比较”（并列线索），其次G-17“应对指引”（可以采取的手段）</w:t>
            </w:r>
          </w:p>
        </w:tc>
        <w:tc>
          <w:tcPr>
            <w:tcW w:type="dxa" w:w="3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-3-1“发生抢先签名、替换签名、反向申诉时，能把比对线索并列显示（不作判定）”、R-2-3-2“对导入前的照片，明示能出示的线索与不能出示的范围（不能出示的部分在第13章声明）”、R-2-3-3“能根据线索知道真正的权利人可采取的手段（第7章）”、R-2-2-1“有让任何人都能通过与声明所在账号的比对来确认签名者与该照片权利人之间关联的手段”</w:t>
            </w:r>
          </w:p>
        </w:tc>
        <w:tc>
          <w:tcPr>
            <w:tcW w:type="dxa" w:w="1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4“比对的手段与线索”，设计计划书 5.5“签名被覆盖时比对的处理”</w:t>
            </w:r>
          </w:p>
        </w:tc>
        <w:tc>
          <w:tcPr>
            <w:tcW w:type="dxa" w:w="1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不作判定，向使用者显示线索与手段</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企划草案第5节的“不需要立即应对”，通过把登记（证据的保全）与应对（申诉）分为不同的场景、不同的界面，并在案件的一览（G-15“转载（案件列表）”）中显示“最后确认的日期”来满足。</w:t>
      </w:r>
    </w:p>
    <w:p>
      <w:pPr>
        <w:pStyle w:val="Heading2"/>
      </w:pPr>
      <w:r>
        <w:rPr>
          <w:rFonts w:ascii="Microsoft YaHei" w:eastAsia="Microsoft YaHei" w:hAnsi="Microsoft YaHei"/>
        </w:rPr>
        <w:t xml:space="preserve">2.2 对威慑的作用方式</w:t>
      </w:r>
    </w:p>
    <w:p>
      <w:pPr>
        <w:pStyle w:val="ListParagraph"/>
        <w:keepNext/>
        <w:keepLines/>
        <w:numPr>
          <w:ilvl w:val="0"/>
          <w:numId w:val="2"/>
        </w:numPr>
        <w:spacing w:after="20" w:before="20" w:line="300"/>
      </w:pPr>
      <w:r>
        <w:rPr>
          <w:rFonts w:ascii="Microsoft YaHei" w:eastAsia="Microsoft YaHei" w:hAnsi="Microsoft YaHei"/>
        </w:rPr>
        <w:t xml:space="preserve">威慑在转载一方知道“若转载，就能知道权利人是谁、证据会留下、可以向窗口申诉”时起作用。各章的贡献如下。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9"/>
        <w:gridCol w:w="5815"/>
        <w:gridCol w:w="2604"/>
      </w:tblGrid>
      <w:tr>
        <w:trPr>
          <w:cantSplit/>
          <w:tblHeader/>
        </w:trPr>
        <w:tc>
          <w:tcPr>
            <w:tcW w:type="dxa" w:w="12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告知的内容</w:t>
            </w:r>
          </w:p>
        </w:tc>
        <w:tc>
          <w:tcPr>
            <w:tcW w:type="dxa" w:w="58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承担的机制</w:t>
            </w:r>
          </w:p>
        </w:tc>
        <w:tc>
          <w:tcPr>
            <w:tcW w:type="dxa" w:w="260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12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权利人是谁</w:t>
            </w:r>
          </w:p>
        </w:tc>
        <w:tc>
          <w:tcPr>
            <w:tcW w:type="dxa" w:w="5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可见签名（名字、识别编号）、C2PA签名的签名者、声明所在账号的声明码</w:t>
            </w:r>
          </w:p>
        </w:tc>
        <w:tc>
          <w:tcPr>
            <w:tcW w:type="dxa" w:w="2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第4章“图片编辑与批量套用”、第3章“签名处理”、第2章“签名信息与比对”</w:t>
            </w:r>
          </w:p>
        </w:tc>
      </w:tr>
      <w:tr>
        <w:trPr>
          <w:cantSplit/>
          <w:tblHeader w:val="off"/>
        </w:trPr>
        <w:tc>
          <w:tcPr>
            <w:tcW w:type="dxa" w:w="12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不允许擅自使用</w:t>
            </w:r>
          </w:p>
        </w:tc>
        <w:tc>
          <w:tcPr>
            <w:tcW w:type="dxa" w:w="5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随附文件（开头的一句D-9-4“随附文件中加入不得擅自将图片转交他人的一句话。其缺失并非权利人的过失所致”）、清单的使用条件（cawg.metadata）、不许可AI学习（cawg.training-mining）、声明（包括C2PA标记含义的说明）</w:t>
            </w:r>
          </w:p>
        </w:tc>
        <w:tc>
          <w:tcPr>
            <w:tcW w:type="dxa" w:w="2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第5章“权利文书”、第3章“签名处理”</w:t>
            </w:r>
          </w:p>
        </w:tc>
      </w:tr>
      <w:tr>
        <w:trPr>
          <w:cantSplit/>
          <w:tblHeader w:val="off"/>
        </w:trPr>
        <w:tc>
          <w:tcPr>
            <w:tcW w:type="dxa" w:w="12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即使删除也能追溯</w:t>
            </w:r>
          </w:p>
        </w:tc>
        <w:tc>
          <w:tcPr>
            <w:tcW w:type="dxa" w:w="5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隐形水印（识别编号）、比对用哈希</w:t>
            </w:r>
          </w:p>
        </w:tc>
        <w:tc>
          <w:tcPr>
            <w:tcW w:type="dxa" w:w="2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第3章“签名处理”</w:t>
            </w:r>
          </w:p>
        </w:tc>
      </w:tr>
      <w:tr>
        <w:trPr>
          <w:cantSplit/>
          <w:tblHeader w:val="off"/>
        </w:trPr>
        <w:tc>
          <w:tcPr>
            <w:tcW w:type="dxa" w:w="12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证据会留下</w:t>
            </w:r>
          </w:p>
        </w:tc>
        <w:tc>
          <w:tcPr>
            <w:tcW w:type="dxa" w:w="5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登记时的保全与可信时间戳</w:t>
            </w:r>
          </w:p>
        </w:tc>
        <w:tc>
          <w:tcPr>
            <w:tcW w:type="dxa" w:w="2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第6章“登记与证据保全”</w:t>
            </w:r>
          </w:p>
        </w:tc>
      </w:tr>
      <w:tr>
        <w:trPr>
          <w:cantSplit/>
          <w:tblHeader w:val="off"/>
        </w:trPr>
        <w:tc>
          <w:tcPr>
            <w:tcW w:type="dxa" w:w="12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可以申诉</w:t>
            </w:r>
          </w:p>
        </w:tc>
        <w:tc>
          <w:tcPr>
            <w:tcW w:type="dxa" w:w="5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窗口与范本、公开页面的指引</w:t>
            </w:r>
          </w:p>
        </w:tc>
        <w:tc>
          <w:tcPr>
            <w:tcW w:type="dxa" w:w="2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第7章“法律应对指引”、第8章“仓库与数据管理”</w:t>
            </w:r>
          </w:p>
        </w:tc>
      </w:tr>
      <w:tr>
        <w:trPr>
          <w:cantSplit/>
          <w:tblHeader w:val="off"/>
        </w:trPr>
        <w:tc>
          <w:tcPr>
            <w:tcW w:type="dxa" w:w="12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以好的外观增加使用者（威慑的前提）</w:t>
            </w:r>
          </w:p>
        </w:tc>
        <w:tc>
          <w:tcPr>
            <w:tcW w:type="dxa" w:w="5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界面与设计</w:t>
            </w:r>
          </w:p>
        </w:tc>
        <w:tc>
          <w:tcPr>
            <w:tcW w:type="dxa" w:w="2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威慑的限度：在C2PA签名会消失的社交平台（第3章 10.3“在发布网站、云端的保留”）与所在不明的转载（第7章 5“运营者的确定”）中，威慑依赖可见签名与隐形水印。这在4中作为缺口声明。</w:t>
      </w:r>
    </w:p>
    <w:p>
      <w:pPr>
        <w:pStyle w:val="Heading1"/>
      </w:pPr>
      <w:r>
        <w:rPr>
          <w:rFonts w:ascii="Microsoft YaHei" w:eastAsia="Microsoft YaHei" w:hAnsi="Microsoft YaHei"/>
        </w:rPr>
        <w:t xml:space="preserve">3. 一致（13-3）</w:t>
      </w:r>
    </w:p>
    <w:p>
      <w:pPr>
        <w:pStyle w:val="Heading2"/>
      </w:pPr>
      <w:r>
        <w:rPr>
          <w:rFonts w:ascii="Microsoft YaHei" w:eastAsia="Microsoft YaHei" w:hAnsi="Microsoft YaHei"/>
        </w:rPr>
        <w:t xml:space="preserve">3.1 威胁与对策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3"/>
        <w:gridCol w:w="2851"/>
        <w:gridCol w:w="2851"/>
        <w:gridCol w:w="2403"/>
      </w:tblGrid>
      <w:tr>
        <w:trPr>
          <w:cantSplit/>
          <w:tblHeader/>
        </w:trPr>
        <w:tc>
          <w:tcPr>
            <w:tcW w:type="dxa" w:w="15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威胁</w:t>
            </w:r>
          </w:p>
        </w:tc>
        <w:tc>
          <w:tcPr>
            <w:tcW w:type="dxa" w:w="28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对策的要求</w:t>
            </w:r>
          </w:p>
        </w:tc>
        <w:tc>
          <w:tcPr>
            <w:tcW w:type="dxa" w:w="28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对策的节</w:t>
            </w:r>
          </w:p>
        </w:tc>
        <w:tc>
          <w:tcPr>
            <w:tcW w:type="dxa" w:w="24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剩余的内容（4的编号）</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T-1“冒充权利人抢先C2PA签名，或替换C2PA签名”</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R-2-3-1“发生抢先签名、替换签名、反向申诉时，能把比对线索并列显示（不作判定）”、R-2-2-2“能把原图的持有作为线索使用”</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4.4（线索）、4.6（应用不覆盖他人的C2PA签名）</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H-1“冒充权利人者抢先C2PA签名、替换签名、反向申诉无法防止”</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T-2“把真正权利人的发布当作转载，向服务商申诉”</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R-2-3-3“能根据线索知道真正的权利人可采取的手段（第7章）”、R-6-6-2“登记了非本人作品的转载时的处理已确定”</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4.4“冒充权利人者出现时的线索”、第7章“法律应对指引”</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H-1“冒充权利人者抢先C2PA签名、替换签名、反向申诉无法防止”</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T-3“分发假应用”</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R-9-2-1“能与假应用区分”</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DD-9-3“正式版通过代码签名的发行者与SHA-256识别”、3“官方版的证明”，第10章 G-23“关于本应用”</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H-15“无法防止从README以外获取的假应用；即使已代码签名，SmartScreen在初期也可能发出警告”</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T-4“盗取使用者的签名密钥进行C2PA签名”</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R-2-6-1“被安全地保存，处理中也受保护”、R-2-6-2“丢失、泄露时能重新生成密钥、重新发布声明，过去签名的处理已确定”</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7“签名密钥”</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H-13“终端被完全侵入时，无法防止密钥重新生成前的C2PA签名；以泄露的密钥进行的C2PA签名，在旧个人根证书的期限（最长40年）前显示为有效”</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T-5“盗取并读取备份文件”</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R-8-4-1“能检测篡改，留下履历，能从导出恢复”</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5（以口令加密）</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H-14“记录、证据、签名密钥只存在于使用者的终端；不做备份而丢失终端就会失去；备份的口令弱则可能被盗；忘记口令则无法恢复”</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T-6“改写终端上的记录”</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R-8-4-1“能检测篡改，留下履历，能从导出恢复”</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DD-1-5“终端的记录附记录电子签名并加以验证”、第8章 4“完整性”</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H-13“终端被完全侵入时，无法防止密钥重新生成前的C2PA签名；以泄露的密钥进行的C2PA签名，在旧个人根证书的期限（最长40年）前显示为有效”（签名密钥一并被夺取时，记录的改写也无法识别）</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T-7“分发伪造的参考信息、更新”</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R-9-3-3“对更新途径被劫持有所准备”、R-5-3-2“能把更新送到使用者（参考信息的分发。1-3）”、R-7-1-2“能跟上窗口的变化（参考信息的分发。1-3）”、R-8-1-2“改造版的参考信息、更新能与正式版区分”</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DD-9-4“更新签名密钥放在CI之外，代码签名的凭据放在CI的机密中”、4“更新”，第1章 DD-1-6“参考信息由NRSD电子签名后放在公开仓库与镜像中”</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H-16“更新签名密钥泄露时，现有使用者需手动重新安装”</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T-8“盗取NRSD的密钥”</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R-1-10-2“运营者功能本身不成为伪造更新、伪造参考信息的途径”</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19“运营者工具”、第9章 DD-9-4“更新签名密钥放在CI之外，代码签名的凭据放在CI的机密中”</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H-22“NRSD的密钥（更新、参考信息）被盗时，可能被分发伪造的更新、参考信息”</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T-9“获取转载页面时接触恶意内容”</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R-6-2-2“对获取失败、恶意网站有所准备”</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DD-6-1“转载页面在不执行脚本的情况下获取”、2.2“不执行脚本的获取”</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H-33“部件的未知漏洞在公开前无法防止”（使用者以自己的浏览器查看转载页面时的危险在本系统之外）</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T-10“伪造的时间戳响应”</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R-3-3-1“TSA（包括考虑中国国内的TSA）已确定”</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4“可信时间戳”（证书链的验证）</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T-11“篡改导入的模板、备份文件的内容”</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R-4-1-4“能安全处理导入的素材”、R-8-4-1“能检测篡改，留下履历，能从导出恢复”</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8.3“交接（导出与导入）”、第8章 5.3“恢复方法（导入）”、第1章 10.6“来自外部输入的确认”</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T-12“NRSD事后否认其分发的参考信息的内容”</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R-5-3-1“能知道谁写的、谁确认的、是哪个版本”</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7.5“参考信息的获取”（把版本与记录电子签名留在终端上）</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T-13“获取转载页面时，对方网站能看到使用者的IP地址”</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R-6-2-2“对获取失败、恶意网站有所准备”</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4.2“与外部的交互”、第10章 3.6“确认窗口的一览”</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H-26“获取转载页面的记录时（登记的默认），对方网站能看到使用者的IP地址”</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T-14“操作日志中出现密钥、证据、个人信息”</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R-1-7-1“规模与性能的目标、故障时的处理、记录（操作日志）、版本的兼容、时间的处理在全章共通”（是使记录处理共通的要求，概要设计书中没有针对此威胁的要求）</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10.4“操作日志”</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T-15“巨大图片、解压炸弹（图片、模板、备份的ZIP）”</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R-3-1-2“能安全处理损坏的图片、巨大的图片、已有签名的图片”</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10.6“来自外部输入的确认”、第8章 5.3“恢复方法（导入）”</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T-16“转载页面的巨大响应、反复重定向、响应延迟”</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R-6-2-2“对获取失败、恶意网站有所准备”</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4.2“与外部的交互”（超时与上限）</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T-17“界面显示的外部文字触发界面的命令”</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概要设计书中没有针对此威胁的要求。列入威胁的一览（R-1-4-2“有威胁（冒充、假应用、密钥被盗、篡改）的一览”），在基本设计中规定了对策</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6.2“界面与核心之间”</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T-18“从界面调用读写任意文件的命令”</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概要设计书中没有针对此威胁的要求。列入威胁的一览（R-1-4-2“有威胁（冒充、假应用、密钥被盗、篡改）的一览”），在基本设计中规定了对策</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6.2“界面与核心之间”（命令的许可制、文件的范围）</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T-19“以恶意字体、图片攻击应用核心的漏洞”</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R-4-1-4“能安全处理导入的素材”</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10.6“来自外部输入的确认”、第4章 5“图像图层”、6.4“带入的字体”</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H-33“部件的未知漏洞在公开前无法防止”</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T-20“持续返回旧的正确参考信息包，或回退到旧版本（冻结、版本回退）”</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R-8-1-2“改造版的参考信息、更新能与正式版区分”</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3.4“参考信息包”</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H-39“参考信息的分发被阻止（冻结）时，新的窗口无法送达”</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T-21“从转载页面的获取请求中，转载者得知正在收集证据”</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R-6-2-2“对获取失败、恶意网站有所准备”</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2.2“不执行脚本的获取”</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H-26“获取转载页面的记录时（登记的默认），对方网站能看到使用者的IP地址”</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T-22“劫持CI或GitHub组织，将经正确代码签名的伪造分发物放入正式发布”</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R-9-2-1“能与假应用区分”、R-9-2-2“发布所用的密钥受到保护”</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8.5“秘密信息的一览”、第8章 3.5“GitHub账号与仓库的保护”、第11章 8.3“机密的处理”</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H-44“CI或GitHub组织被劫持时，可能有经正确代码签名的伪造分发物被放入正式发布”</w:t>
            </w:r>
          </w:p>
        </w:tc>
      </w:tr>
      <w:tr>
        <w:trPr>
          <w:cantSplit/>
          <w:tblHeader w:val="off"/>
        </w:trPr>
        <w:tc>
          <w:tcPr>
            <w:tcW w:type="dxa" w:w="15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T-23“改写公开页面的“核验声明码”页面，显示伪造的声明码”</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R-2-2-1“有让任何人都能通过与声明所在账号的比对来确认签名者与该照片权利人之间关联的手段”</w:t>
            </w:r>
          </w:p>
        </w:tc>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3.3“公开页面（O-05“公开页面的刊载内容”的决定）”、3.5“GitHub账号与仓库的保护”。同样的计算在应用的G-13“核验”中也能进行，声明码的计算方法是公开的（第2章 2.4“声明码的生成方法”），因此浏览者能以其他手段确认</w:t>
            </w:r>
          </w:p>
        </w:tc>
        <w:tc>
          <w:tcPr>
            <w:tcW w:type="dxa" w:w="2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H-44“CI或GitHub组织被劫持时，可能有经正确代码签名的伪造分发物被放入正式发布”（公开页面也在同一组织中）</w:t>
            </w:r>
          </w:p>
        </w:tc>
      </w:tr>
    </w:tbl>
    <w:p>
      <w:pPr>
        <w:spacing w:after="100" w:before="0"/>
      </w:pPr>
    </w:p>
    <w:p>
      <w:pPr>
        <w:pStyle w:val="Heading2"/>
      </w:pPr>
      <w:r>
        <w:rPr>
          <w:rFonts w:ascii="Microsoft YaHei" w:eastAsia="Microsoft YaHei" w:hAnsi="Microsoft YaHei"/>
        </w:rPr>
        <w:t xml:space="preserve">3.2 依赖表</w:t>
      </w:r>
    </w:p>
    <w:p>
      <w:pPr>
        <w:pStyle w:val="ListParagraph"/>
        <w:keepNext/>
        <w:keepLines/>
        <w:numPr>
          <w:ilvl w:val="0"/>
          <w:numId w:val="2"/>
        </w:numPr>
        <w:spacing w:after="20" w:before="20" w:line="300"/>
      </w:pPr>
      <w:r>
        <w:rPr>
          <w:rFonts w:ascii="Microsoft YaHei" w:eastAsia="Microsoft YaHei" w:hAnsi="Microsoft YaHei"/>
        </w:rPr>
        <w:t xml:space="preserve">概要设计书1-9的依赖表列为“互相依赖”的组有15组。各组的处理如下，任何组的两章都互相参照。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4"/>
        <w:gridCol w:w="7054"/>
      </w:tblGrid>
      <w:tr>
        <w:trPr>
          <w:cantSplit/>
          <w:tblHeader/>
        </w:trPr>
        <w:tc>
          <w:tcPr>
            <w:tcW w:type="dxa" w:w="25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组</w:t>
            </w:r>
          </w:p>
        </w:tc>
        <w:tc>
          <w:tcPr>
            <w:tcW w:type="dxa" w:w="70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处理</w:t>
            </w:r>
          </w:p>
        </w:tc>
      </w:tr>
      <w:tr>
        <w:trPr>
          <w:cantSplit/>
          <w:tblHeader w:val="off"/>
        </w:trPr>
        <w:tc>
          <w:tcPr>
            <w:tcW w:type="dxa" w:w="2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第2章与第8章</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同时设计（第1轮）</w:t>
            </w:r>
          </w:p>
        </w:tc>
      </w:tr>
      <w:tr>
        <w:trPr>
          <w:cantSplit/>
          <w:tblHeader w:val="off"/>
        </w:trPr>
        <w:tc>
          <w:tcPr>
            <w:tcW w:type="dxa" w:w="2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第3章与第11章、第4章与第11章</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往返设计（第1轮。先放置第11章的大框架，在第3章、第4章之后修改第11章）</w:t>
            </w:r>
          </w:p>
        </w:tc>
      </w:tr>
      <w:tr>
        <w:trPr>
          <w:cantSplit/>
          <w:tblHeader w:val="off"/>
        </w:trPr>
        <w:tc>
          <w:tcPr>
            <w:tcW w:type="dxa" w:w="2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第3章与第5章</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先设计第3章，在第5章的设计之后，在第2轮中修改第3章（清单中许可范围的记录）</w:t>
            </w:r>
          </w:p>
        </w:tc>
      </w:tr>
      <w:tr>
        <w:trPr>
          <w:cantSplit/>
          <w:tblHeader w:val="off"/>
        </w:trPr>
        <w:tc>
          <w:tcPr>
            <w:tcW w:type="dxa" w:w="2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第6章与第8章</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先设计第8章，在第6章的设计之后，在第2轮中修改第8章（证据的放置处与容量）</w:t>
            </w:r>
          </w:p>
        </w:tc>
      </w:tr>
      <w:tr>
        <w:trPr>
          <w:cantSplit/>
          <w:tblHeader w:val="off"/>
        </w:trPr>
        <w:tc>
          <w:tcPr>
            <w:tcW w:type="dxa" w:w="2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第10章与第12章</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同时设计（第1轮的最后）</w:t>
            </w:r>
          </w:p>
        </w:tc>
      </w:tr>
      <w:tr>
        <w:trPr>
          <w:cantSplit/>
          <w:tblHeader w:val="off"/>
        </w:trPr>
        <w:tc>
          <w:tcPr>
            <w:tcW w:type="dxa" w:w="2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第10章与第2、4、5、7章</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最后设计第10章，在第2轮中修改各章与界面的关系之节</w:t>
            </w:r>
          </w:p>
        </w:tc>
      </w:tr>
      <w:tr>
        <w:trPr>
          <w:cantSplit/>
          <w:tblHeader w:val="off"/>
        </w:trPr>
        <w:tc>
          <w:tcPr>
            <w:tcW w:type="dxa" w:w="2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第12章与第2、3、5、6、7章</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最后设计第12章，在第2轮中修改各章法务的参照</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第10章“界面与设计”与第12章“与法务的接点”承接全部各章的要求。在概要设计书各章的“被依赖的章”中已加入10、12。</w:t>
      </w:r>
    </w:p>
    <w:p>
      <w:pPr>
        <w:pStyle w:val="Heading2"/>
      </w:pPr>
      <w:r>
        <w:rPr>
          <w:rFonts w:ascii="Microsoft YaHei" w:eastAsia="Microsoft YaHei" w:hAnsi="Microsoft YaHei"/>
        </w:rPr>
        <w:t xml:space="preserve">3.3 数据的所在与责任</w:t>
      </w:r>
    </w:p>
    <w:p>
      <w:pPr>
        <w:pStyle w:val="ListParagraph"/>
        <w:keepNext/>
        <w:keepLines/>
        <w:numPr>
          <w:ilvl w:val="0"/>
          <w:numId w:val="2"/>
        </w:numPr>
        <w:spacing w:after="20" w:before="20" w:line="300"/>
      </w:pPr>
      <w:r>
        <w:rPr>
          <w:rFonts w:ascii="Microsoft YaHei" w:eastAsia="Microsoft YaHei" w:hAnsi="Microsoft YaHei"/>
        </w:rPr>
        <w:t xml:space="preserve">在第1章 8.1“数据的一览”的数据一览中，各数据的生成来源、保存处、公开的范围、写入者各自唯一确定。</w:t>
      </w:r>
    </w:p>
    <w:p>
      <w:pPr>
        <w:pStyle w:val="ListParagraph"/>
        <w:keepNext w:val="false"/>
        <w:keepLines/>
        <w:numPr>
          <w:ilvl w:val="0"/>
          <w:numId w:val="2"/>
        </w:numPr>
        <w:spacing w:after="20" w:before="20" w:line="300"/>
      </w:pPr>
      <w:r>
        <w:rPr>
          <w:rFonts w:ascii="Microsoft YaHei" w:eastAsia="Microsoft YaHei" w:hAnsi="Microsoft YaHei"/>
        </w:rPr>
        <w:t xml:space="preserve">NRSD持有的，只有公开仓库的内容、更新与参考信息的密钥、代码签名的资格（Artifact Signing的签名权限、Developer ID的证书、公证的API密钥）、香港镜像的写入密钥、GitHub组织的所有者账号（第1章 8.5“秘密信息的一览”）。使用者的信息、记录不会到达NRSD（第8章 2.2“不离开终端”）。意见电子邮件只在使用者自己发送时到达NRSD（第10章 9“意见受理渠道”）。</w:t>
      </w:r>
    </w:p>
    <w:p>
      <w:pPr>
        <w:pStyle w:val="Heading2"/>
      </w:pPr>
      <w:r>
        <w:rPr>
          <w:rFonts w:ascii="Microsoft YaHei" w:eastAsia="Microsoft YaHei" w:hAnsi="Microsoft YaHei"/>
        </w:rPr>
        <w:t xml:space="preserve">3.4 范围的界线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4800"/>
      </w:tblGrid>
      <w:tr>
        <w:trPr>
          <w:cantSplit/>
          <w:tblHeader/>
        </w:trPr>
        <w:tc>
          <w:tcPr>
            <w:tcW w:type="dxa" w:w="48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界线</w:t>
            </w:r>
          </w:p>
        </w:tc>
        <w:tc>
          <w:tcPr>
            <w:tcW w:type="dxa" w:w="48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未越过的依据</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不处理原作的权利（概要设计书“本系统保护的内容、不保护的内容”）</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第12章 4.1（条款的目的）、第10章 6.1（G-01“欢迎”的指引）、法务 L-29“设计、角色的委托（日）”（不使角色类似于已有的作品）</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不处理销售管理（D-2-5“不处理销售管理。需要者应Fork并加以改造，其结果NRSD概不过问”）</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第5章 5（不持有购买者的信息）</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不进行自动检测（D-2-4“自动检测作为另一份设计计划”）</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第6章 6.2（仅在按下时获取）</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不进行法律判断、代理（D-2-6“不进行法律程序的代理及法律判断”）</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第7章“法律应对指引”设计决定的全部、第12章 3.2（不制作登记的申请书）</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不作为网站制作（D-6-2“本系统不作为网站构建”）</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 DD-1-2“NRSD不设服务器，不接收使用者的信息（使用者自行发送的意见电子邮件除外）”（不设服务器）、第10章 DD-10-6“意见由使用者用自己的电子邮件发送”（不使用外部的表单）</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为3种操作系统的桌面应用（D-6-1“客户端应用为在Windows、macOS及Linux上运行的桌面应用”）</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第9章 2（Windows、macOS、Linux）</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公开页面不刊载可用于冒充的信息（D-12-4“公开页面可浏览、不可编辑，且不刊载可用于冒充的信息”）</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第8章 3.3“公开页面（O-05“公开页面的刊载内容”的决定）”。“核对声明码”页是只在浏览器中读取图片、不发送到任何地方的静态页面，不刊载使用者的信息。页面被改写的威胁在T-23“改写公开页面的“核验声明码”页面，显示伪造的声明码”中处理</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不收集使用者的信息（D-5-1“本系统不确认使用者，不收集使用者的信息。使用本系统不要求登记”）</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 DD-1-2“NRSD不设服务器，不接收使用者的信息（使用者自行发送的意见电子邮件除外）”、第8章 2.2“不离开终端”、第12章 5“隐私政策”</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不代为比对、不作判定（D-5-3“冒充权利人者的行为（抢先签名、替换签名及反向申请）视为无法防止，提示比对的线索。不作判定”、D-5-5“本系统提供比对的手段，但不代为进行比对”）</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第2章 4“比对的手段与线索”、第10章 G-24“线索比较”</w:t>
            </w:r>
          </w:p>
        </w:tc>
      </w:tr>
      <w:tr>
        <w:trPr>
          <w:cantSplit/>
          <w:tblHeader w:val="off"/>
        </w:trPr>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不在使用者之间共享（D-10-9“已登记转载的信息在使用者的终端汇总为一览，并提示可采取手段的选项。不在使用者之间共享（在第二阶段中处理）”）</w:t>
            </w:r>
          </w:p>
        </w:tc>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8“一览与手段”</w:t>
            </w:r>
          </w:p>
        </w:tc>
      </w:tr>
    </w:tbl>
    <w:p>
      <w:pPr>
        <w:spacing w:after="100" w:before="0"/>
      </w:pPr>
    </w:p>
    <w:p>
      <w:pPr>
        <w:pStyle w:val="Heading1"/>
      </w:pPr>
      <w:r>
        <w:rPr>
          <w:rFonts w:ascii="Microsoft YaHei" w:eastAsia="Microsoft YaHei" w:hAnsi="Microsoft YaHei"/>
        </w:rPr>
        <w:t xml:space="preserve">4. 缺口的声明（13-4）</w:t>
      </w:r>
    </w:p>
    <w:p>
      <w:pPr>
        <w:pStyle w:val="ListParagraph"/>
        <w:keepNext w:val="false"/>
        <w:keepLines/>
        <w:numPr>
          <w:ilvl w:val="0"/>
          <w:numId w:val="2"/>
        </w:numPr>
        <w:spacing w:after="20" w:before="20" w:line="300"/>
      </w:pPr>
      <w:r>
        <w:rPr>
          <w:rFonts w:ascii="Microsoft YaHei" w:eastAsia="Microsoft YaHei" w:hAnsi="Microsoft YaHei"/>
        </w:rPr>
        <w:t xml:space="preserve">零缺口是不可能的。对每个已知的缺口，显示为什么无法堵住、尽力到了什么程度、剩余的风险、由谁承担。</w:t>
      </w:r>
    </w:p>
    <w:p>
      <w:pPr>
        <w:pStyle w:val="Heading2"/>
      </w:pPr>
      <w:r>
        <w:rPr>
          <w:rFonts w:ascii="Microsoft YaHei" w:eastAsia="Microsoft YaHei" w:hAnsi="Microsoft YaHei"/>
        </w:rPr>
        <w:t xml:space="preserve">4.1 机制的缺口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1588"/>
        <w:gridCol w:w="2034"/>
        <w:gridCol w:w="1860"/>
        <w:gridCol w:w="1363"/>
        <w:gridCol w:w="1030"/>
        <w:gridCol w:w="1033"/>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158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缺口</w:t>
            </w:r>
          </w:p>
        </w:tc>
        <w:tc>
          <w:tcPr>
            <w:tcW w:type="dxa" w:w="20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为什么无法堵住</w:t>
            </w:r>
          </w:p>
        </w:tc>
        <w:tc>
          <w:tcPr>
            <w:tcW w:type="dxa" w:w="18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尽力的范围</w:t>
            </w:r>
          </w:p>
        </w:tc>
        <w:tc>
          <w:tcPr>
            <w:tcW w:type="dxa" w:w="13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剩余的风险</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承担者</w:t>
            </w:r>
          </w:p>
        </w:tc>
        <w:tc>
          <w:tcPr>
            <w:tcW w:type="dxa" w:w="10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冒充权利人者抢先C2PA签名、替换签名、反向申诉无法防止</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任何人都能获取、使用应用，也能以其他软件进行C2PA签名（设计计划书 5.2“冒充权利人者”）</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并列显示线索（隐形水印、可信时间戳、素材的履历、原图、声明）。本应用不覆盖他人的C2PA签名</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浏览者、事业者相信虚假的签名者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真正的权利人（根据线索应对）</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比对的结果只是概率性的</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在再压缩、裁切之后只能以一致度显示</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优先从水印读出的识别编号，PDQ按阶段显示。在申诉之前显示责任</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错误的登记、申诉</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登记的使用者（D-10-6“比对的判断及登记的责任，由进行登记的使用者本人承担”）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第6章“登记与证据保全”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所在不明的转载不作应对</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调查后仍不明，就没有申诉的对象</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显示RDAP、DNS、CDN的窗口、ICP备案的步骤</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会留下无法应对的转载</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第6章“登记与证据保全”、第7章“法律应对指引”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C2PA签名在社交平台等处丢失</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取决于发布网站的处理（I-03“发布网站及Cloud对C2PA签名的保留”）</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可见签名与隐形水印、输出时的指引</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在读不出水印的强烈加工下只有比对用哈希</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H-5</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伴随格式转换、重新压缩的权利管理信息的去除，在日本不属于视为侵权，在中国作为技术上无法避免的去除而除外，在美国则需要故意及与侵权相关联的认识</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法律的规定（L-1“权利管理信息的去除、改变（日）”、L-2“权利管理信息的去除、改变（中）”、L-3“权利管理信息的去除、改变（美）”）</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写明能把C2PA签名的缺失断定为“故意的删除”，仅限于不伴随格式转换的情况</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不能以社交平台上的缺失为依据进行请求</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H-6</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离线输出的图片在清单中没有可信时间戳</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可信时间戳依赖外部的TSA</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事后补加到作品数据中</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仅凭图片本身无法显示C2PA签名的时刻</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H-7</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可见签名可以通过裁切、涂抹去除</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是像素之上的显示</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以隐形水印与比对用哈希补充</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对删除了可见签名的转载，浏览者只看是不会察觉是权利人的照片的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第4章“图片编辑与批量套用”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H-8</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随附文件可能在授受途中被去除；是否成立合同因国家而异</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购买者手中的处理在本系统之外</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把文件的哈希记录到全部图片的清单中。开头的一句（D-9-4“随附文件中加入不得擅自将图片转交他人的一句话。其缺失并非权利人的过失所致”）</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购买者不看文件</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去掉文件者（D-9-4“随附文件中加入不得擅自将图片转交他人的一句话。其缺失并非权利人的过失所致”）、使用者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H-9</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需要登录的页面只能依靠使用者的屏幕截图；使用者未确认期间状况的变化不被记录</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本系统不登录。不进行定期的巡查（D-2-4“自动检测作为另一份设计计划”）</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屏幕图像的哈希与可信时间戳、“最后确认的日期”的显示</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有时证据的力量较弱</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第6章“登记与证据保全”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H-10</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申诉可能使使用者的姓名、联系方式传给对方</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各国程序的规定（L-8“删除申请的程序（中）”、L-9“删除申请的程序（美）”）</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事前的确认勾选、代理人选项的指引</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来自对方的接触</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H-11</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窗口与法令变化的反映可能滞后</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每季度的确认</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附记录电子签名的参考信息分发（不等应用的更新）、意见受理渠道</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指引旧窗口的期间</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第7章“法律应对指引”、第12章“与法务的接点”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H-12</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本系统不确认使用者；不进行比对的浏览者无法识别虚假的签名者；一般的验证网站显示为“Valid”（并非Trusted）</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不收集使用者的信息（D-5-1“本系统不确认使用者，不收集使用者的信息。使用本系统不要求登记”）。C2PA的信任列表限于合规产品（I-01“C2PA签名用证书”）</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在公开页面、README、声明的文字示例中显示以声明码比对的步骤</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不进行比对者不知道签名者的真伪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浏览者、使用者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H-13</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终端被完全侵入时，无法防止密钥重新生成前的C2PA签名；以泄露的密钥进行的C2PA签名，在旧个人根证书的期限（最长40年）前显示为有效</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是操作系统密钥存储之外的问题。本系统不具有吊销的机制（CRL等）（第2章 7.2“丢失与泄露”）</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操作系统的密钥存储、密钥的重新生成与声明码的重新揭示。指引在声明中写“旧码自（该日期）起不再使用”</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重新揭示之前的伪造C2PA签名。重新揭示之后，对不与声明比对的浏览者，伪造的C2PA签名也看起来有效。没有可信时间戳的伪造C2PA签名，无法与泄露之前的区分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第1章“整体结构”、第2章“签名信息与比对”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H-14</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记录、证据、签名密钥只存在于使用者的终端；不做备份而丢失终端就会失去；备份的口令弱则可能被盗；忘记口令则无法恢复</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不收集记录（D-12-3“权利人信息、签名密钥、作品数据、台账及证据保存在使用者的终端，NRSD不收集”）</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备份的建议（每30日）、以口令加密（age格式：scrypt、ChaCha20-Poly1305。第8章 DD-8-3“更换终端与故障的准备通过备份文件（age格式）进行”）、口令长度的下限</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记录、证据的丧失，密钥的泄露</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第8章“仓库与数据管理”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H-15</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无法防止从README以外获取的假应用；即使已代码签名，SmartScreen在初期也可能发出警告</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在分发途径之外</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代码签名、官方的识别方法（哈希、发行者名）、README的明记</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把密钥、记录交给伪造应用</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第9章“分发与更新”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H-16</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更新签名密钥泄露时，现有使用者需手动重新安装</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Tauri的更新公钥嵌入在应用中</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把更新签名密钥放在不联网的运营者电脑上，持有纸质备份。在构建的自动化之外（第9章 DD-9-4“更新签名密钥放在CI之外，代码签名的凭据放在CI的机密中”）</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重新安装之前伪造更新的危险</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第9章“分发与更新”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H-17</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在中国大陆有时无法访问README</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github.com的可达性（I-04“从中国大陆连接GitHub”）</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从README中文节到香港镜像的直接链接（第9章 5“获取途径”）。镜像从中国大陆的可达性也不予保证</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无法到达README的使用者无法获取</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第8章“仓库与数据管理”、第9章“分发与更新”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H-18</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C2PA的验证器不把本系统的可信时间戳当作受信任的时间，而以核验时点的时间查看证书期限；超过个人根证书期限（生成后40年）的图片会被一般验证器显示为不合格</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 TSA信任列表中TSA的免费使用被说明为以C2PA合规的记录为前提，没有允许未登记使用的明文（第3章 4“可信时间戳”）</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使证书的期限与个人根证书相同，个人根证书为40年。任何图片自签名起至少20年显示为有效（第2章 DD-2-11“证书有效期的长度使任何图片自签名起20年内都显示为有效”）。RFC 3161的可信时间戳作为时刻的证据留存</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自签名起超过20年、超过个人根证书期限的图片的验证结果</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H-19</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不读取HEIC、RAW的像素；没有右键菜单</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解码的许可与实现的成熟度、3种操作系统的差异（DD-10-5“不设与操作系统的集成，以拖放代替”）</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转换的指引、拖放</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工夫增加</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第10章“界面与设计”、第11章“开发基础”</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H-20</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外观的喜好不能适合所有人；试用人数少</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喜好的问题，不先进行访谈（D-3-5“不进行访谈，根据可以使用后的指正加以改进”）</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把判定者定为1人，以能使用之后的意见修改</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出现不使用的使用者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H-21</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法律修改的反映可能滞后</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每季度的重新审视</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汇总到法务调查的L编号，能以表追溯参照的节（第12章 DD-12-1“法律的解释与出处只放在法务调查中”）</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修订后旧的指引</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H-22</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NRSD的密钥（更新、参考信息）被盗时，可能被分发伪造的更新、参考信息</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最终的信任起点</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更新签名密钥在不联网的电脑上，参考信息签名密钥在硬件令牌中。二者都在构建的自动化之外（第9章 DD-9-4“更新签名密钥放在CI之外，代码签名的凭据放在CI的机密中”、第11章 DD-11-13“更新签名密钥与参考信息签名密钥不放在CI中”）</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更换密钥之前伪造的分发</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第1章“整体结构”、第9章“分发与更新”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H-23</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没有向第三方通知授权撤销的中央机制</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不收集使用者的信息</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授权书带有期限，建议较短的期限。由主要权利人通过声明告知</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撤销后以授权书进行的输出</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主要权利人</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H-24</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转载网站的信息不在使用者之间共享</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共享需要收集使用者的信息（D-10-9“已登记转载的信息在使用者的终端汇总为一览，并提示可采取手段的选项。不在使用者之间共享（在第二阶段中处理）”）</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把自己的登记按转载网站汇总为一览。共享在第二阶段处理（D-13-3“用于通知著作者的联系方式的登记，在第二阶段的设计计划中处理”）</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其他权利人不易注意到同一转载网站</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第6章“登记与证据保全”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H-25</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对于导入前公开的照片，能出示的线索限于原图与公开的事实</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没有隐形水印、作品数据、可信时间戳</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显示持有原图的方法的指引（第2章 4.2“原图”）</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难以与抢先进行C2PA签名者区分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真正的权利人</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H-26</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获取转载页面的记录时（登记的默认），对方网站能看到使用者的IP地址</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获取是对对方服务器的请求，不设中转的服务器（第1章 DD-1-2“NRSD不设服务器，不接收使用者的信息（使用者自行发送的意见电子邮件除外）”）</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在登记之前显示，只对该次登记可以取消。取消也能以屏幕图像登记。显示可以使用VPN</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给对方所在位置的线索</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4.2“与外部的交互”、第6章“登记与证据保全”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H-27</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在没有Secret Service的Linux上，每次启动都需要口令</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内核的密钥存储在重启后消失</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以口令加密的密钥文件（age）</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易用性下降</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7.5“各操作系统的保管方式”</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H-28</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表情符号的COLRv1绘制中如有渲染部件不支持的，该字无法绘制</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绘制以自有的组件（skrifa、tiny-skia）进行（第4章 DD-4-5“文字的排版与绘制在预览和导出中使用同一Rust机制”）</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对无法绘制的字加上标记告知（第4章 6.3“表情符号”）</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部分表情符号不被绘制</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6.3“表情符号”</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H-29</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自动保存在操作停止2秒后进行，异常退出前的操作可能丢失</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若每次操作都同步写入保存，操作会变慢</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2秒的保存、5个版本的备份、异常结束后的恢复</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最后2秒的操作</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11“作业（编辑中途的状态）”</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H-30</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本应用不进行裁切，因此Instagram宽高比范围外的照片可能在发布网站被裁切</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裁切是构图的判断，在范围之外（第4章 2“可见签名的范围”）</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在导出之前告知</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可见签名可能被裁掉</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14.1“导出的预设”</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H-31</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两台机器并行使用时，合并是经由备份文件的手工操作，没有自动同步</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同步需要外部的存放处，违反不收集使用者信息的方针</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合并的规则（第8章 5.4“合并”）</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合并的工夫</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5.4“合并”</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H-32</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Intel CPU的Mac及不具备AVX2等（x86-64-v3）的CPU（2013年以前的Intel，以及2013年以后的部分Pentium、Celeron等）的电脑无法使用</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水印与自动布局使用的ONNX运行时停止了面向Intel macOS的分发，预构建的x86_64组件以x86-64-v3为下限（第11章 3.1“支持的操作系统下限”）</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在启动时确认CPU并显示不支持。在README中显示能运行的机器的条件</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部分使用者无法使用</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 3.1“支持的操作系统下限”</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H-33</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部件的未知漏洞在公开前无法防止</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因为是未知的</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依赖的方针、SBOM、漏洞的确认（第11章 5“依赖的方针”、6“物料清单与来源证明”）。公布后由NRSD发布修正的版本</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公布之前的危险</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使用者（受害）。发布修正版本的是NRSD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H-34</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使用条款变更的周知无法送达持续离线使用的使用者的应用</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从NRSD送达使用者的途径，只有使用者前来获取的参考信息与公开页面（不设服务器）</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在公开页面上于生效日的30日前之前告知，应用在下次连接时显示并要求重新同意（第12章 4.3“变更的步骤”）</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可能在不知道变更的情况下生效</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 4.3“变更的步骤”</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H-35</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使用条款的免责文字及其与软件许可证的优先关系尚未经专家确认</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NRSD不是法律的专家</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放置符合消费者合同法的书写方针与草稿（第12章 4.2“要点条款的文案（草稿）”），在公开之前由专家确认</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免责条款的一部分可能无效</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 4.2“要点条款的文案（草稿）”</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H-36</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无法安装到没有WebView2且未联网的Windows上</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Tauri的界面需要WebView2，默认的安装方式从网络获取</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Windows 10（2018年4月以后）与11作为操作系统的一部分持有WebView2（第9章 2.1“各操作系统的分发物”）</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部分企业的电脑上无法安装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2.1“各操作系统的分发物”</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H-37</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仅删除应用，记录与签名密钥会留在终端上</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macOS与Linux的分发格式没有卸载程序。默认保留记录（重新安装时可以使用）</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应用中的“清除此终端的记录”、README中删除方法的指引（第9章 2.2“卸载与终端的记录”、2.3““清除此终端的记录”的步骤”）</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在转让、废弃之前忘记清除，记录可能交到下一个持有者手中</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2.2“卸载与终端的记录”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H-38</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未启用操作系统全盘加密的终端被盗时，记录（证据、案件记录、权利人信息）可能被读取</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即使应用加密，密钥也只能放在同一终端上，失去密钥即失去证据（第8章 DD-8-7“记录的加密交给操作系统的全盘加密”）</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在首次的指引与README中建议操作系统的加密。签名密钥在操作系统的密钥存储中</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记录的泄露</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DD-8-7“记录的加密交给操作系统的全盘加密”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H-39</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参考信息的分发被阻止（冻结）时，新的窗口无法送达</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获取来源只有公开仓库与镜像</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信息包的期限与通知（第8章 3.4“参考信息包”）。继续使用手头最后的信息包</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旧窗口的指引</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3.4“参考信息包”</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H-40</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即使确认了比对线索，也无法防止使用者误对他人的照片提出申诉</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不作判定（设计计划书 D-5-3“冒充权利人者的行为（抢先签名、替换签名及反向申请）视为无法防止，提示比对的线索。不作判定”、D-5-5“本系统提供比对的手段，但不代为进行比对”）</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在申诉之前显示错误申诉的责任，要求确认线索（第7章 3.2.1“错误、虚假申诉的责任”）</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对对方的损害与使用者的赔偿责任</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3.2.1“错误、虚假申诉的责任”</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H-41</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不满足WCAG 2.2的1.4.10“重排”；放大界面文字时照片的显示区域变窄</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作为桌面应用，把窗口的最小设为1024×700像素，并具有把照片放大显示的界面</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在窗口的最小尺寸下不出现横向的滚动。文字的大小可以在5档（0.9至2.0倍）中选择（第10章 2.5“文字大小与间隔的阶段”）</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放大使用的使用者的易读性</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2.7“易读性的标准（WCAG 2.2的AA）”、12“本章声明的缺口”</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H-42</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将个人根证书放入C2PA签名的证书链（x5chain），不符合C2PA 2.4的“不宜放入”</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声明码根据个人根证书的公钥计算，因此浏览者要仅从图片计算声明码，需要个人根证书（第2章 DD-2-9“在x5chain中放入个人根证书”）</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满足规范规定的其他要件（末端证书的要件等）。［需实测］c2pa-rs与一般的验证网站显示为Valid</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部分验证器可能显示警告</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H-43</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更换声明码后（每20年的重新生成、无备份的丢失、泄露嫌疑），如声明中不保留旧码，旧作品的声明码比对就不再一致</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声明码由个人根证书的公钥生成，个人根证书每20年重新生成（第2章 DD-2-11“证书有效期的长度使任何图片自签名起20年内都显示为有效”）。声明的文字由使用者揭示，应用无法改写</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在重新生成的确认窗口中，指引在声明中把旧码作为“旧码（至某日）”保留。应用把过去的个人根证书留在终端上，能处理自己的旧输出与发给旧码的文书（第2章 3.6“过去的个人根证书”、7.2“丢失与泄露”）。可信时间戳早于重新揭示可作为线索</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在旧作品的比对中浏览者会困惑</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H-44</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CI或GitHub组织被劫持时，可能有经正确代码签名的伪造分发物被放入正式发布</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代码签名的资格放在CI的机密中，官方获取处与识别方法的显示在同一GitHub组织中（第9章 DD-9-4“更新签名密钥放在CI之外，代码签名的凭据放在CI的机密中”）</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更新电子签名在CI之外，已有使用者的更新中不会进入伪造的分发物。所有者的两步验证与多个验证手段、主分支与标签的规则、不可变的发布、把发布的机密限于发布的环境（第8章 3.5“GitHub账号与仓库的保护”、第11章 8.3“机密的处理”）。请求Artifact Signing、Apple吊销证书</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从被盗用到察觉之间新获取的使用者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新获取的使用者（受害）。应对（在公开页面上的通知、证书吊销的请求、重建）由NRSD进行</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第1章“整体结构”、第8章“仓库与数据管理”、第9章“分发与更新”、第11章“开发基础”</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H-45</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GitHub组织的所有者只有一人期间，若其失去全部认证手段与恢复手段，组织将无法恢复</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itHub不恢复失去两步验证手段与恢复手段的账号，也不进行基于身份确认的恢复（GitHub账号的恢复方针）。免费账号限每人1个（使用条款B.3），无法免费持有本人的第2个账号。付费账号在条款的措辞上并不禁止，但GitHub推荐的是“2名以上的人”，也无法防备本人无法使用的事故</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登记多个验证手段，把恢复代码以纸质放在另外的地方。在手头保存公开仓库的副本，使其能在其他地方重建。以可信的另一人为第2名所有者（第8章 DD-8-9“以GitHub组织与不可更改的发布加以保护”、3.5“GitHub账号与仓库的保护”）</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组织的名称、发布、已有URL的丧失。在更换更新与参考信息的获取来源之前的空白</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第1章“整体结构”、第8章“仓库与数据管理”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H-46</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自动布局可能避不开被摄主体</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显著区域的推定是模型的推定，会出错</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按照片的调整与“需要调整”的标记（第4章 7.2“自动布局”、12.2“照片的状态”）</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在遗漏的照片上可见签名与被摄者重叠</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第4章“图片编辑与批量套用”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H-47</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内置与导入的任何字体中都没有的字无法绘制</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不使用操作系统的字体（第4章 DD-4-6“文字只用内置与导入的字体绘制，不使用操作系统的字体”）</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对缺字加上标记，在导出之前显示一览。不以方框的状态导出（第4章 3.4“缺字”）</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无法绘制使用这些字的名字、文字</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第4章“图片编辑与批量套用”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H-48</w:t>
            </w:r>
          </w:p>
        </w:tc>
        <w:tc>
          <w:tcPr>
            <w:tcW w:type="dxa" w:w="15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在Linux上，预览照片的颜色不反映屏幕的色彩设置</w:t>
            </w:r>
          </w:p>
        </w:tc>
        <w:tc>
          <w:tcPr>
            <w:tcW w:type="dxa" w:w="2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Linux的界面组件（WebKitGTK）原样输出sRGB，不查看显示器的颜色设置（WebKit缺陷177185修正的记录）</w:t>
            </w:r>
          </w:p>
        </w:tc>
        <w:tc>
          <w:tcPr>
            <w:tcW w:type="dxa" w:w="1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预览在Rust中转换为sRGB后发送，在sRGB的显示器上看起来正确（第4章 9.4“预览”）。导出的颜色由绘制组件决定，不受预览显示差异的影响</w:t>
            </w:r>
          </w:p>
        </w:tc>
        <w:tc>
          <w:tcPr>
            <w:tcW w:type="dxa" w:w="13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在广色域显示器上对颜色的判断</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第4章“图片编辑与批量套用”、第11章“开发基础”</w:t>
            </w:r>
          </w:p>
        </w:tc>
      </w:tr>
    </w:tbl>
    <w:p>
      <w:pPr>
        <w:spacing w:after="100" w:before="0"/>
      </w:pPr>
    </w:p>
    <w:p>
      <w:pPr>
        <w:pStyle w:val="Heading2"/>
      </w:pPr>
      <w:r>
        <w:rPr>
          <w:rFonts w:ascii="Microsoft YaHei" w:eastAsia="Microsoft YaHei" w:hAnsi="Microsoft YaHei"/>
        </w:rPr>
        <w:t xml:space="preserve">4.2 前提（概要设计书“前提”）崩溃时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1"/>
        <w:gridCol w:w="1030"/>
        <w:gridCol w:w="5447"/>
      </w:tblGrid>
      <w:tr>
        <w:trPr>
          <w:cantSplit/>
          <w:tblHeader/>
        </w:trPr>
        <w:tc>
          <w:tcPr>
            <w:tcW w:type="dxa" w:w="31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前提</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崩溃时</w:t>
            </w:r>
          </w:p>
        </w:tc>
        <w:tc>
          <w:tcPr>
            <w:tcW w:type="dxa" w:w="54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处理</w:t>
            </w:r>
          </w:p>
        </w:tc>
      </w:tr>
      <w:tr>
        <w:trPr>
          <w:cantSplit/>
          <w:tblHeader w:val="off"/>
        </w:trPr>
        <w:tc>
          <w:tcPr>
            <w:tcW w:type="dxa" w:w="3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交付、可见签名、与摄影者的权利关系由Cosplayer本人掌握（D-3-4“以交付、可见签名及与摄影师的权利关系由Coser本人掌握为前提构建”）</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摄影者与Cosplayer之间没有权利的合意</w:t>
            </w:r>
          </w:p>
        </w:tc>
        <w:tc>
          <w:tcPr>
            <w:tcW w:type="dxa" w:w="5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共同权利的书面文件（第2章 5.2“共同权利（摄影者与Cosplayer）”）仅在有合意时制作。没有合意者之间的争议本系统不作判定</w:t>
            </w:r>
          </w:p>
        </w:tc>
      </w:tr>
      <w:tr>
        <w:trPr>
          <w:cantSplit/>
          <w:tblHeader w:val="off"/>
        </w:trPr>
        <w:tc>
          <w:tcPr>
            <w:tcW w:type="dxa" w:w="3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不进行访谈，以能使用之后的意见修改（D-3-5“不进行访谈，根据可以使用后的指正加以改进”）</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没有意见</w:t>
            </w:r>
          </w:p>
        </w:tc>
        <w:tc>
          <w:tcPr>
            <w:tcW w:type="dxa" w:w="5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在首次公开之前进行制作意见文字的机制（第10章 9“意见受理渠道”）与试用（第10章 2.4“判定”）</w:t>
            </w:r>
          </w:p>
        </w:tc>
      </w:tr>
      <w:tr>
        <w:trPr>
          <w:cantSplit/>
          <w:tblHeader w:val="off"/>
        </w:trPr>
        <w:tc>
          <w:tcPr>
            <w:tcW w:type="dxa" w:w="3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GitHub能使用</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GitHub无法使用</w:t>
            </w:r>
          </w:p>
        </w:tc>
        <w:tc>
          <w:tcPr>
            <w:tcW w:type="dxa" w:w="5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更新与参考信息从镜像获取。记录在终端上，因此作业不会停止（第8章 7“对GitHub的依赖”）</w:t>
            </w:r>
          </w:p>
        </w:tc>
      </w:tr>
      <w:tr>
        <w:trPr>
          <w:cantSplit/>
          <w:tblHeader w:val="off"/>
        </w:trPr>
        <w:tc>
          <w:tcPr>
            <w:tcW w:type="dxa" w:w="3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NRSD继续运营</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NRSD的运营停止</w:t>
            </w:r>
          </w:p>
        </w:tc>
        <w:tc>
          <w:tcPr>
            <w:tcW w:type="dxa" w:w="5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更新与参考信息的分发停止。记录留在终端上，C2PA签名不依赖吊销的一览因此能够验证。以条款告知结束（第12章 4.1“条款的一览”中的“服务的变更、结束”）</w:t>
            </w:r>
          </w:p>
        </w:tc>
      </w:tr>
      <w:tr>
        <w:trPr>
          <w:cantSplit/>
          <w:tblHeader w:val="off"/>
        </w:trPr>
        <w:tc>
          <w:tcPr>
            <w:tcW w:type="dxa" w:w="3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零缺口是不可能的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5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按本章4.1声明</w:t>
            </w:r>
          </w:p>
        </w:tc>
      </w:tr>
    </w:tbl>
    <w:p>
      <w:pPr>
        <w:spacing w:after="100" w:before="0"/>
      </w:pPr>
    </w:p>
    <w:p>
      <w:pPr>
        <w:pStyle w:val="Heading2"/>
      </w:pPr>
      <w:r>
        <w:rPr>
          <w:rFonts w:ascii="Microsoft YaHei" w:eastAsia="Microsoft YaHei" w:hAnsi="Microsoft YaHei"/>
        </w:rPr>
        <w:t xml:space="preserve">4.3 法务的论点</w:t>
      </w:r>
    </w:p>
    <w:p>
      <w:pPr>
        <w:pStyle w:val="ListParagraph"/>
        <w:keepNext/>
        <w:keepLines/>
        <w:numPr>
          <w:ilvl w:val="0"/>
          <w:numId w:val="2"/>
        </w:numPr>
        <w:spacing w:after="20" w:before="20" w:line="300"/>
      </w:pPr>
      <w:r>
        <w:rPr>
          <w:rFonts w:ascii="Microsoft YaHei" w:eastAsia="Microsoft YaHei" w:hAnsi="Microsoft YaHei"/>
        </w:rPr>
        <w:t xml:space="preserve">第12章 7“法务的论点（放在法务调查中，作为运营判断材料的内容）”的论点（非律师从事法律业务的整理、电子签名法的推定、为证据的复制、是否属于电信事业、关于意见电子邮件境外代表与代理人的必要与否、未成年的使用者、许可与使用条款的优先关系），设计不保证满足法律的要件，交给NRSD运营的判断。</w:t>
      </w:r>
    </w:p>
    <w:p>
      <w:pPr>
        <w:pStyle w:val="ListParagraph"/>
        <w:keepNext/>
        <w:keepLines/>
        <w:numPr>
          <w:ilvl w:val="0"/>
          <w:numId w:val="2"/>
        </w:numPr>
        <w:spacing w:after="20" w:before="20" w:line="300"/>
      </w:pPr>
      <w:r>
        <w:rPr>
          <w:rFonts w:ascii="Microsoft YaHei" w:eastAsia="Microsoft YaHei" w:hAnsi="Microsoft YaHei"/>
        </w:rPr>
        <w:t xml:space="preserve">本系统不收集使用者的信息。NRSD接收的只有使用者自己发送的意见电子邮件，其处理在隐私政策中公布（第12章 5“隐私政策”）。境外的个人信息法律（中国的个人信息保护法、GDPR等）仅就此电子邮件成为运营的论点。</w:t>
      </w:r>
    </w:p>
    <w:p>
      <w:pPr>
        <w:pStyle w:val="ListParagraph"/>
        <w:keepNext/>
        <w:keepLines/>
        <w:numPr>
          <w:ilvl w:val="0"/>
          <w:numId w:val="2"/>
        </w:numPr>
        <w:spacing w:after="20" w:before="20" w:line="300"/>
      </w:pPr>
      <w:r>
        <w:rPr>
          <w:rFonts w:ascii="Microsoft YaHei" w:eastAsia="Microsoft YaHei" w:hAnsi="Microsoft YaHei"/>
        </w:rPr>
        <w:t xml:space="preserve">出口管制，通过只使用公开的标准密码、公开、免费分发，在日本作为不需要许可的交易、在美国作为不需要通知的内容处理，每次发布时确认（第12章 DD-12-8“只使用公开的标准密码，公开、免费分发”）。</w:t>
      </w:r>
    </w:p>
    <w:p>
      <w:pPr>
        <w:pStyle w:val="ListParagraph"/>
        <w:keepNext w:val="false"/>
        <w:keepLines/>
        <w:numPr>
          <w:ilvl w:val="0"/>
          <w:numId w:val="2"/>
        </w:numPr>
        <w:spacing w:after="20" w:before="20" w:line="300"/>
      </w:pPr>
      <w:r>
        <w:rPr>
          <w:rFonts w:ascii="Microsoft YaHei" w:eastAsia="Microsoft YaHei" w:hAnsi="Microsoft YaHei"/>
        </w:rPr>
        <w:t xml:space="preserve">权利文书的文字，经专家确认之后才分发（第12章 DD-12-10“权利文书的文字经专家确认后才分发”、设计计划书 9.5“准据法的思路（参考）”）。未经确认的国家只以全面覆盖的链接显示（第5章 4“文字的管理”）。</w:t>
      </w:r>
    </w:p>
    <w:p>
      <w:pPr>
        <w:pStyle w:val="Heading1"/>
      </w:pPr>
      <w:r>
        <w:rPr>
          <w:rFonts w:ascii="Microsoft YaHei" w:eastAsia="Microsoft YaHei" w:hAnsi="Microsoft YaHei"/>
        </w:rPr>
        <w:t xml:space="preserve">5. 实测与确认的一览</w:t>
      </w:r>
    </w:p>
    <w:p>
      <w:pPr>
        <w:pStyle w:val="ListParagraph"/>
        <w:keepNext/>
        <w:keepLines/>
        <w:numPr>
          <w:ilvl w:val="0"/>
          <w:numId w:val="2"/>
        </w:numPr>
        <w:spacing w:after="20" w:before="20" w:line="300"/>
      </w:pPr>
      <w:r>
        <w:rPr>
          <w:rFonts w:ascii="Microsoft YaHei" w:eastAsia="Microsoft YaHei" w:hAnsi="Microsoft YaHei"/>
        </w:rPr>
        <w:t xml:space="preserve">汇集了各章的［需实测］［需确认］［需估算］。此处列出的，是作为设计前提放置的值与行为中，会根据实测结果修改设计的事项。各章放置的前提值（时间、大小、比率）写在各章中，不列入本节。不是测试合格的判定。确认方法与合格的判定在测试文件中规定（本文件不写测试）。</w:t>
      </w:r>
    </w:p>
    <w:p>
      <w:pPr>
        <w:pStyle w:val="ListParagraph"/>
        <w:keepNext/>
        <w:keepLines/>
        <w:numPr>
          <w:ilvl w:val="0"/>
          <w:numId w:val="2"/>
        </w:numPr>
        <w:spacing w:after="20" w:before="20" w:line="300"/>
      </w:pPr>
      <w:r>
        <w:rPr>
          <w:rFonts w:ascii="Microsoft YaHei" w:eastAsia="Microsoft YaHei" w:hAnsi="Microsoft YaHei"/>
        </w:rPr>
        <w:t xml:space="preserve">偏离时的处理写在各章相应的节中（例：TrustMark的时间偏离前提则更换variant。第3章 5“隐形水印”）。</w:t>
      </w:r>
    </w:p>
    <w:p>
      <w:pPr>
        <w:pStyle w:val="ListParagraph"/>
        <w:keepNext w:val="false"/>
        <w:keepLines/>
        <w:numPr>
          <w:ilvl w:val="0"/>
          <w:numId w:val="2"/>
        </w:numPr>
        <w:spacing w:after="20" w:before="20" w:line="300"/>
      </w:pPr>
      <w:r>
        <w:rPr>
          <w:rFonts w:ascii="Microsoft YaHei" w:eastAsia="Microsoft YaHei" w:hAnsi="Microsoft YaHei"/>
        </w:rPr>
        <w:t xml:space="preserve">节的划分依据设计依赖该前提的时期（实现的初期、最初的构建、实现的中期、公开之前、试用）。</w:t>
      </w:r>
    </w:p>
    <w:p>
      <w:pPr>
        <w:pStyle w:val="Heading2"/>
      </w:pPr>
      <w:r>
        <w:rPr>
          <w:rFonts w:ascii="Microsoft YaHei" w:eastAsia="Microsoft YaHei" w:hAnsi="Microsoft YaHei"/>
        </w:rPr>
        <w:t xml:space="preserve">5.1 在实现的初期确认的内容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58"/>
        <w:gridCol w:w="3480"/>
      </w:tblGrid>
      <w:tr>
        <w:trPr>
          <w:cantSplit/>
          <w:tblHeader/>
        </w:trPr>
        <w:tc>
          <w:tcPr>
            <w:tcW w:type="dxa" w:w="61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事项</w:t>
            </w:r>
          </w:p>
        </w:tc>
        <w:tc>
          <w:tcPr>
            <w:tcW w:type="dxa" w:w="34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以在终端上制作的两级证书，c2pa-rs能制作C2PA签名，验证结果为“有效（签名者不在信任列表中）”</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3.5“各项目”</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在macOS的钥匙串中，同一开发者签名的应用更新后，也能不显示确认窗口而读取密钥</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7.5“各操作系统的保管方式”</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所采用的c2pa-rs版本能写入</w:t>
            </w:r>
            <w:r>
              <w:rPr>
                <w:rFonts w:ascii="Consolas" w:eastAsia="Microsoft YaHei" w:hAnsi="Consolas"/>
                <w:b w:val="false"/>
                <w:bCs w:val="false"/>
                <w:sz w:val="18"/>
                <w:szCs w:val="18"/>
              </w:rPr>
              <w:t xml:space="preserve">c2pa.watermarked.bound</w:t>
            </w:r>
            <w:r>
              <w:rPr>
                <w:rFonts w:ascii="Microsoft YaHei" w:eastAsia="Microsoft YaHei" w:hAnsi="Microsoft YaHei"/>
                <w:b w:val="false"/>
                <w:bCs w:val="false"/>
                <w:sz w:val="18"/>
                <w:szCs w:val="18"/>
              </w:rPr>
              <w:t xml:space="preserve">与</w:t>
            </w:r>
            <w:r>
              <w:rPr>
                <w:rFonts w:ascii="Consolas" w:eastAsia="Microsoft YaHei" w:hAnsi="Consolas"/>
                <w:b w:val="false"/>
                <w:bCs w:val="false"/>
                <w:sz w:val="18"/>
                <w:szCs w:val="18"/>
              </w:rPr>
              <w:t xml:space="preserve">relatedAssertions</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3.4“操作的记录”</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所采用c2pa-rs版本的操作豁免一览与验证状态编号的一览</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3.4“操作的记录”、10.2“使用者的确认”</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16位TIFF的嵌入与验证</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3.7“各格式的嵌入”</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写入XMP、EXIF之后以c2pa-rs嵌入，区段保留且验证通过（4种格式）</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3.6“文件的权利记载（IPTC的照片元数据）”</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TrustMark在CPU上的处理时间、1亿像素的时间</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14.1“规模与性能的目标”、第3章 5“隐形水印”</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pdqhash与原版参考实现的一致</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 DD-11-4“PDQ使用pdqhash”</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竖排的字形（具有竖排字形的3种同捆字体）</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3.3“竖排”</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3种操作系统绘制的一致</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3.5“绘制”</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能绘制表情符号COLRv1的全部填充</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6.3“表情符号”</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绘制1个组并显示到界面的时间</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9.4“预览”</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moxcms与lcms2颜色转换的差</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14.2“处理”</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导出的WARC能以一般的工具（pywb等）打开</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2.2.1“以WARC保存”</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Microsoft YaHei" w:hAnsi="Consolas"/>
                <w:b w:val="false"/>
                <w:bCs w:val="false"/>
                <w:sz w:val="18"/>
                <w:szCs w:val="18"/>
              </w:rPr>
              <w:t xml:space="preserve">00_RIGHTS.json</w:t>
            </w:r>
            <w:r>
              <w:rPr>
                <w:rFonts w:ascii="Microsoft YaHei" w:eastAsia="Microsoft YaHei" w:hAnsi="Microsoft YaHei"/>
                <w:b w:val="false"/>
                <w:bCs w:val="false"/>
                <w:sz w:val="18"/>
                <w:szCs w:val="18"/>
              </w:rPr>
              <w:t xml:space="preserve">形式的正确性（ODRL的验证工具）</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3.6“机器可读的许可范围（ODRL）”</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以c2pa-rs的</w:t>
            </w:r>
            <w:r>
              <w:rPr>
                <w:rFonts w:ascii="Consolas" w:eastAsia="Microsoft YaHei" w:hAnsi="Consolas"/>
                <w:b w:val="false"/>
                <w:bCs w:val="false"/>
                <w:sz w:val="18"/>
                <w:szCs w:val="18"/>
              </w:rPr>
              <w:t xml:space="preserve">rust_native_crypto</w:t>
            </w:r>
            <w:r>
              <w:rPr>
                <w:rFonts w:ascii="Microsoft YaHei" w:eastAsia="Microsoft YaHei" w:hAnsi="Microsoft YaHei"/>
                <w:b w:val="false"/>
                <w:bCs w:val="false"/>
                <w:sz w:val="18"/>
                <w:szCs w:val="18"/>
              </w:rPr>
              <w:t xml:space="preserve">，可信时间戳与证书链的验证与OpenSSL时同样运作</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 DD-11-15“c2pa-rs不引入OpenSSL”</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运营者工具能以YubiKey的PIV密钥对参考信息的目录进行电子签名</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3.4“参考信息包”、第1章 19“运营者工具”</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在CPU不支持x86-64-v3的电脑上，启动时不崩溃并能显示不支持。在ARM的Windows上以x64的转译运行</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 3.1“支持的操作系统下限”、第9章 2.1“各操作系统的分发物”</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应用的启动</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14.1“规模与性能的目标”</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在macOS库的验证下能加载ONNX运行时的动态库</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3.1“代码签名”</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在支持C2PA的相机与Lightroom的输出中，放入位置、机型、序列号的断言（涂黑对象的一览）</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3.8“素材清单的涂黑”</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c2pa-rs与TrustMark的实现所写入的软绑定值的形式</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3.1“记录的项目”</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向Adobe RGB的16位TIFF绘入的色差</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14.2“处理”</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开始实现时trustmark在crates.io上的版本（有无0.3.0以后的版本。是否需要4.4的纳入）</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 4.4“TrustMark的纳入”</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c2pa-rs与公开页面“核对声明码”页的解析器能读取notAfter在2050年以后（GeneralizedTime）的证书</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3.4“期限与输入的错误”</w:t>
            </w:r>
          </w:p>
        </w:tc>
      </w:tr>
      <w:tr>
        <w:trPr>
          <w:cantSplit/>
          <w:tblHeader w:val="off"/>
        </w:trPr>
        <w:tc>
          <w:tcPr>
            <w:tcW w:type="dxa" w:w="6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c2pa-rs能处理素材嵌套深处清单断言的涂黑</w:t>
            </w:r>
          </w:p>
        </w:tc>
        <w:tc>
          <w:tcPr>
            <w:tcW w:type="dxa" w:w="3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3.8“素材清单的涂黑”</w:t>
            </w:r>
          </w:p>
        </w:tc>
      </w:tr>
    </w:tbl>
    <w:p>
      <w:pPr>
        <w:spacing w:after="100" w:before="0"/>
      </w:pPr>
    </w:p>
    <w:p>
      <w:pPr>
        <w:pStyle w:val="Heading2"/>
      </w:pPr>
      <w:r>
        <w:rPr>
          <w:rFonts w:ascii="Microsoft YaHei" w:eastAsia="Microsoft YaHei" w:hAnsi="Microsoft YaHei"/>
        </w:rPr>
        <w:t xml:space="preserve">5.2 在最初的构建中确认的内容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3"/>
        <w:gridCol w:w="3835"/>
      </w:tblGrid>
      <w:tr>
        <w:trPr>
          <w:cantSplit/>
          <w:tblHeader/>
        </w:trPr>
        <w:tc>
          <w:tcPr>
            <w:tcW w:type="dxa" w:w="58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事项</w:t>
            </w:r>
          </w:p>
        </w:tc>
        <w:tc>
          <w:tcPr>
            <w:tcW w:type="dxa" w:w="38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5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分发物的合计大小</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第9章 2“安装”、第11章 4.3“素材”</w:t>
            </w:r>
          </w:p>
        </w:tc>
      </w:tr>
      <w:tr>
        <w:trPr>
          <w:cantSplit/>
          <w:tblHeader w:val="off"/>
        </w:trPr>
        <w:tc>
          <w:tcPr>
            <w:tcW w:type="dxa" w:w="5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在分发物中确认各组件的许可</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第11章 4.2“界面的组件”</w:t>
            </w:r>
          </w:p>
        </w:tc>
      </w:tr>
      <w:tr>
        <w:trPr>
          <w:cantSplit/>
          <w:tblHeader w:val="off"/>
        </w:trPr>
        <w:tc>
          <w:tcPr>
            <w:tcW w:type="dxa" w:w="5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同捆ONNX运行时支持的操作系统下限（macOS的</w:t>
            </w:r>
            <w:r>
              <w:rPr>
                <w:rFonts w:ascii="Consolas" w:eastAsia="Microsoft YaHei" w:hAnsi="Consolas"/>
                <w:b w:val="false"/>
                <w:bCs w:val="false"/>
                <w:sz w:val="18"/>
                <w:szCs w:val="18"/>
              </w:rPr>
              <w:t xml:space="preserve">minos</w:t>
            </w:r>
            <w:r>
              <w:rPr>
                <w:rFonts w:ascii="Microsoft YaHei" w:eastAsia="Microsoft YaHei" w:hAnsi="Microsoft YaHei"/>
                <w:b w:val="false"/>
                <w:bCs w:val="false"/>
                <w:sz w:val="18"/>
                <w:szCs w:val="18"/>
              </w:rPr>
              <w:t xml:space="preserve">）</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第11章 3.1“支持的操作系统下限”、8.2“发布时”</w:t>
            </w:r>
          </w:p>
        </w:tc>
      </w:tr>
      <w:tr>
        <w:trPr>
          <w:cantSplit/>
          <w:tblHeader w:val="off"/>
        </w:trPr>
        <w:tc>
          <w:tcPr>
            <w:tcW w:type="dxa" w:w="5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AppImage在Ubuntu 24.04的全新环境（无FUSE 2）中启动</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第9章 2.1“各操作系统的分发物”</w:t>
            </w:r>
          </w:p>
        </w:tc>
      </w:tr>
      <w:tr>
        <w:trPr>
          <w:cantSplit/>
          <w:tblHeader w:val="off"/>
        </w:trPr>
        <w:tc>
          <w:tcPr>
            <w:tcW w:type="dxa" w:w="5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在macOS上能判定从DMG直接启动，并显示移到“应用程序”</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第9章 2.1“各操作系统的分发物”</w:t>
            </w:r>
          </w:p>
        </w:tc>
      </w:tr>
      <w:tr>
        <w:trPr>
          <w:cantSplit/>
          <w:tblHeader w:val="off"/>
        </w:trPr>
        <w:tc>
          <w:tcPr>
            <w:tcW w:type="dxa" w:w="5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Linux的AppImage中同捆的共享组件的大小（预计约70MB以上）</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第9章 2.1“各操作系统的分发物”</w:t>
            </w:r>
          </w:p>
        </w:tc>
      </w:tr>
      <w:tr>
        <w:trPr>
          <w:cantSplit/>
          <w:tblHeader w:val="off"/>
        </w:trPr>
        <w:tc>
          <w:tcPr>
            <w:tcW w:type="dxa" w:w="5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macOS的WKWebView生成的数据的放置处（清除记录操作的对象）</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2.1“配置”</w:t>
            </w:r>
          </w:p>
        </w:tc>
      </w:tr>
    </w:tbl>
    <w:p>
      <w:pPr>
        <w:spacing w:after="100" w:before="0"/>
      </w:pPr>
    </w:p>
    <w:p>
      <w:pPr>
        <w:pStyle w:val="Heading2"/>
      </w:pPr>
      <w:r>
        <w:rPr>
          <w:rFonts w:ascii="Microsoft YaHei" w:eastAsia="Microsoft YaHei" w:hAnsi="Microsoft YaHei"/>
        </w:rPr>
        <w:t xml:space="preserve">5.3 在实现的中期确认的内容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33"/>
        <w:gridCol w:w="4605"/>
      </w:tblGrid>
      <w:tr>
        <w:trPr>
          <w:cantSplit/>
          <w:tblHeader/>
        </w:trPr>
        <w:tc>
          <w:tcPr>
            <w:tcW w:type="dxa" w:w="50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事项</w:t>
            </w:r>
          </w:p>
        </w:tc>
        <w:tc>
          <w:tcPr>
            <w:tcW w:type="dxa" w:w="46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500张缩小图像的生成与自动布局的时间</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第4章 7.2“自动布局”、12.4“大量的照片”</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作品1万件一览的最初显示、500张网格的滚动</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 3.4“大量一览的显示”</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包含证据的5GB备份的制作时间</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第8章 5.2“制作方法”</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500张社交平台用的导出</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14.1“规模与性能的目标”</w:t>
            </w:r>
          </w:p>
        </w:tc>
      </w:tr>
    </w:tbl>
    <w:p>
      <w:pPr>
        <w:spacing w:after="100" w:before="0"/>
      </w:pPr>
    </w:p>
    <w:p>
      <w:pPr>
        <w:pStyle w:val="Heading2"/>
      </w:pPr>
      <w:r>
        <w:rPr>
          <w:rFonts w:ascii="Microsoft YaHei" w:eastAsia="Microsoft YaHei" w:hAnsi="Microsoft YaHei"/>
        </w:rPr>
        <w:t xml:space="preserve">5.4 在发布、公开之前确认的内容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42"/>
        <w:gridCol w:w="4296"/>
      </w:tblGrid>
      <w:tr>
        <w:trPr>
          <w:cantSplit/>
          <w:tblHeader/>
        </w:trPr>
        <w:tc>
          <w:tcPr>
            <w:tcW w:type="dxa" w:w="53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事项</w:t>
            </w:r>
          </w:p>
        </w:tc>
        <w:tc>
          <w:tcPr>
            <w:tcW w:type="dxa" w:w="42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53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隐形水印的读出率</w:t>
            </w:r>
          </w:p>
        </w:tc>
        <w:tc>
          <w:tcPr>
            <w:tcW w:type="dxa" w:w="4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 5“隐形水印”</w:t>
            </w:r>
          </w:p>
        </w:tc>
      </w:tr>
      <w:tr>
        <w:trPr>
          <w:cantSplit/>
          <w:tblHeader w:val="off"/>
        </w:trPr>
        <w:tc>
          <w:tcPr>
            <w:tcW w:type="dxa" w:w="53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在Patreon的发布图片与附件、Google Drive中C2PA签名是否保留</w:t>
            </w:r>
          </w:p>
        </w:tc>
        <w:tc>
          <w:tcPr>
            <w:tcW w:type="dxa" w:w="4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 10.3“在发布网站、云端的保留”</w:t>
            </w:r>
          </w:p>
        </w:tc>
      </w:tr>
      <w:tr>
        <w:trPr>
          <w:cantSplit/>
          <w:tblHeader w:val="off"/>
        </w:trPr>
        <w:tc>
          <w:tcPr>
            <w:tcW w:type="dxa" w:w="53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各发布网站的显示尺寸与再压缩</w:t>
            </w:r>
          </w:p>
        </w:tc>
        <w:tc>
          <w:tcPr>
            <w:tcW w:type="dxa" w:w="4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第4章 14.1“导出的预设”</w:t>
            </w:r>
          </w:p>
        </w:tc>
      </w:tr>
      <w:tr>
        <w:trPr>
          <w:cantSplit/>
          <w:tblHeader w:val="off"/>
        </w:trPr>
        <w:tc>
          <w:tcPr>
            <w:tcW w:type="dxa" w:w="53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从中国大陆到镜像与README的可达</w:t>
            </w:r>
          </w:p>
        </w:tc>
        <w:tc>
          <w:tcPr>
            <w:tcW w:type="dxa" w:w="4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第8章 6.2“中国大陆”、第9章 5“获取途径”</w:t>
            </w:r>
          </w:p>
        </w:tc>
      </w:tr>
      <w:tr>
        <w:trPr>
          <w:cantSplit/>
          <w:tblHeader w:val="off"/>
        </w:trPr>
        <w:tc>
          <w:tcPr>
            <w:tcW w:type="dxa" w:w="53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微博个人资料的上限</w:t>
            </w:r>
          </w:p>
        </w:tc>
        <w:tc>
          <w:tcPr>
            <w:tcW w:type="dxa" w:w="4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第2章 2.2“揭示声明码处的上限”</w:t>
            </w:r>
          </w:p>
        </w:tc>
      </w:tr>
      <w:tr>
        <w:trPr>
          <w:cantSplit/>
          <w:tblHeader w:val="off"/>
        </w:trPr>
        <w:tc>
          <w:tcPr>
            <w:tcW w:type="dxa" w:w="53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pixiv的《信息流通平台应对法》申请窗口（在指定后3个月以内申报之后，以总务省的一览确认）</w:t>
            </w:r>
          </w:p>
        </w:tc>
        <w:tc>
          <w:tcPr>
            <w:tcW w:type="dxa" w:w="4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2.1“初版窗口的一览（参考信息的初始内容）”</w:t>
            </w:r>
          </w:p>
        </w:tc>
      </w:tr>
    </w:tbl>
    <w:p>
      <w:pPr>
        <w:spacing w:after="100" w:before="0"/>
      </w:pPr>
    </w:p>
    <w:p>
      <w:pPr>
        <w:pStyle w:val="Heading2"/>
      </w:pPr>
      <w:r>
        <w:rPr>
          <w:rFonts w:ascii="Microsoft YaHei" w:eastAsia="Microsoft YaHei" w:hAnsi="Microsoft YaHei"/>
        </w:rPr>
        <w:t xml:space="preserve">5.5 在使用者试用（预览版）中确认的内容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10"/>
        <w:gridCol w:w="3728"/>
      </w:tblGrid>
      <w:tr>
        <w:trPr>
          <w:cantSplit/>
          <w:tblHeader/>
        </w:trPr>
        <w:tc>
          <w:tcPr>
            <w:tcW w:type="dxa" w:w="59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事项</w:t>
            </w:r>
          </w:p>
        </w:tc>
        <w:tc>
          <w:tcPr>
            <w:tcW w:type="dxa" w:w="37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5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自动布局的命中率</w:t>
            </w:r>
          </w:p>
        </w:tc>
        <w:tc>
          <w:tcPr>
            <w:tcW w:type="dxa" w:w="37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第4章 7.2“自动布局”</w:t>
            </w:r>
          </w:p>
        </w:tc>
      </w:tr>
      <w:tr>
        <w:trPr>
          <w:cantSplit/>
          <w:tblHeader w:val="off"/>
        </w:trPr>
        <w:tc>
          <w:tcPr>
            <w:tcW w:type="dxa" w:w="5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易懂性（首次的输入、许可范围、导出与登记）</w:t>
            </w:r>
          </w:p>
        </w:tc>
        <w:tc>
          <w:tcPr>
            <w:tcW w:type="dxa" w:w="37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2.4“判定”</w:t>
            </w:r>
          </w:p>
        </w:tc>
      </w:tr>
    </w:tbl>
    <w:p>
      <w:pPr>
        <w:spacing w:after="100" w:before="0"/>
      </w:pPr>
    </w:p>
    <w:p>
      <w:pPr>
        <w:pStyle w:val="Heading2"/>
      </w:pPr>
      <w:r>
        <w:rPr>
          <w:rFonts w:ascii="Microsoft YaHei" w:eastAsia="Microsoft YaHei" w:hAnsi="Microsoft YaHei"/>
        </w:rPr>
        <w:t xml:space="preserve">5.6 估算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60"/>
        <w:gridCol w:w="4778"/>
      </w:tblGrid>
      <w:tr>
        <w:trPr>
          <w:cantSplit/>
          <w:tblHeader/>
        </w:trPr>
        <w:tc>
          <w:tcPr>
            <w:tcW w:type="dxa" w:w="48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事项</w:t>
            </w:r>
          </w:p>
        </w:tc>
        <w:tc>
          <w:tcPr>
            <w:tcW w:type="dxa" w:w="47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4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香港镜像的费用（阿里云OSS香港地域的单价。公式见第8章 6.3“镜像费用的估算”）</w:t>
            </w:r>
          </w:p>
        </w:tc>
        <w:tc>
          <w:tcPr>
            <w:tcW w:type="dxa" w:w="47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 18.2“运营费用（公开初期的参考值。2026年9月调查）”、第8章 6.3“镜像费用的估算”</w:t>
            </w:r>
          </w:p>
        </w:tc>
      </w:tr>
      <w:tr>
        <w:trPr>
          <w:cantSplit/>
          <w:tblHeader w:val="off"/>
        </w:trPr>
        <w:tc>
          <w:tcPr>
            <w:tcW w:type="dxa" w:w="4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权利文书文字的专家确认的费用</w:t>
            </w:r>
          </w:p>
        </w:tc>
        <w:tc>
          <w:tcPr>
            <w:tcW w:type="dxa" w:w="47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 18.2“运营费用（公开初期的参考值。2026年9月调查）”</w:t>
            </w:r>
          </w:p>
        </w:tc>
      </w:tr>
      <w:tr>
        <w:trPr>
          <w:cantSplit/>
          <w:tblHeader w:val="off"/>
        </w:trPr>
        <w:tc>
          <w:tcPr>
            <w:tcW w:type="dxa" w:w="4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证据用收费可信时间戳面向个人的提供与费用</w:t>
            </w:r>
          </w:p>
        </w:tc>
        <w:tc>
          <w:tcPr>
            <w:tcW w:type="dxa" w:w="47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第6章 3.2“可信时间戳”</w:t>
            </w:r>
          </w:p>
        </w:tc>
      </w:tr>
      <w:tr>
        <w:trPr>
          <w:cantSplit/>
          <w:tblHeader w:val="off"/>
        </w:trPr>
        <w:tc>
          <w:tcPr>
            <w:tcW w:type="dxa" w:w="48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准备用于发布确认的下限操作系统的虚拟机</w:t>
            </w:r>
          </w:p>
        </w:tc>
        <w:tc>
          <w:tcPr>
            <w:tcW w:type="dxa" w:w="47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6.1“步骤”</w:t>
            </w:r>
          </w:p>
        </w:tc>
      </w:tr>
    </w:tbl>
    <w:p>
      <w:pPr>
        <w:spacing w:after="100" w:before="0"/>
      </w:pPr>
    </w:p>
    <w:p>
      <w:pPr>
        <w:pStyle w:val="Heading1"/>
      </w:pPr>
      <w:r>
        <w:rPr>
          <w:rFonts w:ascii="Microsoft YaHei" w:eastAsia="Microsoft YaHei" w:hAnsi="Microsoft YaHei"/>
        </w:rPr>
        <w:t xml:space="preserve">6. 由NRSD确认并决定的事项【NRSD确认】</w:t>
      </w:r>
    </w:p>
    <w:p>
      <w:pPr>
        <w:pStyle w:val="ListParagraph"/>
        <w:keepNext w:val="false"/>
        <w:keepLines/>
        <w:numPr>
          <w:ilvl w:val="0"/>
          <w:numId w:val="2"/>
        </w:numPr>
        <w:spacing w:after="20" w:before="20" w:line="300"/>
      </w:pPr>
      <w:r>
        <w:rPr>
          <w:rFonts w:ascii="Microsoft YaHei" w:eastAsia="Microsoft YaHei" w:hAnsi="Microsoft YaHei"/>
        </w:rPr>
        <w:t xml:space="preserve">无（2026-09-30时点）。NRSD的开发与运营的体制已在第1章 3“约束”中确定（负责开发者1人，不委托）。</w:t>
      </w:r>
    </w:p>
    <w:p>
      <w:pPr>
        <w:pStyle w:val="Heading1"/>
      </w:pPr>
      <w:r>
        <w:rPr>
          <w:rFonts w:ascii="Microsoft YaHei" w:eastAsia="Microsoft YaHei" w:hAnsi="Microsoft YaHei"/>
        </w:rPr>
        <w:t xml:space="preserve">7. 对概要设计书的订正</w:t>
      </w:r>
    </w:p>
    <w:p>
      <w:pPr>
        <w:pStyle w:val="ListParagraph"/>
        <w:keepNext/>
        <w:keepLines/>
        <w:numPr>
          <w:ilvl w:val="0"/>
          <w:numId w:val="2"/>
        </w:numPr>
        <w:spacing w:after="20" w:before="20" w:line="300"/>
      </w:pPr>
      <w:r>
        <w:rPr>
          <w:rFonts w:ascii="Microsoft YaHei" w:eastAsia="Microsoft YaHei" w:hAnsi="Microsoft YaHei"/>
        </w:rPr>
        <w:t xml:space="preserve">使概要设计书 13-4“缺口的声明”的缺口表，与本章 4.1“机制的缺口”的表（H-1“冒充权利人者抢先C2PA签名、替换签名、反向申诉无法防止”至H-48“在Linux上，预览照片的颜色不反映屏幕的色彩设置”）一致。</w:t>
      </w:r>
    </w:p>
    <w:p>
      <w:pPr>
        <w:pStyle w:val="ListParagraph"/>
        <w:keepNext w:val="false"/>
        <w:keepLines/>
        <w:numPr>
          <w:ilvl w:val="0"/>
          <w:numId w:val="2"/>
        </w:numPr>
        <w:spacing w:after="20" w:before="20" w:line="300"/>
      </w:pPr>
      <w:r>
        <w:rPr>
          <w:rFonts w:ascii="Microsoft YaHei" w:eastAsia="Microsoft YaHei" w:hAnsi="Microsoft YaHei"/>
        </w:rPr>
        <w:t xml:space="preserve">概要设计书的要求为150项（加入了第4章的R-4-1-5“能把元素作为图层叠放，处理叠放顺序、显示、锁定、不透明度”、R-4-4-3“编辑中途的状态自动保存，之后能从中途继续”）。</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基本设计书 第13章 设计的验证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基本设计书 第13章 设计的验证</dc:title>
  <dc:creator>石川宗</dc:creator>
  <cp:lastModifiedBy>Un-named</cp:lastModifiedBy>
  <cp:revision>1</cp:revision>
  <dcterms:created xsi:type="dcterms:W3CDTF">2026-09-29T23:30:45.024Z</dcterms:created>
  <dcterms:modified xsi:type="dcterms:W3CDTF">2026-09-29T23:30:45.024Z</dcterms:modified>
</cp:coreProperties>
</file>

<file path=docProps/custom.xml><?xml version="1.0" encoding="utf-8"?>
<Properties xmlns="http://schemas.openxmlformats.org/officeDocument/2006/custom-properties" xmlns:vt="http://schemas.openxmlformats.org/officeDocument/2006/docPropsVTypes"/>
</file>