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6: Registration and Evidence Preservation</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Registration</w:t>
      </w:r>
    </w:p>
    <w:p>
      <w:pPr>
        <w:spacing w:after="40" w:before="40"/>
        <w:ind w:left="240"/>
      </w:pPr>
      <w:r>
        <w:rPr>
          <w:rFonts w:ascii="Calibri" w:cs="Calibri" w:eastAsia="Calibri" w:hAnsi="Calibri"/>
          <w:sz w:val="22"/>
          <w:szCs w:val="22"/>
        </w:rPr>
        <w:t xml:space="preserve">3. Evidence Preservation</w:t>
      </w:r>
    </w:p>
    <w:p>
      <w:pPr>
        <w:spacing w:after="40" w:before="40"/>
        <w:ind w:left="240"/>
      </w:pPr>
      <w:r>
        <w:rPr>
          <w:rFonts w:ascii="Calibri" w:cs="Calibri" w:eastAsia="Calibri" w:hAnsi="Calibri"/>
          <w:sz w:val="22"/>
          <w:szCs w:val="22"/>
        </w:rPr>
        <w:t xml:space="preserve">4. Matching</w:t>
      </w:r>
    </w:p>
    <w:p>
      <w:pPr>
        <w:spacing w:after="40" w:before="40"/>
        <w:ind w:left="240"/>
      </w:pPr>
      <w:r>
        <w:rPr>
          <w:rFonts w:ascii="Calibri" w:cs="Calibri" w:eastAsia="Calibri" w:hAnsi="Calibri"/>
          <w:sz w:val="22"/>
          <w:szCs w:val="22"/>
        </w:rPr>
        <w:t xml:space="preserve">5. Who and Where (④)</w:t>
      </w:r>
    </w:p>
    <w:p>
      <w:pPr>
        <w:spacing w:after="40" w:before="40"/>
        <w:ind w:left="240"/>
      </w:pPr>
      <w:r>
        <w:rPr>
          <w:rFonts w:ascii="Calibri" w:cs="Calibri" w:eastAsia="Calibri" w:hAnsi="Calibri"/>
          <w:sz w:val="22"/>
          <w:szCs w:val="22"/>
        </w:rPr>
        <w:t xml:space="preserve">6. Status Checking</w:t>
      </w:r>
    </w:p>
    <w:p>
      <w:pPr>
        <w:spacing w:after="40" w:before="40"/>
        <w:ind w:left="240"/>
      </w:pPr>
      <w:r>
        <w:rPr>
          <w:rFonts w:ascii="Calibri" w:cs="Calibri" w:eastAsia="Calibri" w:hAnsi="Calibri"/>
          <w:sz w:val="22"/>
          <w:szCs w:val="22"/>
        </w:rPr>
        <w:t xml:space="preserve">7. Corrections</w:t>
      </w:r>
    </w:p>
    <w:p>
      <w:pPr>
        <w:spacing w:after="40" w:before="40"/>
        <w:ind w:left="240"/>
      </w:pPr>
      <w:r>
        <w:rPr>
          <w:rFonts w:ascii="Calibri" w:cs="Calibri" w:eastAsia="Calibri" w:hAnsi="Calibri"/>
          <w:sz w:val="22"/>
          <w:szCs w:val="22"/>
        </w:rPr>
        <w:t xml:space="preserve">8. List and Means</w:t>
      </w:r>
    </w:p>
    <w:p>
      <w:pPr>
        <w:spacing w:after="40" w:before="40"/>
        <w:ind w:left="240"/>
      </w:pPr>
      <w:r>
        <w:rPr>
          <w:rFonts w:ascii="Calibri" w:cs="Calibri" w:eastAsia="Calibri" w:hAnsi="Calibri"/>
          <w:sz w:val="22"/>
          <w:szCs w:val="22"/>
        </w:rPr>
        <w:t xml:space="preserve">9. Mapping to Requirements</w:t>
      </w:r>
    </w:p>
    <w:p>
      <w:pPr>
        <w:spacing w:after="40" w:before="40"/>
        <w:ind w:left="240"/>
      </w:pPr>
      <w:r>
        <w:rPr>
          <w:rFonts w:ascii="Calibri" w:cs="Calibri" w:eastAsia="Calibri" w:hAnsi="Calibri"/>
          <w:sz w:val="22"/>
          <w:szCs w:val="22"/>
        </w:rPr>
        <w:t xml:space="preserve">10. Gaps Declared in This Chapter</w:t>
      </w:r>
    </w:p>
    <w:p>
      <w:pPr>
        <w:spacing w:after="40" w:before="40"/>
        <w:ind w:left="240"/>
      </w:pPr>
      <w:r>
        <w:rPr>
          <w:rFonts w:ascii="Calibri" w:cs="Calibri" w:eastAsia="Calibri" w:hAnsi="Calibri"/>
          <w:sz w:val="22"/>
          <w:szCs w:val="22"/>
        </w:rPr>
        <w:t xml:space="preserve">11. Corrections to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6 of the Outline Design Document. Goes back and forth with Chapter 8 “Repository and Data Management” on capacity and storage location (Chapters 6 and 8 depend on each other).</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1220"/>
        <w:gridCol w:w="7408"/>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12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74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D-9-2</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chosen at the time of sale is the criterion for judging what a repost infringes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D-10-1</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 of reposts by Users themselves is included within the scope of this document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D-10-2</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 is done from the Client App with a single button, and evidence is preserved at the same time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D-10-3</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Pages requiring login are obtained by the User personally logging in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D-10-4</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Input fields indicating evidence that should be kept are provided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D-10-5</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specific items to be obtained are decided in the design document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D-10-6</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judgment on matching and the responsibility for Registration are borne by the User who registered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D-10-7</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Evidence is stored on the User’s device and not published. The System does not collect evidence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D-10-8</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status of registered reposts can always be seen in the Client App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D-10-9</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Information on registered reposts is listed on the User’s device, and the options for action are presented. No sharing among Users takes place (dealt with in Phase 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D-13-2</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Registration mechanism shall be designed so as to leave room to accept Registration from automated detection later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D-9-7</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Decision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location of the server is taken to be ascertainable by investigation; if it cannot be ascertained, action is abandoned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O-06</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Deleted in Edition 2</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Sharing information on reposting sites (not shared among Users; D-10-9“Information on registered reposts is listed on the User’s device, and the options for action are presented. No sharing among Users takes place (dealt with in Phase 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A-4</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Correcting wrong Registrations and relieving the impersonated true Rights Holder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A-5</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Content of status checking (automatically visiting URLs would touch the boundary with Phase 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A-20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74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Safety when fetching repost pages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references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9"/>
        <w:gridCol w:w="3629"/>
      </w:tblGrid>
      <w:tr>
        <w:trPr>
          <w:cantSplit/>
          <w:tblHeader/>
        </w:trPr>
        <w:tc>
          <w:tcPr>
            <w:tcW w:type="dxa" w:w="600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Reference</w:t>
            </w:r>
          </w:p>
        </w:tc>
        <w:tc>
          <w:tcPr>
            <w:tcW w:type="dxa" w:w="36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referred to</w:t>
            </w:r>
          </w:p>
        </w:tc>
      </w:tr>
      <w:tr>
        <w:trPr>
          <w:cantSplit/>
          <w:tblHeader w:val="off"/>
        </w:trPr>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 “Overall Architecture”</w:t>
            </w:r>
          </w:p>
        </w:tc>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 numbers, trust boundaries, threats (complaining about a true Rights Holder's post as a repost; touching malicious code when fetching a reposted page)</w:t>
            </w:r>
          </w:p>
        </w:tc>
      </w:tr>
      <w:tr>
        <w:trPr>
          <w:cantSplit/>
          <w:tblHeader w:val="off"/>
        </w:trPr>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“Signing Information and Matching”</w:t>
            </w:r>
          </w:p>
        </w:tc>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Matching clues</w:t>
            </w:r>
          </w:p>
        </w:tc>
      </w:tr>
      <w:tr>
        <w:trPr>
          <w:cantSplit/>
          <w:tblHeader w:val="off"/>
        </w:trPr>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“Signing”</w:t>
            </w:r>
          </w:p>
        </w:tc>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Watermark, PDQ, work data</w:t>
            </w:r>
          </w:p>
        </w:tc>
      </w:tr>
      <w:tr>
        <w:trPr>
          <w:cantSplit/>
          <w:tblHeader w:val="off"/>
        </w:trPr>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5 “Rights Documents”</w:t>
            </w:r>
          </w:p>
        </w:tc>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Permitted Scope</w:t>
            </w:r>
          </w:p>
        </w:tc>
      </w:tr>
      <w:tr>
        <w:trPr>
          <w:cantSplit/>
          <w:tblHeader w:val="off"/>
        </w:trPr>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“Repository and Data Management”</w:t>
            </w:r>
          </w:p>
        </w:tc>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Device data, export</w:t>
            </w:r>
          </w:p>
        </w:tc>
      </w:tr>
      <w:tr>
        <w:trPr>
          <w:cantSplit/>
          <w:tblHeader w:val="off"/>
        </w:trPr>
        <w:tc>
          <w:tcPr>
            <w:tcW w:type="dxa" w:w="600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Legal Research L-7“Takedown request procedures (Japan)” to L-9“Takedown request procedures (US)”, L-15“Treatment of timestamps as evidence (China)”, L-16“The timestamp system (Japan)”, L-20“Limitation periods for damages claims (Japan, China, US)”, L-21“Copying for evidence (Japan, China, US)”</w:t>
            </w:r>
          </w:p>
        </w:tc>
        <w:tc>
          <w:tcPr>
            <w:tcW w:type="dxa" w:w="36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Procedures for takedown requests, treatment of timestamps, periods for claims, copying for evidence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decisions received follow Design Plan Edition 2 (D-10-7“Evidence is stored on the User’s device and not published. The System does not collect evidence”: evidence is stored on the User's device and the System does not collect it. D-10-9“Information on registered reposts is listed on the User’s device, and the options for action are presented. No sharing among Users takes place (dealt with in Phase 2)”: registered reposts are listed on the device with options for action, and are not shared among Users).</w:t>
      </w: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378"/>
        <w:gridCol w:w="3411"/>
        <w:gridCol w:w="1839"/>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3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4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18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DD-6-1</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app takes in reposted pages only by “fetching without running scripts” (the HTTP response is saved as is and not rendered on screen). For a record of how the page looks, the User takes a screenshot in their own browser and imports it</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device is not exposed to scripts and vulnerabilities of malicious sites (T-9“Touching malicious content when fetching repost pages”, A-20“Safety when fetching repost pages”). For pages requiring login, only what the User saw can be kept (D-10-3“Pages requiring login are obtained by the User personally logging in”)</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Rendering pages in a browser built into the app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DD-6-2</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Status checking is updated only by the User's operation (the “Check current status” button); the app does not visit URLs automatically on a schedule</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Scheduled automatic crawling belongs to Phase 2 (automated detection of license violations) (A-5“Content of status checking (automatically visiting URLs would touch the boundary with Phase 2)”, D-13-1“Phase 2 shall be a separate design plan”)</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Scheduled checking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DD-6-3</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 RFC 3161 timestamp is attached to the evidence package (the list of hashes of what was obtained). By default a free TSA; if the User chooses, a Japanese accredited provider or Chinese trusted timestamp (paid) can also be attached</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Section 7 of the Draft Project Proposal (git dates have no probative value). Trusted timestamp evidence is widely used in Chinese courts (L-15“Treatment of timestamps as evidence (China)”)</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Always using a paid TSA (cost)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DD-6-4</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Registered reposts are listed on the device, grouped by reposting site (domain), with their subsequent status and options for action (Chapter 7 “Legal Action Guidance”). They are not shared with other Users</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D-10-9“Information on registered reposts is listed on the User’s device, and the options for action are presented. No sharing among Users takes place (dealt with in Phase 2)”. Lightens the burden on the finder of tracking the outcome alone (Design Plan 10.6 “Sharing the Burden”)</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Sharing reposting sites among Users (Edition 1; would mean collecting Users' information)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DD-6-5</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Case records are append-only; corrections and withdrawals are also appended as new status records (the evidence files of a withdrawn case are deleted, and the record of withdrawal is kept; 7)</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Prevents tampering and shows the history. To show the chain of evidence handling later (Berkeley Protocol paragraph 167), records must be accumulated without rewriting. Records are given a record signature with the User's key (Chapter 1, DD-1-5“Device records carry record signatures and are verified”)</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Overwriting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DD-6-6</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each registration, a “collection record” (who collected, when, with which tool and version, by which procedure, and the device clock offset) is kept in the case record. Its form follows Annex IV “Online data collection form” of the Berkeley Protocol of the UN Office of the High Commissioner for Human Rights and the University of California, Berkeley</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origin of evidence and its chain of custody can be shown later. The Berkeley Protocol calls for recording the collector, the collection device, the time, and hashes (paragraphs 155 and 167)</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keeping a collection record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DD-6-7</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Responses of pages fetched by the app are saved in WARC (ISO 28500:2017), the international standard for web records. The HTML source goes inside the WARC</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Can save including the control information of requests and responses (headers, etc.); it is the form widely used by web archiving institutions, and experts can open it with common tools</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Saving HTML and headers separately in a custom form (first draft)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DD-6-8</w:t>
            </w:r>
          </w:p>
        </w:tc>
        <w:tc>
          <w:tcPr>
            <w:tcW w:type="dxa" w:w="33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Requests for fetching reposted pages do not identify the System. The request headers (User-Agent, etc.) are aligned with the values of the OS's default browser screen component (WebView) on that device, and all headers sent are kept in the WARC request record</w:t>
            </w:r>
          </w:p>
        </w:tc>
        <w:tc>
          <w:tcPr>
            <w:tcW w:type="dxa" w:w="34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 fetch request tells the Reposter that evidence is being collected, the repost may be deleted or rewritten. The Berkeley Protocol (paragraphs 99 to 102) mentions concealing the investigator's identity (the principles of anonymity and non-attribution), that leaks of browser information can alert the subject, and changing headers that reveal user information (user agent, etc.). Headers sent are recorded so the conditions of fetching can be shown later</w:t>
            </w:r>
          </w:p>
        </w:tc>
        <w:tc>
          <w:tcPr>
            <w:tcW w:type="dxa" w:w="18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Identifying the System's name and version (would alert the Reposter)</w:t>
            </w:r>
          </w:p>
        </w:tc>
      </w:tr>
    </w:tbl>
    <w:p>
      <w:pPr>
        <w:spacing w:after="100" w:before="0"/>
      </w:pPr>
    </w:p>
    <w:p>
      <w:pPr>
        <w:pStyle w:val="Heading1"/>
      </w:pPr>
      <w:r>
        <w:rPr>
          <w:rFonts w:ascii="Calibri" w:eastAsia="Yu Gothic" w:hAnsi="Calibri"/>
        </w:rPr>
        <w:t xml:space="preserve">2. Registration</w:t>
      </w:r>
    </w:p>
    <w:p>
      <w:pPr>
        <w:pStyle w:val="Heading2"/>
      </w:pPr>
      <w:r>
        <w:rPr>
          <w:rFonts w:ascii="Calibri" w:eastAsia="Yu Gothic" w:hAnsi="Calibri"/>
        </w:rPr>
        <w:t xml:space="preserve">2.1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4435"/>
        <w:gridCol w:w="4443"/>
      </w:tblGrid>
      <w:tr>
        <w:trPr>
          <w:cantSplit/>
          <w:tblHeader/>
        </w:trPr>
        <w:tc>
          <w:tcPr>
            <w:tcW w:type="dxa" w:w="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44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User</w:t>
            </w:r>
          </w:p>
        </w:tc>
        <w:tc>
          <w:tcPr>
            <w:tcW w:type="dxa" w:w="44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App</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w:t>
            </w:r>
          </w:p>
        </w:tc>
        <w:tc>
          <w:tcPr>
            <w:tcW w:type="dxa" w:w="4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Press “Register a repost” and paste the URL of the reposted page</w:t>
            </w:r>
          </w:p>
        </w:tc>
        <w:tc>
          <w:tcPr>
            <w:tcW w:type="dxa" w:w="4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Normalize the URL and determine the platform (the list for determination is the same as the list of contact points in the reference information (Chapter 7, 2.1 “List of contact points in the first edition (initial content of the reference information)”); anything else is a general site). If the same domain or URL is already in the User's list on the device, the User is told</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w:t>
            </w:r>
          </w:p>
        </w:tc>
        <w:tc>
          <w:tcPr>
            <w:tcW w:type="dxa" w:w="4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Specify the reposted image as a file saved from the User's own browser, or by the image URL (optional)</w:t>
            </w:r>
          </w:p>
        </w:tc>
        <w:tc>
          <w:tcPr>
            <w:tcW w:type="dxa" w:w="4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 the image, read the watermark and compute PDQ, and match against the User's own work data (4)</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w:t>
            </w:r>
          </w:p>
        </w:tc>
        <w:tc>
          <w:tcPr>
            <w:tcW w:type="dxa" w:w="4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Take a screenshot of the page in the User's own browser and put in the image (required for pages requiring login; recommended otherwise)</w:t>
            </w:r>
          </w:p>
        </w:tc>
        <w:tc>
          <w:tcPr>
            <w:tcW w:type="dxa" w:w="4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Compute the hash of the screenshot</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4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(Done by default) Take a record of the page. When the URL of step 1 is entered, “A record of the page is taken together with registration. The other site can see this PC's IP address” is shown, with the option “Do not take it for this registration” (the default is to take it)</w:t>
            </w:r>
          </w:p>
        </w:tc>
        <w:tc>
          <w:tcPr>
            <w:tcW w:type="dxa" w:w="4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When step 6 is pressed, save the page's HTML and main images by fetching without running scripts (2.2) (except when “Do not take” was chosen)</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w:t>
            </w:r>
          </w:p>
        </w:tc>
        <w:tc>
          <w:tcPr>
            <w:tcW w:type="dxa" w:w="4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(Optional) Fill in the input fields for evidence that should be kept (2.3)</w:t>
            </w:r>
          </w:p>
        </w:tc>
        <w:tc>
          <w:tcPr>
            <w:tcW w:type="dxa" w:w="4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w:t>
            </w:r>
          </w:p>
        </w:tc>
        <w:tc>
          <w:tcPr>
            <w:tcW w:type="dxa" w:w="44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Press “Register” (one button)</w:t>
            </w:r>
          </w:p>
        </w:tc>
        <w:tc>
          <w:tcPr>
            <w:tcW w:type="dxa" w:w="44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Preserve evidence (3), then create the case record with a record signature, then save on the device, then the timestamp (attached later if there is no connection; the timestamp response is not added to the case record but added as a separate appended record </w:t>
            </w:r>
            <w:r>
              <w:rPr>
                <w:rFonts w:ascii="Consolas" w:eastAsia="Yu Gothic" w:hAnsi="Consolas"/>
                <w:b w:val="false"/>
                <w:bCs w:val="false"/>
                <w:sz w:val="18"/>
                <w:szCs w:val="18"/>
              </w:rPr>
              <w:t xml:space="preserve">status/&lt;serial&gt;.json</w:t>
            </w:r>
            <w:r>
              <w:rPr>
                <w:rFonts w:ascii="Calibri" w:eastAsia="Yu Gothic" w:hAnsi="Calibri"/>
                <w:b w:val="false"/>
                <w:bCs w:val="false"/>
                <w:sz w:val="18"/>
                <w:szCs w:val="18"/>
              </w:rPr>
              <w:t xml:space="preserve">; 3.2) (Chapter 1, 7 “Runtime Scenarios”)</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One button (R-6-1-1“Registration can be done with one button”): registration is possible with only the URL and step 6, and the record of the reposted page (step 4) is also taken by default. Design Plan 10.2 says “Evidence is preserved at the same time as registration. Users do not need to know what is needed as evidence”, and 10.3 calls for keeping the record of “when and where it was published (②)” at the time of registration, so the page record does not depend on the User's operation. Steps 2, 3, and 5 are optional additions; if omitted, it is shown that the evidence will be less.</w:t>
      </w:r>
    </w:p>
    <w:p>
      <w:pPr>
        <w:pStyle w:val="ListParagraph"/>
        <w:keepNext/>
        <w:keepLines/>
        <w:numPr>
          <w:ilvl w:val="0"/>
          <w:numId w:val="2"/>
        </w:numPr>
        <w:spacing w:after="20" w:before="20" w:line="300"/>
      </w:pPr>
      <w:r>
        <w:rPr>
          <w:rFonts w:ascii="Calibri" w:eastAsia="Yu Gothic" w:hAnsi="Calibri"/>
        </w:rPr>
        <w:t xml:space="preserve">Balancing the IP address: fetching lets the other site see the User's IP address (Chapter 13, H-26“Taking a record of the repost page (the Registration default) shows the User's IP address to the other site”). It is taken by default, this visibility is shown before registration, and it can be turned off for that registration only. Registrations with it turned off are marked “no page record (② only by screenshot)”.</w:t>
      </w:r>
    </w:p>
    <w:p>
      <w:pPr>
        <w:pStyle w:val="ListParagraph"/>
        <w:keepNext w:val="false"/>
        <w:keepLines/>
        <w:numPr>
          <w:ilvl w:val="0"/>
          <w:numId w:val="2"/>
        </w:numPr>
        <w:spacing w:after="20" w:before="20" w:line="300"/>
      </w:pPr>
      <w:r>
        <w:rPr>
          <w:rFonts w:ascii="Calibri" w:eastAsia="Yu Gothic" w:hAnsi="Calibri"/>
        </w:rPr>
        <w:t xml:space="preserve">Recorded on the device (R-6-1-3“Registrations are recorded on the User's device and do not affect other Users' records”): the case record is placed on the User's device and given a record signature with the User's key. It does not affect other Users' records.</w:t>
      </w:r>
    </w:p>
    <w:p>
      <w:pPr>
        <w:pStyle w:val="Heading2"/>
      </w:pPr>
      <w:r>
        <w:rPr>
          <w:rFonts w:ascii="Calibri" w:eastAsia="Yu Gothic" w:hAnsi="Calibri"/>
        </w:rPr>
        <w:t xml:space="preserve">2.2 Fetching without running scripts</w:t>
      </w:r>
    </w:p>
    <w:p>
      <w:pPr>
        <w:pStyle w:val="ListParagraph"/>
        <w:keepNext/>
        <w:keepLines/>
        <w:numPr>
          <w:ilvl w:val="0"/>
          <w:numId w:val="2"/>
        </w:numPr>
        <w:spacing w:after="20" w:before="20" w:line="300"/>
      </w:pPr>
      <w:r>
        <w:rPr>
          <w:rFonts w:ascii="Calibri" w:eastAsia="Yu Gothic" w:hAnsi="Calibri"/>
        </w:rPr>
        <w:t xml:space="preserve">HTTP GET (cut off at 10 seconds for connection and 60 seconds overall, up to 5 redirects, up to 50 MB per response (page and each image); all initial values; the same as the table in Chapter 1, 4.2 “Communication with the outside”). The response body, headers, final URL, time of fetching (UTC), and the IP address of the responding server are saved.</w:t>
      </w:r>
    </w:p>
    <w:p>
      <w:pPr>
        <w:pStyle w:val="ListParagraph"/>
        <w:keepNext/>
        <w:keepLines/>
        <w:numPr>
          <w:ilvl w:val="0"/>
          <w:numId w:val="2"/>
        </w:numPr>
        <w:spacing w:after="20" w:before="20" w:line="300"/>
      </w:pPr>
      <w:r>
        <w:rPr>
          <w:rFonts w:ascii="Calibri" w:eastAsia="Yu Gothic" w:hAnsi="Calibri"/>
        </w:rPr>
        <w:t xml:space="preserve">Among </w:t>
      </w:r>
      <w:r>
        <w:rPr>
          <w:rFonts w:ascii="Consolas" w:eastAsia="Yu Gothic" w:hAnsi="Consolas"/>
        </w:rPr>
        <w:t xml:space="preserve">og:image</w:t>
      </w:r>
      <w:r>
        <w:rPr>
          <w:rFonts w:ascii="Calibri" w:eastAsia="Yu Gothic" w:hAnsi="Calibri"/>
        </w:rPr>
        <w:t xml:space="preserve"> and </w:t>
      </w:r>
      <w:r>
        <w:rPr>
          <w:rFonts w:ascii="Consolas" w:eastAsia="Yu Gothic" w:hAnsi="Consolas"/>
        </w:rPr>
        <w:t xml:space="preserve">&lt;img&gt;</w:t>
      </w:r>
      <w:r>
        <w:rPr>
          <w:rFonts w:ascii="Calibri" w:eastAsia="Yu Gothic" w:hAnsi="Calibri"/>
        </w:rPr>
        <w:t xml:space="preserve"> in the HTML, the top 5 largest are fetched by the same method. JavaScript, CSS, and fonts are not fetched.</w:t>
      </w:r>
    </w:p>
    <w:p>
      <w:pPr>
        <w:pStyle w:val="ListParagraph"/>
        <w:keepNext/>
        <w:keepLines/>
        <w:numPr>
          <w:ilvl w:val="0"/>
          <w:numId w:val="2"/>
        </w:numPr>
        <w:spacing w:after="20" w:before="20" w:line="300"/>
      </w:pPr>
      <w:r>
        <w:rPr>
          <w:rFonts w:ascii="Calibri" w:eastAsia="Yu Gothic" w:hAnsi="Calibri"/>
        </w:rPr>
        <w:t xml:space="preserve">What is fetched is not rendered on screen. Images are read with the same image foundation as Chapter 3 “Signing” (Rust's image crate) (those that cannot be read get only a hash).</w:t>
      </w:r>
    </w:p>
    <w:p>
      <w:pPr>
        <w:pStyle w:val="ListParagraph"/>
        <w:keepNext/>
        <w:keepLines/>
        <w:numPr>
          <w:ilvl w:val="0"/>
          <w:numId w:val="2"/>
        </w:numPr>
        <w:spacing w:after="20" w:before="20" w:line="300"/>
      </w:pPr>
      <w:r>
        <w:rPr>
          <w:rFonts w:ascii="Calibri" w:eastAsia="Yu Gothic" w:hAnsi="Calibri"/>
        </w:rPr>
        <w:t xml:space="preserve">If redirected to a login screen, that response is recorded as is, and “Login is required, so a screenshot (step 3) is needed” is shown.</w:t>
      </w:r>
    </w:p>
    <w:p>
      <w:pPr>
        <w:pStyle w:val="ListParagraph"/>
        <w:keepNext/>
        <w:keepLines/>
        <w:numPr>
          <w:ilvl w:val="0"/>
          <w:numId w:val="2"/>
        </w:numPr>
        <w:spacing w:after="20" w:before="20" w:line="300"/>
      </w:pPr>
      <w:r>
        <w:rPr>
          <w:rFonts w:ascii="Calibri" w:eastAsia="Yu Gothic" w:hAnsi="Calibri"/>
        </w:rPr>
        <w:t xml:space="preserve">Request headers (DD-6-8“Fetch requests do not identify the System”): User-Agent and Accept-Language use the values held by the app's screen component (WebView). Cookie and Referer are not sent (the login state of the User's browser is not brought in).</w:t>
      </w:r>
    </w:p>
    <w:p>
      <w:pPr>
        <w:pStyle w:val="ListParagraph"/>
        <w:keepNext w:val="false"/>
        <w:keepLines/>
        <w:numPr>
          <w:ilvl w:val="0"/>
          <w:numId w:val="2"/>
        </w:numPr>
        <w:spacing w:after="20" w:before="20" w:line="300"/>
      </w:pPr>
      <w:r>
        <w:rPr>
          <w:rFonts w:ascii="Calibri" w:eastAsia="Yu Gothic" w:hAnsi="Calibri"/>
        </w:rPr>
        <w:t xml:space="preserve">Notice before fetching (Chapter 1, 4.2 “Communication with the outside”): shows that the other site can see the User's IP address, and that a VPN can be used if this is a concern (Berkeley Protocol paragraph 101). The System does not provide a VPN.</w:t>
      </w:r>
    </w:p>
    <w:p>
      <w:pPr>
        <w:pStyle w:val="Heading2"/>
      </w:pPr>
      <w:r>
        <w:rPr>
          <w:rFonts w:ascii="Calibri" w:eastAsia="Yu Gothic" w:hAnsi="Calibri"/>
        </w:rPr>
        <w:t xml:space="preserve">2.2.1 Saving in WARC</w:t>
      </w:r>
    </w:p>
    <w:p>
      <w:pPr>
        <w:pStyle w:val="ListParagraph"/>
        <w:keepNext/>
        <w:keepLines/>
        <w:numPr>
          <w:ilvl w:val="0"/>
          <w:numId w:val="2"/>
        </w:numPr>
        <w:spacing w:after="20" w:before="20" w:line="300"/>
      </w:pPr>
      <w:r>
        <w:rPr>
          <w:rFonts w:ascii="Calibri" w:eastAsia="Yu Gothic" w:hAnsi="Calibri"/>
        </w:rPr>
        <w:t xml:space="preserve">One fetch (the page and main images) is put in one WARC file (</w:t>
      </w:r>
      <w:r>
        <w:rPr>
          <w:rFonts w:ascii="Consolas" w:eastAsia="Yu Gothic" w:hAnsi="Consolas"/>
        </w:rPr>
        <w:t xml:space="preserve">capture-&lt;serial&gt;.warc.gz</w:t>
      </w:r>
      <w:r>
        <w:rPr>
          <w:rFonts w:ascii="Calibri" w:eastAsia="Yu Gothic" w:hAnsi="Calibri"/>
        </w:rPr>
        <w:t xml:space="preserve">). The record types are warcinfo (the fetching tool and its version), request (the request sent), response (the response received), and metadata (the time of fetching, final URL, IP address of the responding server, and the subject and issuer of the TLS certificate) (the record types of ISO 28500).</w:t>
      </w:r>
    </w:p>
    <w:p>
      <w:pPr>
        <w:pStyle w:val="ListParagraph"/>
        <w:keepNext w:val="false"/>
        <w:keepLines/>
        <w:numPr>
          <w:ilvl w:val="0"/>
          <w:numId w:val="2"/>
        </w:numPr>
        <w:spacing w:after="20" w:before="20" w:line="300"/>
      </w:pPr>
      <w:r>
        <w:rPr>
          <w:rFonts w:ascii="Calibri" w:eastAsia="Yu Gothic" w:hAnsi="Calibri"/>
        </w:rPr>
        <w:t xml:space="preserve">Component: the warc crate (0.4.0, MIT, updated 2024-11, about 2.37 million cumulative downloads on crates.io). It has reading and writing of WARC 1.0 and 1.1 records. [To be measured] that the written WARC can be opened with common tools (pywb, etc.).</w:t>
      </w:r>
    </w:p>
    <w:p>
      <w:pPr>
        <w:pStyle w:val="Heading2"/>
      </w:pPr>
      <w:r>
        <w:rPr>
          <w:rFonts w:ascii="Calibri" w:eastAsia="Yu Gothic" w:hAnsi="Calibri"/>
        </w:rPr>
        <w:t xml:space="preserve">2.2.2 Guidance on taking screenshots</w:t>
      </w:r>
    </w:p>
    <w:p>
      <w:pPr>
        <w:pStyle w:val="ListParagraph"/>
        <w:keepNext/>
        <w:keepLines/>
        <w:numPr>
          <w:ilvl w:val="0"/>
          <w:numId w:val="2"/>
        </w:numPr>
        <w:spacing w:after="20" w:before="20" w:line="300"/>
      </w:pPr>
      <w:r>
        <w:rPr>
          <w:rFonts w:ascii="Calibri" w:eastAsia="Yu Gothic" w:hAnsi="Calibri"/>
        </w:rPr>
        <w:t xml:space="preserve">The Berkeley Protocol (paragraph 155) lists a full-page screen capture (with date and time) as a minimum standard alongside the URL and the HTML source. Users are guided as follows.</w:t>
      </w:r>
    </w:p>
    <w:p>
      <w:pPr>
        <w:keepNext/>
        <w:keepLines/>
        <w:spacing w:after="80" w:before="80" w:line="320"/>
      </w:pPr>
      <w:r>
        <w:rPr>
          <w:rFonts w:ascii="Calibri" w:eastAsia="Yu Gothic" w:hAnsi="Calibri"/>
        </w:rPr>
        <w:t xml:space="preserve">  1. Capture with the browser's “full-page screenshot” function (in Firefox, “Save full page” in the screenshot function; in Chrome, “Capture full size screenshot” in the developer tools).</w:t>
      </w:r>
    </w:p>
    <w:p>
      <w:pPr>
        <w:keepNext/>
        <w:keepLines/>
        <w:spacing w:after="80" w:before="80" w:line="320"/>
      </w:pPr>
      <w:r>
        <w:rPr>
          <w:rFonts w:ascii="Calibri" w:eastAsia="Yu Gothic" w:hAnsi="Calibri"/>
        </w:rPr>
        <w:t xml:space="preserve">  2. Also take one screenshot showing the URL bar at the top and the OS clock (a full-page capture does not show the URL or date/time).</w:t>
      </w:r>
    </w:p>
    <w:p>
      <w:pPr>
        <w:keepNext/>
        <w:keepLines/>
        <w:spacing w:after="80" w:before="80" w:line="320"/>
      </w:pPr>
      <w:r>
        <w:rPr>
          <w:rFonts w:ascii="Calibri" w:eastAsia="Yu Gothic" w:hAnsi="Calibri"/>
        </w:rPr>
        <w:t xml:space="preserve">  3. For pages requiring login, capture while logged in.</w:t>
      </w:r>
    </w:p>
    <w:p>
      <w:pPr>
        <w:pStyle w:val="ListParagraph"/>
        <w:keepNext w:val="false"/>
        <w:keepLines/>
        <w:numPr>
          <w:ilvl w:val="0"/>
          <w:numId w:val="2"/>
        </w:numPr>
        <w:spacing w:after="20" w:before="20" w:line="300"/>
      </w:pPr>
      <w:r>
        <w:rPr>
          <w:rFonts w:ascii="Calibri" w:eastAsia="Yu Gothic" w:hAnsi="Calibri"/>
        </w:rPr>
        <w:t xml:space="preserve">The app reads the capture date/time of the imported screenshot. Full-page captures from browsers are mostly PNG without a capture date/time, so in that case the file's modification date/time is used and recorded distinguished as “file date/time (not a record of the capture date/time)”. If either differs greatly from the registration date/time (24 hours or more; initial value), confirmation is requested. If the date/time is unknown, it is recorded as “no date/time”.</w:t>
      </w:r>
    </w:p>
    <w:p>
      <w:pPr>
        <w:pStyle w:val="Heading2"/>
      </w:pPr>
      <w:r>
        <w:rPr>
          <w:rFonts w:ascii="Calibri" w:eastAsia="Yu Gothic" w:hAnsi="Calibri"/>
        </w:rPr>
        <w:t xml:space="preserve">2.3 Input fields for evidence that should be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90"/>
        <w:gridCol w:w="4548"/>
      </w:tblGrid>
      <w:tr>
        <w:trPr>
          <w:cantSplit/>
          <w:tblHeader/>
        </w:trPr>
        <w:tc>
          <w:tcPr>
            <w:tcW w:type="dxa" w:w="50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45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Purpose</w:t>
            </w:r>
          </w:p>
        </w:tc>
      </w:tr>
      <w:tr>
        <w:trPr>
          <w:cantSplit/>
          <w:tblHeader w:val="off"/>
        </w:trPr>
        <w:tc>
          <w:tcPr>
            <w:tcW w:type="dxa" w:w="50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Reposter's account name and display name</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 identify the other party in complaints and investigations</w:t>
            </w:r>
          </w:p>
        </w:tc>
      </w:tr>
      <w:tr>
        <w:trPr>
          <w:cantSplit/>
          <w:tblHeader w:val="off"/>
        </w:trPr>
        <w:tc>
          <w:tcPr>
            <w:tcW w:type="dxa" w:w="50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Date/time of the post (as shown on the page)</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Since when it has been published</w:t>
            </w:r>
          </w:p>
        </w:tc>
      </w:tr>
      <w:tr>
        <w:trPr>
          <w:cantSplit/>
          <w:tblHeader w:val="off"/>
        </w:trPr>
        <w:tc>
          <w:tcPr>
            <w:tcW w:type="dxa" w:w="50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Number of views, likes, etc. (if shown)</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Material on the extent of damage</w:t>
            </w:r>
          </w:p>
        </w:tc>
      </w:tr>
      <w:tr>
        <w:trPr>
          <w:cantSplit/>
          <w:tblHeader w:val="off"/>
        </w:trPr>
        <w:tc>
          <w:tcPr>
            <w:tcW w:type="dxa" w:w="50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Kind of commercial use (multiple choice: paid distribution or sale, advertising, merchandising, AI training data, none or unknown)</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Priority for commercial use (Chapter 7, 6.2 “Joint action and priority”, Legal L-5“Portrait rights and publicity rights (Japan)”)</w:t>
            </w:r>
          </w:p>
        </w:tc>
      </w:tr>
      <w:tr>
        <w:trPr>
          <w:cantSplit/>
          <w:tblHeader w:val="off"/>
        </w:trPr>
        <w:tc>
          <w:tcPr>
            <w:tcW w:type="dxa" w:w="50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URLs of other posts by the same Reposter</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Material on continuity</w:t>
            </w:r>
          </w:p>
        </w:tc>
      </w:tr>
      <w:tr>
        <w:trPr>
          <w:cantSplit/>
          <w:tblHeader w:val="off"/>
        </w:trPr>
        <w:tc>
          <w:tcPr>
            <w:tcW w:type="dxa" w:w="50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Free description</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screen says “as far as you know”, and registration is possible with fields left blank.</w:t>
      </w:r>
    </w:p>
    <w:p>
      <w:pPr>
        <w:pStyle w:val="Heading2"/>
      </w:pPr>
      <w:r>
        <w:rPr>
          <w:rFonts w:ascii="Calibri" w:eastAsia="Yu Gothic" w:hAnsi="Calibri"/>
        </w:rPr>
        <w:t xml:space="preserve">2.4 Fields of registration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0"/>
        <w:gridCol w:w="8308"/>
      </w:tblGrid>
      <w:tr>
        <w:trPr>
          <w:cantSplit/>
          <w:tblHeader/>
        </w:trPr>
        <w:tc>
          <w:tcPr>
            <w:tcW w:type="dxa" w:w="1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83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schema</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nrsd.case/1</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case_id</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 ID</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source</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manual</w:t>
            </w:r>
            <w:r>
              <w:rPr>
                <w:rFonts w:ascii="Calibri" w:eastAsia="Yu Gothic" w:hAnsi="Calibri"/>
                <w:b w:val="false"/>
                <w:bCs w:val="false"/>
                <w:sz w:val="18"/>
                <w:szCs w:val="18"/>
              </w:rPr>
              <w:t xml:space="preserve"> (this chapter). </w:t>
            </w:r>
            <w:r>
              <w:rPr>
                <w:rFonts w:ascii="Consolas" w:eastAsia="Yu Gothic" w:hAnsi="Consolas"/>
                <w:b w:val="false"/>
                <w:bCs w:val="false"/>
                <w:sz w:val="18"/>
                <w:szCs w:val="18"/>
              </w:rPr>
              <w:t xml:space="preserve">auto</w:t>
            </w:r>
            <w:r>
              <w:rPr>
                <w:rFonts w:ascii="Calibri" w:eastAsia="Yu Gothic" w:hAnsi="Calibri"/>
                <w:b w:val="false"/>
                <w:bCs w:val="false"/>
                <w:sz w:val="18"/>
                <w:szCs w:val="18"/>
              </w:rPr>
              <w:t xml:space="preserve"> is reserved for Phase 2 (R-6-1-4“There is room to accept Registrations from Phase 2”)</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url, final_url, platform</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reposted page</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work_refs</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Identification numbers of works found by matching and match levels (4)</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evidence</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evidence files (name, kind, SHA-256, size, how obtained (provided by the User / fetched by the app), time obtained)</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whois</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Results of the investigation for ④ (5)</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user_notes</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Input of 2.3</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rights_ref</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ID and version of the Permitted Scope of the matched work (Chapter 5 “Rights Documents”)</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violations</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Determination of what is violated (4.2)</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(Timestamp)</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included in the case record. The timestamp response is added, together with the list of evidence, as a status addition (</w:t>
            </w:r>
            <w:r>
              <w:rPr>
                <w:rFonts w:ascii="Consolas" w:eastAsia="Yu Gothic" w:hAnsi="Consolas"/>
                <w:b w:val="false"/>
                <w:bCs w:val="false"/>
                <w:sz w:val="18"/>
                <w:szCs w:val="18"/>
              </w:rPr>
              <w:t xml:space="preserve">status/&lt;serial&gt;.json</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(case records are append-only; DD-6-5“Case records are append-only”)</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signer</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Serial number of the signing certificate and notice code (Chapter 2)</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created_at</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UTC</w:t>
            </w:r>
          </w:p>
        </w:tc>
      </w:tr>
      <w:tr>
        <w:trPr>
          <w:cantSplit/>
          <w:tblHeader w:val="off"/>
        </w:trPr>
        <w:tc>
          <w:tcPr>
            <w:tcW w:type="dxa" w:w="1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collection</w:t>
            </w:r>
          </w:p>
        </w:tc>
        <w:tc>
          <w:tcPr>
            <w:tcW w:type="dxa" w:w="8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Collection record (2.5)</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Where saved: </w:t>
      </w:r>
      <w:r>
        <w:rPr>
          <w:rFonts w:ascii="Consolas" w:eastAsia="Yu Gothic" w:hAnsi="Consolas"/>
        </w:rPr>
        <w:t xml:space="preserve">cases/&lt;case ID&gt;/case.json</w:t>
      </w:r>
      <w:r>
        <w:rPr>
          <w:rFonts w:ascii="Calibri" w:eastAsia="Yu Gothic" w:hAnsi="Calibri"/>
        </w:rPr>
        <w:t xml:space="preserve"> with a record signature on the device, and evidence files in </w:t>
      </w:r>
      <w:r>
        <w:rPr>
          <w:rFonts w:ascii="Consolas" w:eastAsia="Yu Gothic" w:hAnsi="Consolas"/>
        </w:rPr>
        <w:t xml:space="preserve">cases/&lt;case ID&gt;/evidence/</w:t>
      </w:r>
      <w:r>
        <w:rPr>
          <w:rFonts w:ascii="Calibri" w:eastAsia="Yu Gothic" w:hAnsi="Calibri"/>
        </w:rPr>
        <w:t xml:space="preserve"> (Chapter 8, 2.1 “Arrangement”).</w:t>
      </w:r>
    </w:p>
    <w:p>
      <w:pPr>
        <w:pStyle w:val="Heading2"/>
      </w:pPr>
      <w:r>
        <w:rPr>
          <w:rFonts w:ascii="Calibri" w:eastAsia="Yu Gothic" w:hAnsi="Calibri"/>
        </w:rPr>
        <w:t xml:space="preserve">2.5 Collection record</w:t>
      </w:r>
    </w:p>
    <w:p>
      <w:pPr>
        <w:pStyle w:val="ListParagraph"/>
        <w:keepNext/>
        <w:keepLines/>
        <w:numPr>
          <w:ilvl w:val="0"/>
          <w:numId w:val="2"/>
        </w:numPr>
        <w:spacing w:after="20" w:before="20" w:line="300"/>
      </w:pPr>
      <w:r>
        <w:rPr>
          <w:rFonts w:ascii="Calibri" w:eastAsia="Yu Gothic" w:hAnsi="Calibri"/>
        </w:rPr>
        <w:t xml:space="preserve">The form follows Annex IV “Online data collection form” of the Berkeley Protocol.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3"/>
        <w:gridCol w:w="7155"/>
      </w:tblGrid>
      <w:tr>
        <w:trPr>
          <w:cantSplit/>
          <w:tblHeader/>
        </w:trPr>
        <w:tc>
          <w:tcPr>
            <w:tcW w:type="dxa" w:w="24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of Annex IV</w:t>
            </w:r>
          </w:p>
        </w:tc>
        <w:tc>
          <w:tcPr>
            <w:tcW w:type="dxa" w:w="71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System records</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Collector</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signer's handle name and notice code (names are not recorded; the User can add them to the report at export; 3.4)</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 of the collection device</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recorded (the IP address visible from outside the device cannot be known without querying outside). The User can add it to the report</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Start and end date/time of collection</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time the registration screen was opened and the time Register was pressed (UTC)</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Target URL</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input URL and the final URL of the fetch</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HTML source</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Inside the WARC (2.2.1)</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Screenshots</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Imported screenshots (2.2.2)</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Data obtained</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fetched images</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IP address of the responding server and DNS results (5)</w:t>
            </w:r>
          </w:p>
        </w:tc>
      </w:tr>
      <w:tr>
        <w:trPr>
          <w:cantSplit/>
          <w:tblHeader w:val="off"/>
        </w:trPr>
        <w:tc>
          <w:tcPr>
            <w:tcW w:type="dxa" w:w="2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of hashes of the collection package, and the hash of that list</w:t>
            </w:r>
          </w:p>
        </w:tc>
        <w:tc>
          <w:tcPr>
            <w:tcW w:type="dxa" w:w="71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of SHA-256 per evidence file, and the SHA-256 of the list (the target of the timestamp in 3.2)</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Also recorded: the app version, the version of the fetching tool, and the device clock offset. The clock offset is recorded as the difference between the time in the timestamp response and the device clock (Berkeley Protocol paragraph 155(g) calls for synchronizing the device clock; the System does not correct the device clock but records the offset).</w:t>
      </w:r>
    </w:p>
    <w:p>
      <w:pPr>
        <w:pStyle w:val="Heading2"/>
      </w:pPr>
      <w:r>
        <w:rPr>
          <w:rFonts w:ascii="Calibri" w:eastAsia="Yu Gothic" w:hAnsi="Calibri"/>
        </w:rPr>
        <w:t xml:space="preserve">2.6 Intake from Phase 2</w:t>
      </w:r>
    </w:p>
    <w:p>
      <w:pPr>
        <w:pStyle w:val="ListParagraph"/>
        <w:keepNext w:val="false"/>
        <w:keepLines/>
        <w:numPr>
          <w:ilvl w:val="0"/>
          <w:numId w:val="2"/>
        </w:numPr>
        <w:spacing w:after="20" w:before="20" w:line="300"/>
      </w:pPr>
      <w:r>
        <w:rPr>
          <w:rFonts w:ascii="Calibri" w:eastAsia="Yu Gothic" w:hAnsi="Calibri"/>
        </w:rPr>
        <w:t xml:space="preserve">Registrations with </w:t>
      </w:r>
      <w:r>
        <w:rPr>
          <w:rFonts w:ascii="Consolas" w:eastAsia="Yu Gothic" w:hAnsi="Consolas"/>
        </w:rPr>
        <w:t xml:space="preserve">source: auto</w:t>
      </w:r>
      <w:r>
        <w:rPr>
          <w:rFonts w:ascii="Calibri" w:eastAsia="Yu Gothic" w:hAnsi="Calibri"/>
        </w:rPr>
        <w:t xml:space="preserve"> are added to the case records on the device, with a record signature, only after the User checks and approves the content in the app (not registered automatically). Details are set in the design plan of Phase 2.</w:t>
      </w:r>
    </w:p>
    <w:p>
      <w:pPr>
        <w:pStyle w:val="Heading1"/>
      </w:pPr>
      <w:r>
        <w:rPr>
          <w:rFonts w:ascii="Calibri" w:eastAsia="Yu Gothic" w:hAnsi="Calibri"/>
        </w:rPr>
        <w:t xml:space="preserve">3. Evidence Preservation</w:t>
      </w:r>
    </w:p>
    <w:p>
      <w:pPr>
        <w:pStyle w:val="Heading2"/>
      </w:pPr>
      <w:r>
        <w:rPr>
          <w:rFonts w:ascii="Calibri" w:eastAsia="Yu Gothic" w:hAnsi="Calibri"/>
        </w:rPr>
        <w:t xml:space="preserve">3.1 Correspondence with the items to be shown later (Design Plan 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187"/>
        <w:gridCol w:w="6441"/>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1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 to be shown</w:t>
            </w:r>
          </w:p>
        </w:tc>
        <w:tc>
          <w:tcPr>
            <w:tcW w:type="dxa" w:w="64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System keeps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①</w:t>
            </w:r>
          </w:p>
        </w:tc>
        <w:tc>
          <w:tcPr>
            <w:tcW w:type="dxa" w:w="2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it is one's own work</w:t>
            </w:r>
          </w:p>
        </w:tc>
        <w:tc>
          <w:tcPr>
            <w:tcW w:type="dxa" w:w="64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data (the Original's fingerprint, the output's SHA-256 and PDQ, the copy of the manifest, the timestamp) referenced from the case record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②</w:t>
            </w:r>
          </w:p>
        </w:tc>
        <w:tc>
          <w:tcPr>
            <w:tcW w:type="dxa" w:w="2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When and where it was published</w:t>
            </w:r>
          </w:p>
        </w:tc>
        <w:tc>
          <w:tcPr>
            <w:tcW w:type="dxa" w:w="64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Screenshots, the record of fetching without running scripts (HTML, headers, final URL, time of fetching), the input of 2.3, the timestamp on the evidence package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③</w:t>
            </w:r>
          </w:p>
        </w:tc>
        <w:tc>
          <w:tcPr>
            <w:tcW w:type="dxa" w:w="2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it is the same image</w:t>
            </w:r>
          </w:p>
        </w:tc>
        <w:tc>
          <w:tcPr>
            <w:tcW w:type="dxa" w:w="64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identification number read from the invisible watermark, the PDQ distance (4)</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④</w:t>
            </w:r>
          </w:p>
        </w:tc>
        <w:tc>
          <w:tcPr>
            <w:tcW w:type="dxa" w:w="2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Who published it and where</w:t>
            </w:r>
          </w:p>
        </w:tc>
        <w:tc>
          <w:tcPr>
            <w:tcW w:type="dxa" w:w="64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DNS, IP address, ASN, country, domain registration information (5), the account name of 2.3</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⑤</w:t>
            </w:r>
          </w:p>
        </w:tc>
        <w:tc>
          <w:tcPr>
            <w:tcW w:type="dxa" w:w="2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the use is outside the Permitted Scope</w:t>
            </w:r>
          </w:p>
        </w:tc>
        <w:tc>
          <w:tcPr>
            <w:tcW w:type="dxa" w:w="64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Permitted Scope of the matched work and the hash of the Enclosed Document (Chapter 5 “Rights Documents”), the posting of the Notice (Chapter 2 “Signing Information and Matching”)</w:t>
            </w:r>
          </w:p>
        </w:tc>
      </w:tr>
    </w:tbl>
    <w:p>
      <w:pPr>
        <w:spacing w:after="100" w:before="0"/>
      </w:pPr>
    </w:p>
    <w:p>
      <w:pPr>
        <w:pStyle w:val="Heading2"/>
      </w:pPr>
      <w:r>
        <w:rPr>
          <w:rFonts w:ascii="Calibri" w:eastAsia="Yu Gothic" w:hAnsi="Calibri"/>
        </w:rPr>
        <w:t xml:space="preserve">3.2 Trusted timestamps</w:t>
      </w:r>
    </w:p>
    <w:p>
      <w:pPr>
        <w:pStyle w:val="ListParagraph"/>
        <w:keepNext/>
        <w:keepLines/>
        <w:numPr>
          <w:ilvl w:val="0"/>
          <w:numId w:val="2"/>
        </w:numPr>
        <w:spacing w:after="20" w:before="20" w:line="300"/>
      </w:pPr>
      <w:r>
        <w:rPr>
          <w:rFonts w:ascii="Calibri" w:eastAsia="Yu Gothic" w:hAnsi="Calibri"/>
        </w:rPr>
        <w:t xml:space="preserve">An RFC 3161 timestamp is obtained on the SHA-256 of a list (JSON) of the SHA-256 of each evidence file (the timestamp here has nothing to do with C2PA validators and is used as evidence of time). The list and the timestamp response are added to the case as a status addition (</w:t>
      </w:r>
      <w:r>
        <w:rPr>
          <w:rFonts w:ascii="Consolas" w:eastAsia="Yu Gothic" w:hAnsi="Consolas"/>
        </w:rPr>
        <w:t xml:space="preserve">status/&lt;serial&gt;.json</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External means of reinforcing evidence (those for which Design Plan 10.3 sets references): Chinese internet courts accept electronic data whose authenticity can be proven by technical means such as electronic signatures, trusted timestamps, hash value verification, and blockchain, or by certification from electronic evidence-collection and preservation platforms (Provisions of the Supreme People's Court on Several Issues Concerning the Trial of Cases by Internet Courts, Article 11). In Japan, notarial deeds of factual experiments, in which a notary records facts experienced with the five senses, are used to preserve the display state of web pages. The System does not perform these procedures, and shows their names and links under “To prepare further” in the action guide (G-17“Action Guide”). The export of the evidence package (3.4) is in a file form that can be brought as is into these procedures (Legal Research L-24“Treatment of electronic signatures and electronic data as evidence (Japan, China, US)”).</w:t>
      </w:r>
    </w:p>
    <w:p>
      <w:pPr>
        <w:pStyle w:val="ListParagraph"/>
        <w:keepNext w:val="false"/>
        <w:keepLines/>
        <w:numPr>
          <w:ilvl w:val="0"/>
          <w:numId w:val="2"/>
        </w:numPr>
        <w:spacing w:after="20" w:before="20" w:line="300"/>
      </w:pPr>
      <w:r>
        <w:rPr>
          <w:rFonts w:ascii="Calibri" w:eastAsia="Yu Gothic" w:hAnsi="Calibri"/>
        </w:rPr>
        <w:t xml:space="preserve">Paid TSAs (Japanese accredited providers, Chinese trusted timestamps) can be chosen by the User per case. The cost is borne by the User (NRSD does not act as an intermediary; the User sets the account of the TSA they contracted with in the app). [Estimate required] Each provider's offerings and fees for individuals.</w:t>
      </w:r>
    </w:p>
    <w:p>
      <w:pPr>
        <w:pStyle w:val="Heading2"/>
      </w:pPr>
      <w:r>
        <w:rPr>
          <w:rFonts w:ascii="Calibri" w:eastAsia="Yu Gothic" w:hAnsi="Calibri"/>
        </w:rPr>
        <w:t xml:space="preserve">3.3 Fetch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2"/>
        <w:gridCol w:w="6206"/>
      </w:tblGrid>
      <w:tr>
        <w:trPr>
          <w:cantSplit/>
          <w:tblHeader/>
        </w:trPr>
        <w:tc>
          <w:tcPr>
            <w:tcW w:type="dxa" w:w="34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Situation</w:t>
            </w:r>
          </w:p>
        </w:tc>
        <w:tc>
          <w:tcPr>
            <w:tcW w:type="dxa" w:w="62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3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URL has already disappeared (404, 410)</w:t>
            </w:r>
          </w:p>
        </w:tc>
        <w:tc>
          <w:tcPr>
            <w:tcW w:type="dxa" w:w="6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that response; can be registered if there is a screenshot</w:t>
            </w:r>
          </w:p>
        </w:tc>
      </w:tr>
      <w:tr>
        <w:trPr>
          <w:cantSplit/>
          <w:tblHeader w:val="off"/>
        </w:trPr>
        <w:tc>
          <w:tcPr>
            <w:tcW w:type="dxa" w:w="3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Cannot connect (blocked, timeout)</w:t>
            </w:r>
          </w:p>
        </w:tc>
        <w:tc>
          <w:tcPr>
            <w:tcW w:type="dxa" w:w="6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the failure and register with the screenshot. Retry later with “Check current status” (6)</w:t>
            </w:r>
          </w:p>
        </w:tc>
      </w:tr>
      <w:tr>
        <w:trPr>
          <w:cantSplit/>
          <w:tblHeader w:val="off"/>
        </w:trPr>
        <w:tc>
          <w:tcPr>
            <w:tcW w:type="dxa" w:w="3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Redirected to login</w:t>
            </w:r>
          </w:p>
        </w:tc>
        <w:tc>
          <w:tcPr>
            <w:tcW w:type="dxa" w:w="6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 in 2.2</w:t>
            </w:r>
          </w:p>
        </w:tc>
      </w:tr>
      <w:tr>
        <w:trPr>
          <w:cantSplit/>
          <w:tblHeader w:val="off"/>
        </w:trPr>
        <w:tc>
          <w:tcPr>
            <w:tcW w:type="dxa" w:w="3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Response too large (over 50 MB)</w:t>
            </w:r>
          </w:p>
        </w:tc>
        <w:tc>
          <w:tcPr>
            <w:tcW w:type="dxa" w:w="62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the first 50 MB, the hash, and that it was cut off</w:t>
            </w:r>
          </w:p>
        </w:tc>
      </w:tr>
    </w:tbl>
    <w:p>
      <w:pPr>
        <w:spacing w:after="100" w:before="0"/>
      </w:pPr>
    </w:p>
    <w:p>
      <w:pPr>
        <w:pStyle w:val="Heading2"/>
      </w:pPr>
      <w:r>
        <w:rPr>
          <w:rFonts w:ascii="Calibri" w:eastAsia="Yu Gothic" w:hAnsi="Calibri"/>
        </w:rPr>
        <w:t xml:space="preserve">3.4 Export</w:t>
      </w:r>
    </w:p>
    <w:p>
      <w:pPr>
        <w:pStyle w:val="ListParagraph"/>
        <w:keepNext/>
        <w:keepLines/>
        <w:numPr>
          <w:ilvl w:val="0"/>
          <w:numId w:val="2"/>
        </w:numPr>
        <w:spacing w:after="20" w:before="20" w:line="300"/>
      </w:pPr>
      <w:r>
        <w:rPr>
          <w:rFonts w:ascii="Calibri" w:eastAsia="Yu Gothic" w:hAnsi="Calibri"/>
        </w:rPr>
        <w:t xml:space="preserve">“Export evidence package” makes a zip per case: the case record with its record signature, evidence files (WARC, screenshots, fetched images), timestamp responses, matched work data, a copy of the Enclosed Document, the collection record (2.5), verification instructions (TXT; Japanese, Chinese, English), and a report (TXT; summary of registration, correspondence with ① to ⑤, list of hashes).</w:t>
      </w:r>
    </w:p>
    <w:p>
      <w:pPr>
        <w:pStyle w:val="ListParagraph"/>
        <w:keepNext/>
        <w:keepLines/>
        <w:numPr>
          <w:ilvl w:val="0"/>
          <w:numId w:val="2"/>
        </w:numPr>
        <w:spacing w:after="20" w:before="20" w:line="300"/>
      </w:pPr>
      <w:r>
        <w:rPr>
          <w:rFonts w:ascii="Calibri" w:eastAsia="Yu Gothic" w:hAnsi="Calibri"/>
        </w:rPr>
        <w:t xml:space="preserve">The report has fields for the User to add (name, IP address of the collection device, etc.). What is added is not saved in the app (it goes only into the exported file).</w:t>
      </w:r>
    </w:p>
    <w:p>
      <w:pPr>
        <w:pStyle w:val="ListParagraph"/>
        <w:keepNext w:val="false"/>
        <w:keepLines/>
        <w:numPr>
          <w:ilvl w:val="0"/>
          <w:numId w:val="2"/>
        </w:numPr>
        <w:spacing w:after="20" w:before="20" w:line="300"/>
      </w:pPr>
      <w:r>
        <w:rPr>
          <w:rFonts w:ascii="Calibri" w:eastAsia="Yu Gothic" w:hAnsi="Calibri"/>
        </w:rPr>
        <w:t xml:space="preserve">The verification instructions give how to compute hashes (standard OS commands) and how to verify timestamps (OpenSSL commands), so that experts can check without the System.</w:t>
      </w:r>
    </w:p>
    <w:p>
      <w:pPr>
        <w:pStyle w:val="Heading1"/>
      </w:pPr>
      <w:r>
        <w:rPr>
          <w:rFonts w:ascii="Calibri" w:eastAsia="Yu Gothic" w:hAnsi="Calibri"/>
        </w:rPr>
        <w:t xml:space="preserve">4. Matching</w:t>
      </w:r>
    </w:p>
    <w:p>
      <w:pPr>
        <w:pStyle w:val="Heading2"/>
      </w:pPr>
      <w:r>
        <w:rPr>
          <w:rFonts w:ascii="Calibri" w:eastAsia="Yu Gothic" w:hAnsi="Calibri"/>
        </w:rPr>
        <w:t xml:space="preserve">4.1 How the match level is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1"/>
        <w:gridCol w:w="5597"/>
      </w:tblGrid>
      <w:tr>
        <w:trPr>
          <w:cantSplit/>
          <w:tblHeader/>
        </w:trPr>
        <w:tc>
          <w:tcPr>
            <w:tcW w:type="dxa" w:w="40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Result</w:t>
            </w:r>
          </w:p>
        </w:tc>
        <w:tc>
          <w:tcPr>
            <w:tcW w:type="dxa" w:w="55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Display</w:t>
            </w:r>
          </w:p>
        </w:tc>
      </w:tr>
      <w:tr>
        <w:trPr>
          <w:cantSplit/>
          <w:tblHeader w:val="off"/>
        </w:trPr>
        <w:tc>
          <w:tcPr>
            <w:tcW w:type="dxa" w:w="40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identification number can be read from the invisible watermark and matches the User's work data</w:t>
            </w:r>
          </w:p>
        </w:tc>
        <w:tc>
          <w:tcPr>
            <w:tcW w:type="dxa" w:w="55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“Match (watermark): identification number XXXXX-XXXXX-XXX”</w:t>
            </w:r>
          </w:p>
        </w:tc>
      </w:tr>
      <w:tr>
        <w:trPr>
          <w:cantSplit/>
          <w:tblHeader w:val="off"/>
        </w:trPr>
        <w:tc>
          <w:tcPr>
            <w:tcW w:type="dxa" w:w="40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watermark cannot be read, but the PDQ distance is 0 to 15 (initial value)</w:t>
            </w:r>
          </w:p>
        </w:tc>
        <w:tc>
          <w:tcPr>
            <w:tcW w:type="dxa" w:w="55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“Near match (visual fingerprint)”</w:t>
            </w:r>
          </w:p>
        </w:tc>
      </w:tr>
      <w:tr>
        <w:trPr>
          <w:cantSplit/>
          <w:tblHeader w:val="off"/>
        </w:trPr>
        <w:tc>
          <w:tcPr>
            <w:tcW w:type="dxa" w:w="40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PDQ distance 16 to 31</w:t>
            </w:r>
          </w:p>
        </w:tc>
        <w:tc>
          <w:tcPr>
            <w:tcW w:type="dxa" w:w="55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“Similar (visual fingerprint): possibly the same photo edited” (within the matching threshold of 31 or less in Chapter 3, 6 “Matching Hash”)</w:t>
            </w:r>
          </w:p>
        </w:tc>
      </w:tr>
      <w:tr>
        <w:trPr>
          <w:cantSplit/>
          <w:tblHeader w:val="off"/>
        </w:trPr>
        <w:tc>
          <w:tcPr>
            <w:tcW w:type="dxa" w:w="40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identification number can be read from the watermark but is not in the User's work data</w:t>
            </w:r>
          </w:p>
        </w:tc>
        <w:tc>
          <w:tcPr>
            <w:tcW w:type="dxa" w:w="55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“Watermark with someone else's number”. The User is guided to the screen of clues about persons posing as the Rights Holder (Chapter 10, G-24“Compare Clues”, Chapter 2, 4.4 “Clues when a person posing as the Rights Holder appears”)</w:t>
            </w:r>
          </w:p>
        </w:tc>
      </w:tr>
      <w:tr>
        <w:trPr>
          <w:cantSplit/>
          <w:tblHeader w:val="off"/>
        </w:trPr>
        <w:tc>
          <w:tcPr>
            <w:tcW w:type="dxa" w:w="40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PDQ distance 32 or more, no watermark</w:t>
            </w:r>
          </w:p>
        </w:tc>
        <w:tc>
          <w:tcPr>
            <w:tcW w:type="dxa" w:w="55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match cannot be confirmed”</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judgment of a match and responsibility for registration lie with the User (D-10-6“The judgment on matching and the responsibility for Registration are borne by the User who registered”). Registration is possible even with “A match cannot be confirmed”, but it is marked “registration with no confirmed match” in the list, and the User is told to check before making a complaint.</w:t>
      </w:r>
    </w:p>
    <w:p>
      <w:pPr>
        <w:pStyle w:val="Heading2"/>
      </w:pPr>
      <w:r>
        <w:rPr>
          <w:rFonts w:ascii="Calibri" w:eastAsia="Yu Gothic" w:hAnsi="Calibri"/>
        </w:rPr>
        <w:t xml:space="preserve">4.2 What is violated</w:t>
      </w:r>
    </w:p>
    <w:p>
      <w:pPr>
        <w:pStyle w:val="ListParagraph"/>
        <w:keepNext/>
        <w:keepLines/>
        <w:numPr>
          <w:ilvl w:val="0"/>
          <w:numId w:val="2"/>
        </w:numPr>
        <w:spacing w:after="20" w:before="20" w:line="300"/>
      </w:pPr>
      <w:r>
        <w:rPr>
          <w:rFonts w:ascii="Calibri" w:eastAsia="Yu Gothic" w:hAnsi="Calibri"/>
        </w:rPr>
        <w:t xml:space="preserve">From the Permitted Scope of the matched work and the manner of the repost (“paid distribution” in 2.3, being published), the following candidates are shown: “publication (repost) outside the Permitted Scope” and “commercial use (without separate permission)”. The candidate “removal of Matching Data” is shown only when there is no C2PA signature on a route that retains C2PA (posting sites and cloud confirmed to retain it in Chapter 3, 10.3 “Retention on posting sites and in the cloud”), or when the reposted image is a delivery output with only the C2PA signature removed (without format conversion or recompression, with the same pixels). Most social media remove C2PA at posting, so the absence of a C2PA signature on social media is not a clue of removal (under Japanese law, removal due to technical constraints is also excluded; Legal Research L-1“Removal or alteration of rights management information (Japan)”).</w:t>
      </w:r>
    </w:p>
    <w:p>
      <w:pPr>
        <w:pStyle w:val="ListParagraph"/>
        <w:keepNext w:val="false"/>
        <w:keepLines/>
        <w:numPr>
          <w:ilvl w:val="0"/>
          <w:numId w:val="2"/>
        </w:numPr>
        <w:spacing w:after="20" w:before="20" w:line="300"/>
      </w:pPr>
      <w:r>
        <w:rPr>
          <w:rFonts w:ascii="Calibri" w:eastAsia="Yu Gothic" w:hAnsi="Calibri"/>
        </w:rPr>
        <w:t xml:space="preserve">Candidates are shown not as legal judgments but as the result of comparison with the Permitted Scope (Chapter 7, 7 “Where the Line Is Drawn”).</w:t>
      </w:r>
    </w:p>
    <w:p>
      <w:pPr>
        <w:pStyle w:val="Heading1"/>
      </w:pPr>
      <w:r>
        <w:rPr>
          <w:rFonts w:ascii="Calibri" w:eastAsia="Yu Gothic" w:hAnsi="Calibri"/>
        </w:rPr>
        <w:t xml:space="preserve">5. Who and Where (④)</w:t>
      </w:r>
    </w:p>
    <w:p>
      <w:pPr>
        <w:pStyle w:val="ListParagraph"/>
        <w:keepNext/>
        <w:keepLines/>
        <w:numPr>
          <w:ilvl w:val="0"/>
          <w:numId w:val="2"/>
        </w:numPr>
        <w:spacing w:after="20" w:before="20" w:line="300"/>
      </w:pPr>
      <w:r>
        <w:rPr>
          <w:rFonts w:ascii="Calibri" w:eastAsia="Yu Gothic" w:hAnsi="Calibri"/>
        </w:rPr>
        <w:t xml:space="preserve">Look up A and AAAA records by DNS, and for the IP address obtain the ASN, organization, country, and abuse contact by the RIR's RDAP. For the domain, obtain the registrar and contacts by domain RDAP (the same mechanism as ICANN Lookup) (Draft Project Proposal [23]).</w:t>
      </w:r>
    </w:p>
    <w:p>
      <w:pPr>
        <w:pStyle w:val="ListParagraph"/>
        <w:keepNext/>
        <w:keepLines/>
        <w:numPr>
          <w:ilvl w:val="0"/>
          <w:numId w:val="2"/>
        </w:numPr>
        <w:spacing w:after="20" w:before="20" w:line="300"/>
      </w:pPr>
      <w:r>
        <w:rPr>
          <w:rFonts w:ascii="Calibri" w:eastAsia="Yu Gothic" w:hAnsi="Calibri"/>
        </w:rPr>
        <w:t xml:space="preserve">Chinese sites: if an ICP filing number can be read from the bottom of the page, it is recorded. Lookup in the filing system of the Ministry of Industry and Information Technology (Draft Project Proposal [22]) is guided in Chapter 7 “Legal Action Guidance” as a procedure for the User (the lookup screen has an image check, so the app does not look it up automatically).</w:t>
      </w:r>
    </w:p>
    <w:p>
      <w:pPr>
        <w:pStyle w:val="ListParagraph"/>
        <w:keepNext w:val="false"/>
        <w:keepLines/>
        <w:numPr>
          <w:ilvl w:val="0"/>
          <w:numId w:val="2"/>
        </w:numPr>
        <w:spacing w:after="20" w:before="20" w:line="300"/>
      </w:pPr>
      <w:r>
        <w:rPr>
          <w:rFonts w:ascii="Calibri" w:eastAsia="Yu Gothic" w:hAnsi="Calibri"/>
        </w:rPr>
        <w:t xml:space="preserve">The real server behind a CDN may not be found by RDAP. Even then, the CDN provider's abuse contact becomes the place for complaints (Chapter 7 “Legal Action Guidance”).</w:t>
      </w:r>
    </w:p>
    <w:p>
      <w:pPr>
        <w:pStyle w:val="Heading1"/>
      </w:pPr>
      <w:r>
        <w:rPr>
          <w:rFonts w:ascii="Calibri" w:eastAsia="Yu Gothic" w:hAnsi="Calibri"/>
        </w:rPr>
        <w:t xml:space="preserve">6. Status Checking</w:t>
      </w:r>
    </w:p>
    <w:p>
      <w:pPr>
        <w:pStyle w:val="Heading2"/>
      </w:pPr>
      <w:r>
        <w:rPr>
          <w:rFonts w:ascii="Calibri" w:eastAsia="Yu Gothic" w:hAnsi="Calibri"/>
        </w:rPr>
        <w:t xml:space="preserve">6.1 Status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03"/>
        <w:gridCol w:w="3535"/>
      </w:tblGrid>
      <w:tr>
        <w:trPr>
          <w:cantSplit/>
          <w:tblHeader/>
        </w:trPr>
        <w:tc>
          <w:tcPr>
            <w:tcW w:type="dxa" w:w="61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Status</w:t>
            </w:r>
          </w:p>
        </w:tc>
        <w:tc>
          <w:tcPr>
            <w:tcW w:type="dxa" w:w="35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Who records it</w:t>
            </w:r>
          </w:p>
        </w:tc>
      </w:tr>
      <w:tr>
        <w:trPr>
          <w:cantSplit/>
          <w:tblHeader w:val="off"/>
        </w:trPr>
        <w:tc>
          <w:tcPr>
            <w:tcW w:type="dxa" w:w="6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Registered</w:t>
            </w:r>
          </w:p>
        </w:tc>
        <w:tc>
          <w:tcPr>
            <w:tcW w:type="dxa" w:w="3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app (at registration)</w:t>
            </w:r>
          </w:p>
        </w:tc>
      </w:tr>
      <w:tr>
        <w:trPr>
          <w:cantSplit/>
          <w:tblHeader w:val="off"/>
        </w:trPr>
        <w:tc>
          <w:tcPr>
            <w:tcW w:type="dxa" w:w="6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Complaint made (date/time, contact point, method, standing of the complainant (Chapter 7, 3.4 “Standing of the complainant”))</w:t>
            </w:r>
          </w:p>
        </w:tc>
        <w:tc>
          <w:tcPr>
            <w:tcW w:type="dxa" w:w="3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input (from the flow of Chapter 7)</w:t>
            </w:r>
          </w:p>
        </w:tc>
      </w:tr>
      <w:tr>
        <w:trPr>
          <w:cantSplit/>
          <w:tblHeader w:val="off"/>
        </w:trPr>
        <w:tc>
          <w:tcPr>
            <w:tcW w:type="dxa" w:w="6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Provider's response (receipt, result of decision)</w:t>
            </w:r>
          </w:p>
        </w:tc>
        <w:tc>
          <w:tcPr>
            <w:tcW w:type="dxa" w:w="3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input</w:t>
            </w:r>
          </w:p>
        </w:tc>
      </w:tr>
      <w:tr>
        <w:trPr>
          <w:cantSplit/>
          <w:tblHeader w:val="off"/>
        </w:trPr>
        <w:tc>
          <w:tcPr>
            <w:tcW w:type="dxa" w:w="6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Removal confirmed</w:t>
            </w:r>
          </w:p>
        </w:tc>
        <w:tc>
          <w:tcPr>
            <w:tcW w:type="dxa" w:w="3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operation (6.2)</w:t>
            </w:r>
          </w:p>
        </w:tc>
      </w:tr>
      <w:tr>
        <w:trPr>
          <w:cantSplit/>
          <w:tblHeader w:val="off"/>
        </w:trPr>
        <w:tc>
          <w:tcPr>
            <w:tcW w:type="dxa" w:w="6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Reposting confirmed</w:t>
            </w:r>
          </w:p>
        </w:tc>
        <w:tc>
          <w:tcPr>
            <w:tcW w:type="dxa" w:w="3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operation</w:t>
            </w:r>
          </w:p>
        </w:tc>
      </w:tr>
      <w:tr>
        <w:trPr>
          <w:cantSplit/>
          <w:tblHeader w:val="off"/>
        </w:trPr>
        <w:tc>
          <w:tcPr>
            <w:tcW w:type="dxa" w:w="61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Withdrawn</w:t>
            </w:r>
          </w:p>
        </w:tc>
        <w:tc>
          <w:tcPr>
            <w:tcW w:type="dxa" w:w="3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User's input (7)</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Deadlines of procedures after a complaint (the 7-day notification by Japan's Large-Scale Specified Telecommunications Service Providers, the 10 to 14 business days after a counter-notice in the United States, etc.) are shown on the case screen by the table of Chapter 7, 6.3 “Display of procedural deadlines”.</w:t>
      </w:r>
    </w:p>
    <w:p>
      <w:pPr>
        <w:pStyle w:val="Heading2"/>
      </w:pPr>
      <w:r>
        <w:rPr>
          <w:rFonts w:ascii="Calibri" w:eastAsia="Yu Gothic" w:hAnsi="Calibri"/>
        </w:rPr>
        <w:t xml:space="preserve">6.2 Checking the current status</w:t>
      </w:r>
    </w:p>
    <w:p>
      <w:pPr>
        <w:pStyle w:val="ListParagraph"/>
        <w:keepNext/>
        <w:keepLines/>
        <w:numPr>
          <w:ilvl w:val="0"/>
          <w:numId w:val="2"/>
        </w:numPr>
        <w:spacing w:after="20" w:before="20" w:line="300"/>
      </w:pPr>
      <w:r>
        <w:rPr>
          <w:rFonts w:ascii="Calibri" w:eastAsia="Yu Gothic" w:hAnsi="Calibri"/>
        </w:rPr>
        <w:t xml:space="preserve">Only when the User presses the button, one fetch without running scripts is done on the registered URL, and the HTTP status, hash of the body, and presence of images are recorded with a timestamp.</w:t>
      </w:r>
    </w:p>
    <w:p>
      <w:pPr>
        <w:pStyle w:val="ListParagraph"/>
        <w:keepNext w:val="false"/>
        <w:keepLines/>
        <w:numPr>
          <w:ilvl w:val="0"/>
          <w:numId w:val="2"/>
        </w:numPr>
        <w:spacing w:after="20" w:before="20" w:line="300"/>
      </w:pPr>
      <w:r>
        <w:rPr>
          <w:rFonts w:ascii="Calibri" w:eastAsia="Yu Gothic" w:hAnsi="Calibri"/>
        </w:rPr>
        <w:t xml:space="preserve">No scheduled automatic checks. The list screen shows the “last checked date” so the User can remember.</w:t>
      </w:r>
    </w:p>
    <w:p>
      <w:pPr>
        <w:pStyle w:val="Heading1"/>
      </w:pPr>
      <w:r>
        <w:rPr>
          <w:rFonts w:ascii="Calibri" w:eastAsia="Yu Gothic" w:hAnsi="Calibri"/>
        </w:rPr>
        <w:t xml:space="preserve">7. Corrections</w:t>
      </w:r>
    </w:p>
    <w:p>
      <w:pPr>
        <w:pStyle w:val="ListParagraph"/>
        <w:keepNext/>
        <w:keepLines/>
        <w:numPr>
          <w:ilvl w:val="0"/>
          <w:numId w:val="2"/>
        </w:numPr>
        <w:spacing w:after="20" w:before="20" w:line="300"/>
      </w:pPr>
      <w:r>
        <w:rPr>
          <w:rFonts w:ascii="Calibri" w:eastAsia="Yu Gothic" w:hAnsi="Calibri"/>
        </w:rPr>
        <w:t xml:space="preserve">Withdrawing a mistaken registration: the User chooses a reason (mistake, already permitted, other), and a withdrawal record is appended. Evidence files are deleted, and the case record keeps the withdrawal, reason, and date/time (Chapter 1, 8.4 “Retention and deletion”). It is removed from the count in the list.</w:t>
      </w:r>
    </w:p>
    <w:p>
      <w:pPr>
        <w:pStyle w:val="ListParagraph"/>
        <w:keepNext w:val="false"/>
        <w:keepLines/>
        <w:numPr>
          <w:ilvl w:val="0"/>
          <w:numId w:val="2"/>
        </w:numPr>
        <w:spacing w:after="20" w:before="20" w:line="300"/>
      </w:pPr>
      <w:r>
        <w:rPr>
          <w:rFonts w:ascii="Calibri" w:eastAsia="Yu Gothic" w:hAnsi="Calibri"/>
        </w:rPr>
        <w:t xml:space="preserve">When a repost of something not one's own work has been registered (R-6-6-2“The handling of registering a repost that is not the User's own work is determined”): the registration stays on the device and does not reach other Users or providers. Harm arises only if the User sends a complaint based on that registration; before a complaint, the matching result and clues (Chapter 2, 4.4 “Clues when a person posing as the Rights Holder appears”) are shown, together with the fact that responsibility lies with the User (D-10-6“The judgment on matching and the responsibility for Registration are borne by the User who registered”).</w:t>
      </w:r>
    </w:p>
    <w:p>
      <w:pPr>
        <w:pStyle w:val="Heading1"/>
      </w:pPr>
      <w:r>
        <w:rPr>
          <w:rFonts w:ascii="Calibri" w:eastAsia="Yu Gothic" w:hAnsi="Calibri"/>
        </w:rPr>
        <w:t xml:space="preserve">8. List and Means</w:t>
      </w:r>
    </w:p>
    <w:p>
      <w:pPr>
        <w:pStyle w:val="ListParagraph"/>
        <w:keepNext/>
        <w:keepLines/>
        <w:numPr>
          <w:ilvl w:val="0"/>
          <w:numId w:val="2"/>
        </w:numPr>
        <w:spacing w:after="20" w:before="20" w:line="300"/>
      </w:pPr>
      <w:r>
        <w:rPr>
          <w:rFonts w:ascii="Calibri" w:eastAsia="Yu Gothic" w:hAnsi="Calibri"/>
        </w:rPr>
        <w:t xml:space="preserve">List: registered reposts are grouped by reposting site (domain), showing the count, first registration date, last checked date, status (6.1), and a mark of commercial use (Chapter 7, 6.2 “Joint action and priority”).</w:t>
      </w:r>
    </w:p>
    <w:p>
      <w:pPr>
        <w:pStyle w:val="ListParagraph"/>
        <w:keepNext/>
        <w:keepLines/>
        <w:numPr>
          <w:ilvl w:val="0"/>
          <w:numId w:val="2"/>
        </w:numPr>
        <w:spacing w:after="20" w:before="20" w:line="300"/>
      </w:pPr>
      <w:r>
        <w:rPr>
          <w:rFonts w:ascii="Calibri" w:eastAsia="Yu Gothic" w:hAnsi="Calibri"/>
        </w:rPr>
        <w:t xml:space="preserve">Options for action: for each case, the possible actions (complaints to the posting site's contact point, notices to CDN and hosting providers, ICP filing lookup for Chinese sites, export in preparation for consulting experts) are shown. Which to take is up to the User (Chapter 7 “Legal Action Guidance”).</w:t>
      </w:r>
    </w:p>
    <w:p>
      <w:pPr>
        <w:pStyle w:val="ListParagraph"/>
        <w:keepNext w:val="false"/>
        <w:keepLines/>
        <w:numPr>
          <w:ilvl w:val="0"/>
          <w:numId w:val="2"/>
        </w:numPr>
        <w:spacing w:after="20" w:before="20" w:line="300"/>
      </w:pPr>
      <w:r>
        <w:rPr>
          <w:rFonts w:ascii="Calibri" w:eastAsia="Yu Gothic" w:hAnsi="Calibri"/>
        </w:rPr>
        <w:t xml:space="preserve">Sharing: not shared with other Users (D-10-9“Information on registered reposts is listed on the User’s device, and the options for action are presented. No sharing among Users takes place (dealt with in Phase 2)”). Sharing information on reposting sites and notifications to authors from persons other than the author are handled in the design plan of Phase 2 (D-13-3“Registration of contact details for notifying authors is dealt with in the Phase 2 design plan”).</w:t>
      </w:r>
    </w:p>
    <w:p>
      <w:pPr>
        <w:pStyle w:val="Heading1"/>
      </w:pPr>
      <w:r>
        <w:rPr>
          <w:rFonts w:ascii="Calibri" w:eastAsia="Yu Gothic" w:hAnsi="Calibri"/>
        </w:rPr>
        <w:t xml:space="preserve">9.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4483"/>
        <w:gridCol w:w="3520"/>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44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3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Can register with one button</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“Registration”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R-6-1-2</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pages requiring login, what the User obtained can be imported</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“Registration”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R-6-1-3</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Registrations are recorded on the User's device and do not affect other Users' records</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“Registration”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R-6-1-4</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is room to accept registrations from Phase 2</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“Registration”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items to be shown later (Design Plan 10.3) can be kept</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2.2 “Fetching without running scripts”, 3.1 “Correspondence with the items to be shown later (Design Plan 10.3)”, 3.3 “Fetch failures”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R-6-2-2</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are provisions for fetch failures and malicious sites</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2.2 “Fetching without running scripts”, 3.1 “Correspondence with the items to be shown later (Design Plan 10.3)”, 3.3 “Fetch failures”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R-6-3-1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timestamp is attached and it can be shown that nothing has been tampered with</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3.2 “Trusted timestamps”, 3.4 “Export”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R-6-3-2</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Can be exported in a form that can be given to experts</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3.2 “Trusted timestamps”, 3.4 “Export”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R-6-4-1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match level and what is violated can be shown</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 “Matching”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R-6-5-1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 can see what happened afterwards to registered reposts</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 “Status Checking”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R-6-5-2</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Linked to the records of complaints</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 “Status Checking”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R-6-6-1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Mistaken registrations can be withdrawn</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“Corrections”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R-6-6-2</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handling when a repost of something not one's own work has been registered is determined</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7 “Corrections”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R-6-7-1</w:t>
            </w:r>
          </w:p>
        </w:tc>
        <w:tc>
          <w:tcPr>
            <w:tcW w:type="dxa" w:w="44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Registered reposts can be listed with options for action (not shared among Users)</w:t>
            </w:r>
          </w:p>
        </w:tc>
        <w:tc>
          <w:tcPr>
            <w:tcW w:type="dxa" w:w="3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 “List and Means”</w:t>
            </w:r>
          </w:p>
        </w:tc>
      </w:tr>
    </w:tbl>
    <w:p>
      <w:pPr>
        <w:spacing w:after="100" w:before="0"/>
      </w:pPr>
    </w:p>
    <w:p>
      <w:pPr>
        <w:pStyle w:val="Heading1"/>
      </w:pPr>
      <w:r>
        <w:rPr>
          <w:rFonts w:ascii="Calibri" w:eastAsia="Yu Gothic" w:hAnsi="Calibri"/>
        </w:rPr>
        <w:t xml:space="preserve">10. Gaps Declared in This Chapter</w:t>
      </w:r>
    </w:p>
    <w:p>
      <w:pPr>
        <w:pStyle w:val="ListParagraph"/>
        <w:keepNext/>
        <w:keepLines/>
        <w:numPr>
          <w:ilvl w:val="0"/>
          <w:numId w:val="2"/>
        </w:numPr>
        <w:spacing w:after="20" w:before="20" w:line="300"/>
      </w:pPr>
      <w:r>
        <w:rPr>
          <w:rFonts w:ascii="Calibri" w:eastAsia="Yu Gothic" w:hAnsi="Calibri"/>
        </w:rPr>
        <w:t xml:space="preserve">Evidence exists only on the User's device, and a User who has not exported loses evidence if the device is lost (Chapter 8 “Repository and Data Management”).</w:t>
      </w:r>
    </w:p>
    <w:p>
      <w:pPr>
        <w:pStyle w:val="ListParagraph"/>
        <w:keepNext/>
        <w:keepLines/>
        <w:numPr>
          <w:ilvl w:val="0"/>
          <w:numId w:val="2"/>
        </w:numPr>
        <w:spacing w:after="20" w:before="20" w:line="300"/>
      </w:pPr>
      <w:r>
        <w:rPr>
          <w:rFonts w:ascii="Calibri" w:eastAsia="Yu Gothic" w:hAnsi="Calibri"/>
        </w:rPr>
        <w:t xml:space="preserve">For pages requiring login, only the User's screenshots can be relied on. Screenshots can be edited, so their evidential weight is weaker than fetch records.</w:t>
      </w:r>
    </w:p>
    <w:p>
      <w:pPr>
        <w:pStyle w:val="ListParagraph"/>
        <w:keepNext/>
        <w:keepLines/>
        <w:numPr>
          <w:ilvl w:val="0"/>
          <w:numId w:val="2"/>
        </w:numPr>
        <w:spacing w:after="20" w:before="20" w:line="300"/>
      </w:pPr>
      <w:r>
        <w:rPr>
          <w:rFonts w:ascii="Calibri" w:eastAsia="Yu Gothic" w:hAnsi="Calibri"/>
        </w:rPr>
        <w:t xml:space="preserve">The server behind a CDN may not be identified. Reposts whose location cannot be found even after investigation are not dealt with (D-9-7“The location of the server is taken to be ascertainable by investigation; if it cannot be ascertained, action is abandoned”).</w:t>
      </w:r>
    </w:p>
    <w:p>
      <w:pPr>
        <w:pStyle w:val="ListParagraph"/>
        <w:keepNext/>
        <w:keepLines/>
        <w:numPr>
          <w:ilvl w:val="0"/>
          <w:numId w:val="2"/>
        </w:numPr>
        <w:spacing w:after="20" w:before="20" w:line="300"/>
      </w:pPr>
      <w:r>
        <w:rPr>
          <w:rFonts w:ascii="Calibri" w:eastAsia="Yu Gothic" w:hAnsi="Calibri"/>
        </w:rPr>
        <w:t xml:space="preserve">The treatment of third parties' works captured in screen records of reposted pages: no explicit exception could be confirmed in China, and confirmation by experts is needed (Legal L-21“Copying for evidence (Japan, China, US)”).</w:t>
      </w:r>
    </w:p>
    <w:p>
      <w:pPr>
        <w:pStyle w:val="ListParagraph"/>
        <w:keepNext/>
        <w:keepLines/>
        <w:numPr>
          <w:ilvl w:val="0"/>
          <w:numId w:val="2"/>
        </w:numPr>
        <w:spacing w:after="20" w:before="20" w:line="300"/>
      </w:pPr>
      <w:r>
        <w:rPr>
          <w:rFonts w:ascii="Calibri" w:eastAsia="Yu Gothic" w:hAnsi="Calibri"/>
        </w:rPr>
        <w:t xml:space="preserve">Status checking is only by the User's operation, so changes while the User does not check (removal, reposting) are not recorded.</w:t>
      </w:r>
    </w:p>
    <w:p>
      <w:pPr>
        <w:pStyle w:val="ListParagraph"/>
        <w:keepNext/>
        <w:keepLines/>
        <w:numPr>
          <w:ilvl w:val="0"/>
          <w:numId w:val="2"/>
        </w:numPr>
        <w:spacing w:after="20" w:before="20" w:line="300"/>
      </w:pPr>
      <w:r>
        <w:rPr>
          <w:rFonts w:ascii="Calibri" w:eastAsia="Yu Gothic" w:hAnsi="Calibri"/>
        </w:rPr>
        <w:t xml:space="preserve">Matching results remain probabilistic. After recompression or cropping, only a match level can be shown (Chapter 13, H-2“Matching results remain probabilistic”).</w:t>
      </w:r>
    </w:p>
    <w:p>
      <w:pPr>
        <w:pStyle w:val="ListParagraph"/>
        <w:keepNext w:val="false"/>
        <w:keepLines/>
        <w:numPr>
          <w:ilvl w:val="0"/>
          <w:numId w:val="2"/>
        </w:numPr>
        <w:spacing w:after="20" w:before="20" w:line="300"/>
      </w:pPr>
      <w:r>
        <w:rPr>
          <w:rFonts w:ascii="Calibri" w:eastAsia="Yu Gothic" w:hAnsi="Calibri"/>
        </w:rPr>
        <w:t xml:space="preserve">Because information on reposting sites is not shared among Users, other Rights Holders are less likely to notice the same reposting site (Chapter 13, H-24“Information on repost sites is not shared among Users”).</w:t>
      </w:r>
    </w:p>
    <w:p>
      <w:pPr>
        <w:pStyle w:val="Heading1"/>
      </w:pPr>
      <w:r>
        <w:rPr>
          <w:rFonts w:ascii="Calibri" w:eastAsia="Yu Gothic" w:hAnsi="Calibri"/>
        </w:rPr>
        <w:t xml:space="preserve">11. Corrections to the Outline Design Document</w:t>
      </w:r>
    </w:p>
    <w:p>
      <w:pPr>
        <w:pStyle w:val="ListParagraph"/>
        <w:keepNext/>
        <w:keepLines/>
        <w:numPr>
          <w:ilvl w:val="0"/>
          <w:numId w:val="2"/>
        </w:numPr>
        <w:spacing w:after="20" w:before="20" w:line="300"/>
      </w:pPr>
      <w:r>
        <w:rPr>
          <w:rFonts w:ascii="Calibri" w:eastAsia="Yu Gothic" w:hAnsi="Calibri"/>
        </w:rPr>
        <w:t xml:space="preserve">O-06“Sharing of information on repost sites” was deleted in Design Plan Edition 2 (not shared).</w:t>
      </w:r>
    </w:p>
    <w:p>
      <w:pPr>
        <w:pStyle w:val="ListParagraph"/>
        <w:keepNext w:val="false"/>
        <w:keepLines/>
        <w:numPr>
          <w:ilvl w:val="0"/>
          <w:numId w:val="2"/>
        </w:numPr>
        <w:spacing w:after="20" w:before="20" w:line="300"/>
      </w:pPr>
      <w:r>
        <w:rPr>
          <w:rFonts w:ascii="Calibri" w:eastAsia="Yu Gothic" w:hAnsi="Calibri"/>
        </w:rPr>
        <w:t xml:space="preserve">State in 6-5 (status checking) that “it is checked only on the User's operation, with no automatic crawling”.</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6: Registration and Evidence Preservation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6: Registration and Evidence Preservation</dc:title>
  <dc:creator>Ishikawa Sou</dc:creator>
  <cp:lastModifiedBy>Un-named</cp:lastModifiedBy>
  <cp:revision>1</cp:revision>
  <dcterms:created xsi:type="dcterms:W3CDTF">2026-09-30T00:15:31.519Z</dcterms:created>
  <dcterms:modified xsi:type="dcterms:W3CDTF">2026-09-30T00:15:31.519Z</dcterms:modified>
</cp:coreProperties>
</file>

<file path=docProps/custom.xml><?xml version="1.0" encoding="utf-8"?>
<Properties xmlns="http://schemas.openxmlformats.org/officeDocument/2006/custom-properties" xmlns:vt="http://schemas.openxmlformats.org/officeDocument/2006/docPropsVTypes"/>
</file>