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Calibri" w:cs="Calibri" w:eastAsia="Calibri" w:hAnsi="Calibri"/>
          <w:color w:val="404040"/>
          <w:sz w:val="26"/>
          <w:szCs w:val="26"/>
        </w:rPr>
        <w:t xml:space="preserve">Anti-Repost Tool for Cosplay Photos</w:t>
      </w:r>
    </w:p>
    <w:p>
      <w:pPr>
        <w:spacing w:after="300"/>
        <w:jc w:val="center"/>
      </w:pPr>
      <w:r>
        <w:rPr>
          <w:rFonts w:ascii="Calibri" w:cs="Calibri" w:eastAsia="Calibri" w:hAnsi="Calibri"/>
          <w:b/>
          <w:bCs/>
          <w:color w:val="345A8A"/>
          <w:sz w:val="40"/>
          <w:szCs w:val="40"/>
        </w:rPr>
        <w:t xml:space="preserve">Basic Design Document Chapter 11: Development Base</w:t>
      </w:r>
    </w:p>
    <w:p>
      <w:pPr>
        <w:spacing w:after="1600"/>
        <w:jc w:val="center"/>
      </w:pPr>
      <w:r>
        <w:rPr>
          <w:rFonts w:ascii="Calibri" w:cs="Calibri" w:eastAsia="Calibri" w:hAnsi="Calibri"/>
          <w:sz w:val="24"/>
          <w:szCs w:val="24"/>
        </w:rPr>
        <w:t xml:space="preserve">Edition 1 (Draft)  2026-09-29 · Ishikawa Sou</w:t>
      </w:r>
    </w:p>
    <w:p>
      <w:pPr>
        <w:spacing w:after="120"/>
        <w:jc w:val="center"/>
      </w:pPr>
      <w:r>
        <w:rPr>
          <w:rFonts w:ascii="Calibri" w:cs="Calibri" w:eastAsia="Calibri" w:hAnsi="Calibri"/>
          <w:sz w:val="24"/>
          <w:szCs w:val="24"/>
        </w:rPr>
        <w:t xml:space="preserve">Nagareyama Software Development Co., Ltd. (NRSD)</w:t>
      </w:r>
    </w:p>
    <w:p>
      <w:pPr>
        <w:spacing w:before="2400" w:line="300"/>
      </w:pPr>
      <w:r>
        <w:rPr>
          <w:rFonts w:ascii="Calibri" w:cs="Calibri" w:eastAsia="Calibri" w:hAnsi="Calibri"/>
          <w:color w:val="404040"/>
          <w:sz w:val="18"/>
          <w:szCs w:val="18"/>
        </w:rPr>
        <w:t xml:space="preserve">© 2026 Nagareyama Software Development Co., Ltd. (NRSD), Lead Developer: Ishikawa Sou (石川宗). Copyright in this document belongs to Nagareyama Software Development Co., Ltd. (NRSD). Rights in the third-party standards, software, commentaries on laws, and other materials referred to in this document belong to their respective holders. This is a translation of the Japanese original; where they differ, the Japanese original prevails.</w:t>
      </w:r>
    </w:p>
    <w:p>
      <w:pPr>
        <w:pageBreakBefore/>
        <w:spacing w:after="240"/>
      </w:pPr>
      <w:r>
        <w:rPr>
          <w:rFonts w:ascii="Calibri" w:cs="Calibri" w:eastAsia="Calibri" w:hAnsi="Calibri"/>
          <w:b/>
          <w:bCs/>
          <w:color w:val="345A8A"/>
          <w:sz w:val="30"/>
          <w:szCs w:val="30"/>
        </w:rPr>
        <w:t xml:space="preserve">Contents</w:t>
      </w:r>
    </w:p>
    <w:p>
      <w:pPr>
        <w:spacing w:after="40" w:before="40"/>
        <w:ind w:left="240"/>
      </w:pPr>
      <w:r>
        <w:rPr>
          <w:rFonts w:ascii="Calibri" w:cs="Calibri" w:eastAsia="Calibri" w:hAnsi="Calibri"/>
          <w:sz w:val="22"/>
          <w:szCs w:val="22"/>
        </w:rPr>
        <w:t xml:space="preserve">Position of This Document</w:t>
      </w:r>
    </w:p>
    <w:p>
      <w:pPr>
        <w:spacing w:after="40" w:before="40"/>
        <w:ind w:left="240"/>
      </w:pPr>
      <w:r>
        <w:rPr>
          <w:rFonts w:ascii="Calibri" w:cs="Calibri" w:eastAsia="Calibri" w:hAnsi="Calibri"/>
          <w:sz w:val="22"/>
          <w:szCs w:val="22"/>
        </w:rPr>
        <w:t xml:space="preserve">1. List of Design Decisions</w:t>
      </w:r>
    </w:p>
    <w:p>
      <w:pPr>
        <w:spacing w:after="40" w:before="40"/>
        <w:ind w:left="240"/>
      </w:pPr>
      <w:r>
        <w:rPr>
          <w:rFonts w:ascii="Calibri" w:cs="Calibri" w:eastAsia="Calibri" w:hAnsi="Calibri"/>
          <w:sz w:val="22"/>
          <w:szCs w:val="22"/>
        </w:rPr>
        <w:t xml:space="preserve">2. Basis for Selection (Conditions of Design Plan 6.2)</w:t>
      </w:r>
    </w:p>
    <w:p>
      <w:pPr>
        <w:spacing w:after="40" w:before="40"/>
        <w:ind w:left="240"/>
      </w:pPr>
      <w:r>
        <w:rPr>
          <w:rFonts w:ascii="Calibri" w:cs="Calibri" w:eastAsia="Calibri" w:hAnsi="Calibri"/>
          <w:sz w:val="22"/>
          <w:szCs w:val="22"/>
        </w:rPr>
        <w:t xml:space="preserve">3. Development Environment and Versions</w:t>
      </w:r>
    </w:p>
    <w:p>
      <w:pPr>
        <w:spacing w:after="40" w:before="40"/>
        <w:ind w:left="240"/>
      </w:pPr>
      <w:r>
        <w:rPr>
          <w:rFonts w:ascii="Calibri" w:cs="Calibri" w:eastAsia="Calibri" w:hAnsi="Calibri"/>
          <w:sz w:val="22"/>
          <w:szCs w:val="22"/>
        </w:rPr>
        <w:t xml:space="preserve">4. List of Components</w:t>
      </w:r>
    </w:p>
    <w:p>
      <w:pPr>
        <w:spacing w:after="40" w:before="40"/>
        <w:ind w:left="240"/>
      </w:pPr>
      <w:r>
        <w:rPr>
          <w:rFonts w:ascii="Calibri" w:cs="Calibri" w:eastAsia="Calibri" w:hAnsi="Calibri"/>
          <w:sz w:val="22"/>
          <w:szCs w:val="22"/>
        </w:rPr>
        <w:t xml:space="preserve">5. Dependency Policy</w:t>
      </w:r>
    </w:p>
    <w:p>
      <w:pPr>
        <w:spacing w:after="40" w:before="40"/>
        <w:ind w:left="240"/>
      </w:pPr>
      <w:r>
        <w:rPr>
          <w:rFonts w:ascii="Calibri" w:cs="Calibri" w:eastAsia="Calibri" w:hAnsi="Calibri"/>
          <w:sz w:val="22"/>
          <w:szCs w:val="22"/>
        </w:rPr>
        <w:t xml:space="preserve">6. SBOM and Provenance Attestations</w:t>
      </w:r>
    </w:p>
    <w:p>
      <w:pPr>
        <w:spacing w:after="40" w:before="40"/>
        <w:ind w:left="240"/>
      </w:pPr>
      <w:r>
        <w:rPr>
          <w:rFonts w:ascii="Calibri" w:cs="Calibri" w:eastAsia="Calibri" w:hAnsi="Calibri"/>
          <w:sz w:val="22"/>
          <w:szCs w:val="22"/>
        </w:rPr>
        <w:t xml:space="preserve">7. Repository Structure</w:t>
      </w:r>
    </w:p>
    <w:p>
      <w:pPr>
        <w:spacing w:after="40" w:before="40"/>
        <w:ind w:left="240"/>
      </w:pPr>
      <w:r>
        <w:rPr>
          <w:rFonts w:ascii="Calibri" w:cs="Calibri" w:eastAsia="Calibri" w:hAnsi="Calibri"/>
          <w:sz w:val="22"/>
          <w:szCs w:val="22"/>
        </w:rPr>
        <w:t xml:space="preserve">8. Build and Continuous Integration (CI)</w:t>
      </w:r>
    </w:p>
    <w:p>
      <w:pPr>
        <w:spacing w:after="40" w:before="40"/>
        <w:ind w:left="240"/>
      </w:pPr>
      <w:r>
        <w:rPr>
          <w:rFonts w:ascii="Calibri" w:cs="Calibri" w:eastAsia="Calibri" w:hAnsi="Calibri"/>
          <w:sz w:val="22"/>
          <w:szCs w:val="22"/>
        </w:rPr>
        <w:t xml:space="preserve">9. NRSD's License (Decision on O-09“NRSD’s license type”)</w:t>
      </w:r>
    </w:p>
    <w:p>
      <w:pPr>
        <w:spacing w:after="40" w:before="40"/>
        <w:ind w:left="240"/>
      </w:pPr>
      <w:r>
        <w:rPr>
          <w:rFonts w:ascii="Calibri" w:cs="Calibri" w:eastAsia="Calibri" w:hAnsi="Calibri"/>
          <w:sz w:val="22"/>
          <w:szCs w:val="22"/>
        </w:rPr>
        <w:t xml:space="preserve">10. Versioning and Branch Operation</w:t>
      </w:r>
    </w:p>
    <w:p>
      <w:pPr>
        <w:spacing w:after="40" w:before="40"/>
        <w:ind w:left="240"/>
      </w:pPr>
      <w:r>
        <w:rPr>
          <w:rFonts w:ascii="Calibri" w:cs="Calibri" w:eastAsia="Calibri" w:hAnsi="Calibri"/>
          <w:sz w:val="22"/>
          <w:szCs w:val="22"/>
        </w:rPr>
        <w:t xml:space="preserve">11. Coding Conventions</w:t>
      </w:r>
    </w:p>
    <w:p>
      <w:pPr>
        <w:spacing w:after="40" w:before="40"/>
        <w:ind w:left="240"/>
      </w:pPr>
      <w:r>
        <w:rPr>
          <w:rFonts w:ascii="Calibri" w:cs="Calibri" w:eastAsia="Calibri" w:hAnsi="Calibri"/>
          <w:sz w:val="22"/>
          <w:szCs w:val="22"/>
        </w:rPr>
        <w:t xml:space="preserve">12. Preparation for When a Component's Maintenance Stops</w:t>
      </w:r>
    </w:p>
    <w:p>
      <w:pPr>
        <w:spacing w:after="40" w:before="40"/>
        <w:ind w:left="240"/>
      </w:pPr>
      <w:r>
        <w:rPr>
          <w:rFonts w:ascii="Calibri" w:cs="Calibri" w:eastAsia="Calibri" w:hAnsi="Calibri"/>
          <w:sz w:val="22"/>
          <w:szCs w:val="22"/>
        </w:rPr>
        <w:t xml:space="preserve">13. Mapping to Requirements</w:t>
      </w:r>
    </w:p>
    <w:p>
      <w:pPr>
        <w:spacing w:after="40" w:before="40"/>
        <w:ind w:left="240"/>
      </w:pPr>
      <w:r>
        <w:rPr>
          <w:rFonts w:ascii="Calibri" w:cs="Calibri" w:eastAsia="Calibri" w:hAnsi="Calibri"/>
          <w:sz w:val="22"/>
          <w:szCs w:val="22"/>
        </w:rPr>
        <w:t xml:space="preserve">14. Gaps Declared in This Chapter</w:t>
      </w:r>
    </w:p>
    <w:p>
      <w:pPr>
        <w:spacing w:after="40" w:before="40"/>
        <w:ind w:left="240"/>
      </w:pPr>
      <w:r>
        <w:rPr>
          <w:rFonts w:ascii="Calibri" w:cs="Calibri" w:eastAsia="Calibri" w:hAnsi="Calibri"/>
          <w:sz w:val="22"/>
          <w:szCs w:val="22"/>
        </w:rPr>
        <w:t xml:space="preserve">15. Corrections to Other Chapters and the Outline Design Document</w:t>
      </w:r>
    </w:p>
    <w:p>
      <w:r>
        <w:br w:type="page"/>
      </w:r>
    </w:p>
    <w:p>
      <w:pPr>
        <w:pStyle w:val="Heading1"/>
      </w:pPr>
      <w:r>
        <w:rPr>
          <w:rFonts w:ascii="Calibri" w:eastAsia="Yu Gothic" w:hAnsi="Calibri"/>
        </w:rPr>
        <w:t xml:space="preserve">Position of This Document</w:t>
      </w:r>
    </w:p>
    <w:p>
      <w:pPr>
        <w:pStyle w:val="ListParagraph"/>
        <w:keepNext/>
        <w:keepLines/>
        <w:numPr>
          <w:ilvl w:val="0"/>
          <w:numId w:val="2"/>
        </w:numPr>
        <w:spacing w:after="20" w:before="20" w:line="300"/>
      </w:pPr>
      <w:r>
        <w:rPr>
          <w:rFonts w:ascii="Calibri" w:eastAsia="Yu Gothic" w:hAnsi="Calibri"/>
        </w:rPr>
        <w:t xml:space="preserve">Details Chapter 11 of the Outline Design Document. This chapter sets the framework for screens and processing, the list of components (dependencies) and the policy on them, the repository structure, build and continuous integration (CI), the software bill of materials (SBOM) and provenance attestations, coding conventions, versioning, preparation for when a component's maintenance stops, and NRSD's license (decided as Apache-2.0).</w:t>
      </w:r>
    </w:p>
    <w:p>
      <w:pPr>
        <w:pStyle w:val="ListParagraph"/>
        <w:keepNext/>
        <w:keepLines/>
        <w:numPr>
          <w:ilvl w:val="0"/>
          <w:numId w:val="2"/>
        </w:numPr>
        <w:spacing w:after="20" w:before="20" w:line="300"/>
      </w:pPr>
      <w:r>
        <w:rPr>
          <w:rFonts w:ascii="Calibri" w:eastAsia="Yu Gothic" w:hAnsi="Calibri"/>
        </w:rPr>
        <w:t xml:space="preserve">This chapter is based on the study memo “Study of Chapter 11 Development Base” (NRSD's internal record of study, not distributed with this document; the facts underlying the design are written with their sources in each section of this document). The third draft revised the minimum OS and CPU supported by the ONNX runtime, how the ONNX runtime is obtained, and how c2pa-rs's cryptography implementation is chosen, to fit the facts researched (the second-round section of the study memo).</w:t>
      </w:r>
    </w:p>
    <w:p>
      <w:pPr>
        <w:pStyle w:val="ListParagraph"/>
        <w:keepNext w:val="false"/>
        <w:keepLines/>
        <w:numPr>
          <w:ilvl w:val="0"/>
          <w:numId w:val="2"/>
        </w:numPr>
        <w:spacing w:after="20" w:before="20" w:line="300"/>
      </w:pPr>
      <w:r>
        <w:rPr>
          <w:rFonts w:ascii="Calibri" w:eastAsia="Yu Gothic" w:hAnsi="Calibri"/>
        </w:rPr>
        <w:t xml:space="preserve">The decisions received are as in the following 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076"/>
        <w:gridCol w:w="5552"/>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07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Type</w:t>
            </w:r>
          </w:p>
        </w:tc>
        <w:tc>
          <w:tcPr>
            <w:tcW w:type="dxa" w:w="55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D-6-3</w:t>
            </w:r>
          </w:p>
        </w:tc>
        <w:tc>
          <w:tcPr>
            <w:tcW w:type="dxa" w:w="3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55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development base is not fixed to any specific library in this document. The statement on c2pa-python in Section 6 of the Draft Project Proposal is not carried over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D-6-4</w:t>
            </w:r>
          </w:p>
        </w:tc>
        <w:tc>
          <w:tcPr>
            <w:tcW w:type="dxa" w:w="3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Decision</w:t>
            </w:r>
          </w:p>
        </w:tc>
        <w:tc>
          <w:tcPr>
            <w:tcW w:type="dxa" w:w="55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development base shall be selected in the design document from among those meeting the conditions in Section 6.2</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O-02</w:t>
            </w:r>
          </w:p>
        </w:tc>
        <w:tc>
          <w:tcPr>
            <w:tcW w:type="dxa" w:w="3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Open (decided as Tauri 2 in DD-11-1“Built with Tauri 2” of this chapter)</w:t>
            </w:r>
          </w:p>
        </w:tc>
        <w:tc>
          <w:tcPr>
            <w:tcW w:type="dxa" w:w="55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Development base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O-09</w:t>
            </w:r>
          </w:p>
        </w:tc>
        <w:tc>
          <w:tcPr>
            <w:tcW w:type="dxa" w:w="3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Open (decided as Apache-2.0 in 9 of this chapter; 2026-09-30)</w:t>
            </w:r>
          </w:p>
        </w:tc>
        <w:tc>
          <w:tcPr>
            <w:tcW w:type="dxa" w:w="55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NRSD’s license type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A-11</w:t>
            </w:r>
          </w:p>
        </w:tc>
        <w:tc>
          <w:tcPr>
            <w:tcW w:type="dxa" w:w="3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Omission found in the item breakdown</w:t>
            </w:r>
          </w:p>
        </w:tc>
        <w:tc>
          <w:tcPr>
            <w:tcW w:type="dxa" w:w="55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Font licenses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A-18</w:t>
            </w:r>
          </w:p>
        </w:tc>
        <w:tc>
          <w:tcPr>
            <w:tcW w:type="dxa" w:w="307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Omission found in the item breakdown</w:t>
            </w:r>
          </w:p>
        </w:tc>
        <w:tc>
          <w:tcPr>
            <w:tcW w:type="dxa" w:w="55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Export controls on software containing cryptography (handled by Legal)</w:t>
            </w:r>
          </w:p>
        </w:tc>
      </w:tr>
    </w:tbl>
    <w:p>
      <w:pPr>
        <w:spacing w:after="100" w:before="0"/>
      </w:pPr>
    </w:p>
    <w:p>
      <w:pPr>
        <w:pStyle w:val="Heading1"/>
      </w:pPr>
      <w:r>
        <w:rPr>
          <w:rFonts w:ascii="Calibri" w:eastAsia="Yu Gothic" w:hAnsi="Calibri"/>
        </w:rPr>
        <w:t xml:space="preserve">1. List of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10"/>
        <w:gridCol w:w="3050"/>
        <w:gridCol w:w="2952"/>
        <w:gridCol w:w="2626"/>
      </w:tblGrid>
      <w:tr>
        <w:trPr>
          <w:cantSplit/>
          <w:tblHeader/>
        </w:trPr>
        <w:tc>
          <w:tcPr>
            <w:tcW w:type="dxa" w:w="101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Number</w:t>
            </w:r>
          </w:p>
        </w:tc>
        <w:tc>
          <w:tcPr>
            <w:tcW w:type="dxa" w:w="305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Decision</w:t>
            </w:r>
          </w:p>
        </w:tc>
        <w:tc>
          <w:tcPr>
            <w:tcW w:type="dxa" w:w="29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Reason</w:t>
            </w:r>
          </w:p>
        </w:tc>
        <w:tc>
          <w:tcPr>
            <w:tcW w:type="dxa" w:w="262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Rejected alternatives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DD-11-1</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Client App and operator tool are built with Tauri 2. Screens in HTML, CSS, and TypeScript; processing in Rust</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Meets the conditions of Design Plan 6.2 “Development Base” (three OSes, freedom of look, image processing, C2PA, watermark, and hash, self-update) (2). Uses the OS's WebView, so distributables are small</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Electron (bundles Chromium and Node.js; large distributables). Qt (requires judgment on freedom of look and on LGPL/commercial licensing). Flutter (C2PA and watermark components would need to be called separately from Rust)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DD-11-2</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 uses c2pa-rs (crate name c2pa)</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public SDK of the Content Authenticity Initiative (CAI) (c2pa-rs README: “part of the Content Authenticity Initiative open-source SDK”). The core of c2pa-python</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Calling c2pa-python as a separate process (requires bundling Python)</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DD-11-3</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invisible watermark uses TrustMark's Rust crate (trustmark) and the ONNX runtime (ort). Variant Q is the default, with P or C as candidates decided by measurement (Chapter 3, DD-3-2“The watermark is TrustMark and carries the identification number”)</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C2PA-approved watermark (Q, C, P). MIT. The Rust version supports embedding and reading</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Bundling the Python version (large distributables with PyTorch)</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DD-11-4</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PDQ uses pdqhash (pure Rust, Apache-2.0), adopted after confirming agreement with the test values of the original reference implementation. If they do not agree, switch to pdq-rs (wrapping the original C++)</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Pure Rust is easy to build</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Wrapping C++ from the start (build effort on three OSes)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DD-11-5</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Images are read and written with the image crate. Supported formats: JPEG, PNG, TIFF, WebP. Pixels of HEIC and RAW are not read (for Originals such as RAW, only the SHA-256 fingerprint is recorded)</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Decoding HEIC carries a heavy burden of patents and components. Pixels are not needed to prove possession of the Original (the file's fingerprint suffices)</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Bundling libheif and libraw</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DD-11-6</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Keys are kept in the OS keystore (Credential Manager / DPAPI on Windows, Keychain on macOS, Secret Service on Linux) via the keyring crate</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Fits C2PA's Level 1 requirements (stored encrypted, using the OS keystore) (Research Materials “C2PA Certificates and Identity”)</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App-specific encrypted files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DD-11-7</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Communication uses reqwest (TLS by rustls), limited to the parties and limits of Chapter 1, 4.2 “Communication with the outside”</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Limits outbound sending (quality goal 3 of Chapter 1). rustls avoids differences between OS TLS implementations</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Using the OS's TLS (behavior differs across three OSes)</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DD-11-8</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Internationalization uses screen text files (JSON in ICU MessageFormat)</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Languages can be added later to Japanese, Chinese, and English (Design Plan D-9-8“The display languages are Japanese, Chinese, and English, with others added on request”)</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DD-11-9</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Licenses of third-party components are listed, collected automatically per release, and bundled (cargo-about for Rust, npm dependencies for screens)</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Design Plan Chapter 17 “Third-Party Rights and Licenses”, R-9-5-1“The required license notices are bundled”</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 manual list</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DD-11-10</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screen framework is Vite, TypeScript, and Svelte 5</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screen is one window and state management is simple. Svelte converts screen components to JavaScript at build time, and the runtime is small</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React (many components; heavy for this scale). Vue (comparable; no deciding factor). Fitting a commissioned designer (there is no designer to commission; Chapter 10, DD-10-2“Design is done and judged by NRSD's Lead Developer”)</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DD-11-11</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Dependencies are limited to permitted licenses and official registries (crates.io, npm), and checked every time in CI with cargo-deny and npm audit</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Keeps room for NRSD's licensing decision (no GPL family). Limiting sources prevents tampered components from getting in</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Checking by hand</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DD-11-12</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each release, an SBOM (CycloneDX) accompanies the distributables, the dependency list is embedded in executables (cargo-auditable), and provenance attestations (GitHub artifact attestations) are attached</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When a vulnerability is published, anyone can check which versions contain it. It can be confirmed that distributables were built from the public source</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making an SBOM</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DD-11-13</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update signing key and the reference-information signing key are not placed in CI. Only code signing credentials are placed in CI secrets</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Even if CI is taken over, fake updates and reference information cannot be distributed (Chapter 1, T-8“Stealing NRSD's keys”)</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Doing all signing in CI</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DD-11-14</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 ONNX runtime uses ort's default acquisition (prebuilt components distributed by pyke; ort-sys holds a list of URLs and SHA-256 per version, with GitHub attestations). The SHA-256 of the obtained components is kept in the release record and SBOM, and the minimum OS version of the bundled components (</w:t>
            </w:r>
            <w:r>
              <w:rPr>
                <w:rFonts w:ascii="Consolas" w:eastAsia="Yu Gothic" w:hAnsi="Consolas"/>
                <w:b w:val="false"/>
                <w:bCs w:val="false"/>
                <w:sz w:val="18"/>
                <w:szCs w:val="18"/>
              </w:rPr>
              <w:t xml:space="preserve">minos</w:t>
            </w:r>
            <w:r>
              <w:rPr>
                <w:rFonts w:ascii="Calibri" w:eastAsia="Yu Gothic" w:hAnsi="Calibri"/>
                <w:b w:val="false"/>
                <w:bCs w:val="false"/>
                <w:sz w:val="18"/>
                <w:szCs w:val="18"/>
              </w:rPr>
              <w:t xml:space="preserve"> on macOS) is checked in CI</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Building the ONNX runtime from source is a lot of effort on three OSes. pyke's distribution can be checked by per-version hashes and attestations (ort's “Prebuilt binaries” guide)</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Building the ONNX runtime from source every time (build time and effort; kept as a preparation for when maintenance stops; 12)</w:t>
            </w:r>
          </w:p>
        </w:tc>
      </w:tr>
      <w:tr>
        <w:trPr>
          <w:cantSplit/>
          <w:tblHeader w:val="off"/>
        </w:trPr>
        <w:tc>
          <w:tcPr>
            <w:tcW w:type="dxa" w:w="101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DD-11-15</w:t>
            </w:r>
          </w:p>
        </w:tc>
        <w:tc>
          <w:tcPr>
            <w:tcW w:type="dxa" w:w="305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c2pa-rs is used with default features off, using only the Rust cryptography implementation (</w:t>
            </w:r>
            <w:r>
              <w:rPr>
                <w:rFonts w:ascii="Consolas" w:eastAsia="Yu Gothic" w:hAnsi="Consolas"/>
                <w:b w:val="false"/>
                <w:bCs w:val="false"/>
                <w:sz w:val="18"/>
                <w:szCs w:val="18"/>
              </w:rPr>
              <w:t xml:space="preserve">rust_native_crypto</w:t>
            </w:r>
            <w:r>
              <w:rPr>
                <w:rFonts w:ascii="Calibri" w:eastAsia="Yu Gothic" w:hAnsi="Calibri"/>
                <w:b w:val="false"/>
                <w:bCs w:val="false"/>
                <w:sz w:val="18"/>
                <w:szCs w:val="18"/>
              </w:rPr>
              <w:t xml:space="preserve">) and the reqwest implementation for communication. OpenSSL is not brought in</w:t>
            </w:r>
          </w:p>
        </w:tc>
        <w:tc>
          <w:tcPr>
            <w:tcW w:type="dxa" w:w="29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c2pa-rs's defaults include OpenSSL and several HTTP implementations (c2pa-rs's Cargo.toml). Communication is aligned on reqwest and rustls (DD-11-7“Networking uses reqwest and rustls, with limited destinations and caps”), avoiding building C components and OpenSSL differences per OS</w:t>
            </w:r>
          </w:p>
        </w:tc>
        <w:tc>
          <w:tcPr>
            <w:tcW w:type="dxa" w:w="262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Using the default features as is (requires bundling OpenSSL)</w:t>
            </w:r>
          </w:p>
        </w:tc>
      </w:tr>
    </w:tbl>
    <w:p>
      <w:pPr>
        <w:spacing w:after="100" w:before="0"/>
      </w:pPr>
    </w:p>
    <w:p>
      <w:pPr>
        <w:pStyle w:val="Heading1"/>
      </w:pPr>
      <w:r>
        <w:rPr>
          <w:rFonts w:ascii="Calibri" w:eastAsia="Yu Gothic" w:hAnsi="Calibri"/>
        </w:rPr>
        <w:t xml:space="preserve">2. Basis for Selection (Conditions of Design Plan 6.2)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5"/>
        <w:gridCol w:w="6263"/>
      </w:tblGrid>
      <w:tr>
        <w:trPr>
          <w:cantSplit/>
          <w:tblHeader/>
        </w:trPr>
        <w:tc>
          <w:tcPr>
            <w:tcW w:type="dxa" w:w="337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Condition (Design Plan 6.2 “Development Base”)</w:t>
            </w:r>
          </w:p>
        </w:tc>
        <w:tc>
          <w:tcPr>
            <w:tcW w:type="dxa" w:w="62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How Tauri 2 meets it</w:t>
            </w:r>
          </w:p>
        </w:tc>
      </w:tr>
      <w:tr>
        <w:trPr>
          <w:cantSplit/>
          <w:tblHeader w:val="off"/>
        </w:trPr>
        <w:tc>
          <w:tcPr>
            <w:tcW w:type="dxa" w:w="33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Runs on three OSes</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Runs on Windows (WebView2), macOS (WKWebView), and Linux (webkit2gtk 4.1) (Tauri's official prerequisites guide)</w:t>
            </w:r>
          </w:p>
        </w:tc>
      </w:tr>
      <w:tr>
        <w:trPr>
          <w:cantSplit/>
          <w:tblHeader w:val="off"/>
        </w:trPr>
        <w:tc>
          <w:tcPr>
            <w:tcW w:type="dxa" w:w="33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look can be made freely</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Screens are made with HTML and CSS (Chapter 10)</w:t>
            </w:r>
          </w:p>
        </w:tc>
      </w:tr>
      <w:tr>
        <w:trPr>
          <w:cantSplit/>
          <w:tblHeader w:val="off"/>
        </w:trPr>
        <w:tc>
          <w:tcPr>
            <w:tcW w:type="dxa" w:w="33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Image editing is easy to handle</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Drawing is done in Rust, and screens only handle display (Chapter 1, DD-1-8“The screen handles only display and input; processing happens in the Rust core”, Chapter 4, DD-4-5“Text shaping and rendering use the same Rust mechanism for preview and export”)</w:t>
            </w:r>
          </w:p>
        </w:tc>
      </w:tr>
      <w:tr>
        <w:trPr>
          <w:cantSplit/>
          <w:tblHeader w:val="off"/>
        </w:trPr>
        <w:tc>
          <w:tcPr>
            <w:tcW w:type="dxa" w:w="33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 handle C2PA signatures, invisible watermarks, and matching hashes</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c2pa-rs, trustmark, and pdqhash are used directly from Rust</w:t>
            </w:r>
          </w:p>
        </w:tc>
      </w:tr>
      <w:tr>
        <w:trPr>
          <w:cantSplit/>
          <w:tblHeader w:val="off"/>
        </w:trPr>
        <w:tc>
          <w:tcPr>
            <w:tcW w:type="dxa" w:w="337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Has or can incorporate a self-update mechanism</w:t>
            </w:r>
          </w:p>
        </w:tc>
        <w:tc>
          <w:tcPr>
            <w:tcW w:type="dxa" w:w="62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Tauri's update mechanism (verification of update signatures cannot be disabled; Chapter 9)</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The comparison of distributable sizes (Electron bundles Chromium and Node.js at 80 to 150 MB, Tauri under 10 MB) comes from third-party articles and is not an official figure. The size of the System's distributables is determined by fonts and models (4.3 “Assets”).</w:t>
      </w:r>
    </w:p>
    <w:p>
      <w:pPr>
        <w:pStyle w:val="Heading1"/>
      </w:pPr>
      <w:r>
        <w:rPr>
          <w:rFonts w:ascii="Calibri" w:eastAsia="Yu Gothic" w:hAnsi="Calibri"/>
        </w:rPr>
        <w:t xml:space="preserve">3. Development Environment and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20"/>
        <w:gridCol w:w="8018"/>
      </w:tblGrid>
      <w:tr>
        <w:trPr>
          <w:cantSplit/>
          <w:tblHeader/>
        </w:trPr>
        <w:tc>
          <w:tcPr>
            <w:tcW w:type="dxa" w:w="16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80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Version / content</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Rust</w:t>
            </w:r>
          </w:p>
        </w:tc>
        <w:tc>
          <w:tcPr>
            <w:tcW w:type="dxa" w:w="80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stable release, pinned to a specific version in </w:t>
            </w:r>
            <w:r>
              <w:rPr>
                <w:rFonts w:ascii="Consolas" w:eastAsia="Yu Gothic" w:hAnsi="Consolas"/>
                <w:b w:val="false"/>
                <w:bCs w:val="false"/>
                <w:sz w:val="18"/>
                <w:szCs w:val="18"/>
              </w:rPr>
              <w:t xml:space="preserve">rust-toolchain.toml</w:t>
            </w:r>
            <w:r>
              <w:rPr>
                <w:rFonts w:ascii="Calibri" w:eastAsia="Yu Gothic" w:hAnsi="Calibri"/>
                <w:b w:val="false"/>
                <w:bCs w:val="false"/>
                <w:sz w:val="18"/>
                <w:szCs w:val="18"/>
              </w:rPr>
              <w:t xml:space="preserve"> and raised every 3 months (initial value). The c2pa crate requires Rust 1.96.0 or later (c2pa-rs README). trustmark requires 1.88 or later. MSVC Rust on Windows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Windows build prerequisites</w:t>
            </w:r>
          </w:p>
        </w:tc>
        <w:tc>
          <w:tcPr>
            <w:tcW w:type="dxa" w:w="80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Microsoft C++ Build Tools, WebView2 (Tauri's official prerequisites)</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macOS build prerequisites</w:t>
            </w:r>
          </w:p>
        </w:tc>
        <w:tc>
          <w:tcPr>
            <w:tcW w:type="dxa" w:w="80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Xcode</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Linux build prerequisites</w:t>
            </w:r>
          </w:p>
        </w:tc>
        <w:tc>
          <w:tcPr>
            <w:tcW w:type="dxa" w:w="80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webkit2gtk 4.1 and development packages. Built on Ubuntu 22.04 (to make glibc 2.35 the minimum; 3.1)</w:t>
            </w:r>
          </w:p>
        </w:tc>
      </w:tr>
      <w:tr>
        <w:trPr>
          <w:cantSplit/>
          <w:tblHeader w:val="off"/>
        </w:trPr>
        <w:tc>
          <w:tcPr>
            <w:tcW w:type="dxa" w:w="16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Screens</w:t>
            </w:r>
          </w:p>
        </w:tc>
        <w:tc>
          <w:tcPr>
            <w:tcW w:type="dxa" w:w="80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Node.js long-term support version, Vite, TypeScript, Svelte 5. Dependencies pinned with package-lock</w:t>
            </w:r>
          </w:p>
        </w:tc>
      </w:tr>
    </w:tbl>
    <w:p>
      <w:pPr>
        <w:spacing w:after="100" w:before="0"/>
      </w:pPr>
    </w:p>
    <w:p>
      <w:pPr>
        <w:pStyle w:val="Heading2"/>
      </w:pPr>
      <w:r>
        <w:rPr>
          <w:rFonts w:ascii="Calibri" w:eastAsia="Yu Gothic" w:hAnsi="Calibri"/>
        </w:rPr>
        <w:t xml:space="preserve">3.1 Minimum supported OS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0"/>
        <w:gridCol w:w="2518"/>
        <w:gridCol w:w="2763"/>
        <w:gridCol w:w="3337"/>
      </w:tblGrid>
      <w:tr>
        <w:trPr>
          <w:cantSplit/>
          <w:tblHeader/>
        </w:trPr>
        <w:tc>
          <w:tcPr>
            <w:tcW w:type="dxa" w:w="1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OS</w:t>
            </w:r>
          </w:p>
        </w:tc>
        <w:tc>
          <w:tcPr>
            <w:tcW w:type="dxa" w:w="25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Minimum</w:t>
            </w:r>
          </w:p>
        </w:tc>
        <w:tc>
          <w:tcPr>
            <w:tcW w:type="dxa" w:w="27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CPU</w:t>
            </w:r>
          </w:p>
        </w:tc>
        <w:tc>
          <w:tcPr>
            <w:tcW w:type="dxa" w:w="33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Basis</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Windows</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Windows 10</w:t>
            </w:r>
          </w:p>
        </w:tc>
        <w:tc>
          <w:tcPr>
            <w:tcW w:type="dxa" w:w="2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x86_64 supporting x86-64-v3 (with AVX2 and so on: for Intel, Core and the like from Haswell (2013), though some Pentium and Celeron after 2013 lack it; for AMD, Excavator and later)</w:t>
            </w:r>
          </w:p>
        </w:tc>
        <w:tc>
          <w:tcPr>
            <w:tcW w:type="dxa" w:w="33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Support of TrustMark's Rust version (Research Materials “Technical Elements of Signing”, Section 2). ort's prebuilt x86_64 components require x86-64-v3 at minimum (ort 2.0.0-rc.11 guide)</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macOS</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macOS 14 or later (due to </w:t>
            </w:r>
            <w:r>
              <w:rPr>
                <w:rFonts w:ascii="Consolas" w:eastAsia="Yu Gothic" w:hAnsi="Consolas"/>
                <w:b w:val="false"/>
                <w:bCs w:val="false"/>
                <w:sz w:val="18"/>
                <w:szCs w:val="18"/>
              </w:rPr>
              <w:t xml:space="preserve">minos</w:t>
            </w:r>
            <w:r>
              <w:rPr>
                <w:rFonts w:ascii="Calibri" w:eastAsia="Yu Gothic" w:hAnsi="Calibri"/>
                <w:b w:val="false"/>
                <w:bCs w:val="false"/>
                <w:sz w:val="18"/>
                <w:szCs w:val="18"/>
              </w:rPr>
              <w:t xml:space="preserve"> of the bundled ONNX runtime; the ONNX runtime 1.27.1 as of 2026-09 is 14.0)</w:t>
            </w:r>
          </w:p>
        </w:tc>
        <w:tc>
          <w:tcPr>
            <w:tcW w:type="dxa" w:w="2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Apple CPUs only</w:t>
            </w:r>
          </w:p>
        </w:tc>
        <w:tc>
          <w:tcPr>
            <w:tcW w:type="dxa" w:w="33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ONNX runtime stopped distributing for Intel macOS from 1.24. ort dropped Intel macOS in 2.0.0-rc.11 and raised the macOS minimum to 13.4. The components of ONNX runtime 1.27.1 are built with macOS 14.0 as the minimum (ort's guide, onnxruntime issues, other users' reports)</w:t>
            </w:r>
          </w:p>
        </w:tc>
      </w:tr>
      <w:tr>
        <w:trPr>
          <w:cantSplit/>
          <w:tblHeader w:val="off"/>
        </w:trPr>
        <w:tc>
          <w:tcPr>
            <w:tcW w:type="dxa" w:w="1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Linux</w:t>
            </w:r>
          </w:p>
        </w:tc>
        <w:tc>
          <w:tcPr>
            <w:tcW w:type="dxa" w:w="25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glibc 2.35 or later (Ubuntu 22.04 or later, Debian 12 or later), libstdc++ 12 or later</w:t>
            </w:r>
          </w:p>
        </w:tc>
        <w:tc>
          <w:tcPr>
            <w:tcW w:type="dxa" w:w="27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x86_64 supporting x86-64-v3</w:t>
            </w:r>
          </w:p>
        </w:tc>
        <w:tc>
          <w:tcPr>
            <w:tcW w:type="dxa" w:w="33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TrustMark's Rust version README, ort's guide</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The README of TrustMark's Rust version says macOS 10.15 or later, which conflicts with the guide of the ort it depends on (raised the macOS minimum to 13.4 and dropped Intel macOS). The guide of the depended-on component is adopted.</w:t>
      </w:r>
    </w:p>
    <w:p>
      <w:pPr>
        <w:pStyle w:val="ListParagraph"/>
        <w:keepNext/>
        <w:keepLines/>
        <w:numPr>
          <w:ilvl w:val="0"/>
          <w:numId w:val="2"/>
        </w:numPr>
        <w:spacing w:after="20" w:before="20" w:line="300"/>
      </w:pPr>
      <w:r>
        <w:rPr>
          <w:rFonts w:ascii="Calibri" w:eastAsia="Yu Gothic" w:hAnsi="Calibri"/>
        </w:rPr>
        <w:t xml:space="preserve">Macs with Intel CPUs are not supported (14 “Gaps Declared in This Chapter”). Staying on the ONNX runtime 1.23 series might work on Intel Macs, but that series receives no new fixes, so it is not adopted.</w:t>
      </w:r>
    </w:p>
    <w:p>
      <w:pPr>
        <w:pStyle w:val="ListParagraph"/>
        <w:keepNext w:val="false"/>
        <w:keepLines/>
        <w:numPr>
          <w:ilvl w:val="0"/>
          <w:numId w:val="2"/>
        </w:numPr>
        <w:spacing w:after="20" w:before="20" w:line="300"/>
      </w:pPr>
      <w:r>
        <w:rPr>
          <w:rFonts w:ascii="Calibri" w:eastAsia="Yu Gothic" w:hAnsi="Calibri"/>
        </w:rPr>
        <w:t xml:space="preserve">[To be measured] That the app does not crash at start on PCs whose CPUs do not support x86-64-v3. Before crashing, the CPU support is checked and “The CPU of this PC is not supported” is shown (CPU features are examined at start).</w:t>
      </w:r>
    </w:p>
    <w:p>
      <w:pPr>
        <w:pStyle w:val="Heading1"/>
      </w:pPr>
      <w:r>
        <w:rPr>
          <w:rFonts w:ascii="Calibri" w:eastAsia="Yu Gothic" w:hAnsi="Calibri"/>
        </w:rPr>
        <w:t xml:space="preserve">4. List of Components</w:t>
      </w:r>
    </w:p>
    <w:p>
      <w:pPr>
        <w:pStyle w:val="Heading2"/>
      </w:pPr>
      <w:r>
        <w:rPr>
          <w:rFonts w:ascii="Calibri" w:eastAsia="Yu Gothic" w:hAnsi="Calibri"/>
        </w:rPr>
        <w:t xml:space="preserve">4.1 Rust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0"/>
        <w:gridCol w:w="2739"/>
        <w:gridCol w:w="1220"/>
        <w:gridCol w:w="1836"/>
        <w:gridCol w:w="1823"/>
      </w:tblGrid>
      <w:tr>
        <w:trPr>
          <w:cantSplit/>
          <w:tblHeader/>
        </w:trPr>
        <w:tc>
          <w:tcPr>
            <w:tcW w:type="dxa" w:w="20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Component</w:t>
            </w:r>
          </w:p>
        </w:tc>
        <w:tc>
          <w:tcPr>
            <w:tcW w:type="dxa" w:w="27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Version (as of 2026-09-29)</w:t>
            </w:r>
          </w:p>
        </w:tc>
        <w:tc>
          <w:tcPr>
            <w:tcW w:type="dxa" w:w="12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License</w:t>
            </w:r>
          </w:p>
        </w:tc>
        <w:tc>
          <w:tcPr>
            <w:tcW w:type="dxa" w:w="183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Role</w:t>
            </w:r>
          </w:p>
        </w:tc>
        <w:tc>
          <w:tcPr>
            <w:tcW w:type="dxa" w:w="182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 series</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 framework</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tauri-plugin-single-instance</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 series</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Single instance</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9.3 “Single instance”</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0.91.1 (2026-09-27). Default features off, using </w:t>
            </w:r>
            <w:r>
              <w:rPr>
                <w:rFonts w:ascii="Consolas" w:eastAsia="Yu Gothic" w:hAnsi="Consolas"/>
                <w:b w:val="false"/>
                <w:bCs w:val="false"/>
                <w:sz w:val="18"/>
                <w:szCs w:val="18"/>
              </w:rPr>
              <w:t xml:space="preserve">rust_native_crypto</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file_io</w:t>
            </w:r>
            <w:r>
              <w:rPr>
                <w:rFonts w:ascii="Calibri" w:eastAsia="Yu Gothic" w:hAnsi="Calibri"/>
                <w:b w:val="false"/>
                <w:bCs w:val="false"/>
                <w:sz w:val="18"/>
                <w:szCs w:val="18"/>
              </w:rPr>
              <w:t xml:space="preserve">, </w:t>
            </w:r>
            <w:r>
              <w:rPr>
                <w:rFonts w:ascii="Consolas" w:eastAsia="Yu Gothic" w:hAnsi="Consolas"/>
                <w:b w:val="false"/>
                <w:bCs w:val="false"/>
                <w:sz w:val="18"/>
                <w:szCs w:val="18"/>
              </w:rPr>
              <w:t xml:space="preserve">http_reqwest</w:t>
            </w:r>
            <w:r>
              <w:rPr>
                <w:rFonts w:ascii="Calibri" w:eastAsia="Yu Gothic" w:hAnsi="Calibri"/>
                <w:b w:val="false"/>
                <w:bCs w:val="false"/>
                <w:sz w:val="18"/>
                <w:szCs w:val="18"/>
              </w:rPr>
              <w:t xml:space="preserve"> (DD-11-15“c2pa-rs does not bring in OpenSSL”)</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C2PA manifests, C2PA signatures</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trustmark, ort</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trustmark per 4.4 “Taking in TrustMark”. ort is the latest version on crates.io (2.0.0-rc.13 as of 2026-09-30)</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trustmark MIT. ort MIT OR Apache-2.0. ONNX runtime MIT</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Invisible watermark, running the auto-placement model</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Chapter 4</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tauri-plugin-updater</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2.12.0 or later (the first version with </w:t>
            </w:r>
            <w:r>
              <w:rPr>
                <w:rFonts w:ascii="Consolas" w:eastAsia="Yu Gothic" w:hAnsi="Consolas"/>
                <w:b w:val="false"/>
                <w:bCs w:val="false"/>
                <w:sz w:val="18"/>
                <w:szCs w:val="18"/>
              </w:rPr>
              <w:t xml:space="preserve">requireSignedVersion</w:t>
            </w:r>
            <w:r>
              <w:rPr>
                <w:rFonts w:ascii="Calibri" w:eastAsia="Yu Gothic" w:hAnsi="Calibri"/>
                <w:b w:val="false"/>
                <w:bCs w:val="false"/>
                <w:sz w:val="18"/>
                <w:szCs w:val="18"/>
              </w:rPr>
              <w:t xml:space="preserve">; confirmed in the crates.io distribution)</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Self-update (Chapter 9, 4 “Updates”)</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tauri-plugin-process</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 series</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Restart after updating (“Restart now to update”; Chapter 9, 4.1 “Flow and states”)</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tauri-cli (development tool)</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2.11.5 or later (the first version with </w:t>
            </w:r>
            <w:r>
              <w:rPr>
                <w:rFonts w:ascii="Consolas" w:eastAsia="Yu Gothic" w:hAnsi="Consolas"/>
                <w:b w:val="false"/>
                <w:bCs w:val="false"/>
                <w:sz w:val="18"/>
                <w:szCs w:val="18"/>
              </w:rPr>
              <w:t xml:space="preserve">tauri signer sign --app-version</w:t>
            </w:r>
            <w:r>
              <w:rPr>
                <w:rFonts w:ascii="Calibri" w:eastAsia="Yu Gothic" w:hAnsi="Calibri"/>
                <w:b w:val="false"/>
                <w:bCs w:val="false"/>
                <w:sz w:val="18"/>
                <w:szCs w:val="18"/>
              </w:rPr>
              <w:t xml:space="preserve">; confirmed in the crates.io distribution)</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Build, update signatures (operator's PC)</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9, 6.1 “Procedure”</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pdqhash</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Matching hash</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image</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0.25.10</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Reading and writing images (except JPEG export)</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Chapter 4</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jpeg-encoder</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0.7.1</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 AND IJG</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JPEG export</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14.3 “JPEG export”</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fast_image_resize</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6.1.0</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Resizing</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14.2 “Processing”</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moxcms (candidate), lcms2 (alternative)</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0.9.1, 6.2.0</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BSD-3-Clause OR Apache-2.0, MIT</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Color conversion</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14.2 “Processing”</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harfrust</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0.13.3</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Text shaping (including vertical)</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3 “Text Layers”</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skrifa</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0.47.0</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Glyph outlines, color glyphs</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3 “Text Layers”</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tiny-skia</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0.12.0</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BSD-3-Clause</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Fill, outline, transformation</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3.5 “Drawing”</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keyring</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4.2.0 (windows-native-keyring-store 1.1.0 on Windows)</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OS keystore</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7.5 “Storage method per OS”</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p256, sha2</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ECDSA P-256, SHA-256</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Chapter 3</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rcgen</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Creating certificates</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3 “Certificates”</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age</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0.12.1</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Encrypting backup files (passphrase, scrypt), key storage on Linux without Secret Service</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8, 5 “Backup Files”, Chapter 2, 7.5 “Storage method per OS”</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zeroize</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Erasing keys from memory after use</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2, 7.6 “Handling during use”</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serde, serde_json</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Reading and writing records</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8.3 “Formats and versions”</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json-patch</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Undo differences (RFC 6902)</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10.3 “Contents of the history”</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uuid</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Numbers (UUID v7)</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8.2 “Identifier scheme”</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reqwest (rustls)</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Communication</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4.2 “Communication with the outside”</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hickory-resolver</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Name resolution (RDAP and DNS queries)</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zip</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Template files, backup files</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4, 8.3 “Passing on (export and import)”, Chapter 8, 5 “Backup Files”</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warc</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0.4.0</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Saving fetches of reposted pages (WARC)</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6, 2.2.1 “Saving in WARC”</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img-parts</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0.4.0</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Writing XMP and EXIF segments of JPEG, PNG, WebP</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3.6 “The file's rights statement (IPTC photo metadata)”</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little_exif</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0.6.23</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Creating EXIF Artist and Copyright</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3, 3.6 “The file's rights statement (IPTC photo metadata)”</w:t>
            </w:r>
          </w:p>
        </w:tc>
      </w:tr>
      <w:tr>
        <w:trPr>
          <w:cantSplit/>
          <w:tblHeader w:val="off"/>
        </w:trPr>
        <w:tc>
          <w:tcPr>
            <w:tcW w:type="dxa" w:w="20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thiserror, tracing, tracing-appender</w:t>
            </w:r>
          </w:p>
        </w:tc>
        <w:tc>
          <w:tcPr>
            <w:tcW w:type="dxa" w:w="27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Latest stable</w:t>
            </w:r>
          </w:p>
        </w:tc>
        <w:tc>
          <w:tcPr>
            <w:tcW w:type="dxa" w:w="12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 OR Apache-2.0</w:t>
            </w:r>
          </w:p>
        </w:tc>
        <w:tc>
          <w:tcPr>
            <w:tcW w:type="dxa" w:w="183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Error types, logging</w:t>
            </w:r>
          </w:p>
        </w:tc>
        <w:tc>
          <w:tcPr>
            <w:tcW w:type="dxa" w:w="182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Chapter 1, 10.3 “Errors”, 10.4 “Operation log”</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For “latest stable”, the version is decided at the start of implementation and pinned in Cargo.lock.</w:t>
      </w:r>
    </w:p>
    <w:p>
      <w:pPr>
        <w:pStyle w:val="ListParagraph"/>
        <w:keepNext w:val="false"/>
        <w:keepLines/>
        <w:numPr>
          <w:ilvl w:val="0"/>
          <w:numId w:val="2"/>
        </w:numPr>
        <w:spacing w:after="20" w:before="20" w:line="300"/>
      </w:pPr>
      <w:r>
        <w:rPr>
          <w:rFonts w:ascii="Calibri" w:eastAsia="Yu Gothic" w:hAnsi="Calibri"/>
        </w:rPr>
        <w:t xml:space="preserve">Versions stated explicitly are those confirmed in the research for Chapter 4.</w:t>
      </w:r>
    </w:p>
    <w:p>
      <w:pPr>
        <w:pStyle w:val="Heading2"/>
      </w:pPr>
      <w:r>
        <w:rPr>
          <w:rFonts w:ascii="Calibri" w:eastAsia="Yu Gothic" w:hAnsi="Calibri"/>
        </w:rPr>
        <w:t xml:space="preserve">4.2 Screen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2"/>
        <w:gridCol w:w="2035"/>
        <w:gridCol w:w="2951"/>
      </w:tblGrid>
      <w:tr>
        <w:trPr>
          <w:cantSplit/>
          <w:tblHeader/>
        </w:trPr>
        <w:tc>
          <w:tcPr>
            <w:tcW w:type="dxa" w:w="46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Component</w:t>
            </w:r>
          </w:p>
        </w:tc>
        <w:tc>
          <w:tcPr>
            <w:tcW w:type="dxa" w:w="20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License</w:t>
            </w:r>
          </w:p>
        </w:tc>
        <w:tc>
          <w:tcPr>
            <w:tcW w:type="dxa" w:w="29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Role</w:t>
            </w:r>
          </w:p>
        </w:tc>
      </w:tr>
      <w:tr>
        <w:trPr>
          <w:cantSplit/>
          <w:tblHeader w:val="off"/>
        </w:trPr>
        <w:tc>
          <w:tcPr>
            <w:tcW w:type="dxa" w:w="4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Svelte 5 (5.57.1), Vite (8.3.1), TypeScript (7.0.2)</w:t>
            </w:r>
          </w:p>
        </w:tc>
        <w:tc>
          <w:tcPr>
            <w:tcW w:type="dxa" w:w="20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MIT, MIT, Apache-2.0</w:t>
            </w:r>
          </w:p>
        </w:tc>
        <w:tc>
          <w:tcPr>
            <w:tcW w:type="dxa" w:w="29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Screen framework</w:t>
            </w:r>
          </w:p>
        </w:tc>
      </w:tr>
      <w:tr>
        <w:trPr>
          <w:cantSplit/>
          <w:tblHeader w:val="off"/>
        </w:trPr>
        <w:tc>
          <w:tcPr>
            <w:tcW w:type="dxa" w:w="4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intl-messageformat (FormatJS, 12.1.2)</w:t>
            </w:r>
          </w:p>
        </w:tc>
        <w:tc>
          <w:tcPr>
            <w:tcW w:type="dxa" w:w="20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BSD-3-Clause</w:t>
            </w:r>
          </w:p>
        </w:tc>
        <w:tc>
          <w:tcPr>
            <w:tcW w:type="dxa" w:w="29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Formatting ICU MessageFormat texts</w:t>
            </w:r>
          </w:p>
        </w:tc>
      </w:tr>
      <w:tr>
        <w:trPr>
          <w:cantSplit/>
          <w:tblHeader w:val="off"/>
        </w:trPr>
        <w:tc>
          <w:tcPr>
            <w:tcW w:type="dxa" w:w="4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@tauri-apps/api (2.12.0)</w:t>
            </w:r>
          </w:p>
        </w:tc>
        <w:tc>
          <w:tcPr>
            <w:tcW w:type="dxa" w:w="20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Apache-2.0 OR MIT</w:t>
            </w:r>
          </w:p>
        </w:tc>
        <w:tc>
          <w:tcPr>
            <w:tcW w:type="dxa" w:w="29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Calling core commands</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Versions and licenses are as listed for the latest versions in the npm registry (2026-09-30). At the start of implementation, versions are decided and pinned with package-lock, and checked every time by CI's license check (DD-11-11“Dependencies are limited to permitted licenses and official registries”).</w:t>
      </w:r>
    </w:p>
    <w:p>
      <w:pPr>
        <w:pStyle w:val="Heading2"/>
      </w:pPr>
      <w:r>
        <w:rPr>
          <w:rFonts w:ascii="Calibri" w:eastAsia="Yu Gothic" w:hAnsi="Calibri"/>
        </w:rPr>
        <w:t xml:space="preserve">4.3 Assets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5"/>
        <w:gridCol w:w="1135"/>
        <w:gridCol w:w="4996"/>
        <w:gridCol w:w="1262"/>
      </w:tblGrid>
      <w:tr>
        <w:trPr>
          <w:cantSplit/>
          <w:tblHeader/>
        </w:trPr>
        <w:tc>
          <w:tcPr>
            <w:tcW w:type="dxa" w:w="22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Asset</w:t>
            </w:r>
          </w:p>
        </w:tc>
        <w:tc>
          <w:tcPr>
            <w:tcW w:type="dxa" w:w="11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License</w:t>
            </w:r>
          </w:p>
        </w:tc>
        <w:tc>
          <w:tcPr>
            <w:tcW w:type="dxa" w:w="499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Size</w:t>
            </w:r>
          </w:p>
        </w:tc>
        <w:tc>
          <w:tcPr>
            <w:tcW w:type="dxa" w:w="126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Chapter</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Caveat, Klee One, Yomogi, LXGW WenKai Lite, Noto Color Emoji (COLRv1)</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SIL OFL 1.1</w:t>
            </w:r>
          </w:p>
        </w:tc>
        <w:tc>
          <w:tcPr>
            <w:tcW w:type="dxa" w:w="4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About 52 MB (including Noto Color Emoji 25.3 MB and LXGW WenKai Lite 13.9 MB)</w:t>
            </w:r>
          </w:p>
        </w:tc>
        <w:tc>
          <w:tcPr>
            <w:tcW w:type="dxa" w:w="1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6.1 “Bundled fonts”, 6.3 “Emoji”</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Zen Maru Gothic, Resource Han Rounded CN (screen text)</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SIL OFL 1.1</w:t>
            </w:r>
          </w:p>
        </w:tc>
        <w:tc>
          <w:tcPr>
            <w:tcW w:type="dxa" w:w="4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About 18 MB</w:t>
            </w:r>
          </w:p>
        </w:tc>
        <w:tc>
          <w:tcPr>
            <w:tcW w:type="dxa" w:w="1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10, 2.2 “Fonts”</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TrustMark model (Q)</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MIT</w:t>
            </w:r>
          </w:p>
        </w:tc>
        <w:tc>
          <w:tcPr>
            <w:tcW w:type="dxa" w:w="4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About 65 MB (</w:t>
            </w:r>
            <w:r>
              <w:rPr>
                <w:rFonts w:ascii="Consolas" w:eastAsia="Yu Gothic" w:hAnsi="Consolas"/>
                <w:b w:val="false"/>
                <w:bCs w:val="false"/>
                <w:sz w:val="18"/>
                <w:szCs w:val="18"/>
              </w:rPr>
              <w:t xml:space="preserve">encoder_Q.onnx</w:t>
            </w:r>
            <w:r>
              <w:rPr>
                <w:rFonts w:ascii="Calibri" w:eastAsia="Yu Gothic" w:hAnsi="Calibri"/>
                <w:b w:val="false"/>
                <w:bCs w:val="false"/>
                <w:sz w:val="18"/>
                <w:szCs w:val="18"/>
              </w:rPr>
              <w:t xml:space="preserve"> for embedding 17.3 MB, </w:t>
            </w:r>
            <w:r>
              <w:rPr>
                <w:rFonts w:ascii="Consolas" w:eastAsia="Yu Gothic" w:hAnsi="Consolas"/>
                <w:b w:val="false"/>
                <w:bCs w:val="false"/>
                <w:sz w:val="18"/>
                <w:szCs w:val="18"/>
              </w:rPr>
              <w:t xml:space="preserve">decoder_Q.onnx</w:t>
            </w:r>
            <w:r>
              <w:rPr>
                <w:rFonts w:ascii="Calibri" w:eastAsia="Yu Gothic" w:hAnsi="Calibri"/>
                <w:b w:val="false"/>
                <w:bCs w:val="false"/>
                <w:sz w:val="18"/>
                <w:szCs w:val="18"/>
              </w:rPr>
              <w:t xml:space="preserve"> for reading 47.4 MB; response sizes from Adobe's distribution source, 2026-09-30). trustmark's fetch command (</w:t>
            </w:r>
            <w:r>
              <w:rPr>
                <w:rFonts w:ascii="Consolas" w:eastAsia="Yu Gothic" w:hAnsi="Consolas"/>
                <w:b w:val="false"/>
                <w:bCs w:val="false"/>
                <w:sz w:val="18"/>
                <w:szCs w:val="18"/>
              </w:rPr>
              <w:t xml:space="preserve">cargo xtask fetch-models</w:t>
            </w:r>
            <w:r>
              <w:rPr>
                <w:rFonts w:ascii="Calibri" w:eastAsia="Yu Gothic" w:hAnsi="Calibri"/>
                <w:b w:val="false"/>
                <w:bCs w:val="false"/>
                <w:sz w:val="18"/>
                <w:szCs w:val="18"/>
              </w:rPr>
              <w:t xml:space="preserve">) fetches from Adobe's distribution source (cai-watermark.adobe.net) at fixed URLs and does not check hashes, so the SHA-256 of the fetched models is recorded and they are placed in </w:t>
            </w:r>
            <w:r>
              <w:rPr>
                <w:rFonts w:ascii="Consolas" w:eastAsia="Yu Gothic" w:hAnsi="Consolas"/>
                <w:b w:val="false"/>
                <w:bCs w:val="false"/>
                <w:sz w:val="18"/>
                <w:szCs w:val="18"/>
              </w:rPr>
              <w:t xml:space="preserve">assets/models/</w:t>
            </w:r>
            <w:r>
              <w:rPr>
                <w:rFonts w:ascii="Calibri" w:eastAsia="Yu Gothic" w:hAnsi="Calibri"/>
                <w:b w:val="false"/>
                <w:bCs w:val="false"/>
                <w:sz w:val="18"/>
                <w:szCs w:val="18"/>
              </w:rPr>
              <w:t xml:space="preserve"> in the repository, and the repository's copies are used thereafter</w:t>
            </w:r>
          </w:p>
        </w:tc>
        <w:tc>
          <w:tcPr>
            <w:tcW w:type="dxa" w:w="1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3</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u2netp (auto-placement model)</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Apache-2.0</w:t>
            </w:r>
          </w:p>
        </w:tc>
        <w:tc>
          <w:tcPr>
            <w:tcW w:type="dxa" w:w="4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About 4.6 MB (ONNX)</w:t>
            </w:r>
          </w:p>
        </w:tc>
        <w:tc>
          <w:tcPr>
            <w:tcW w:type="dxa" w:w="1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Chapter 4, 7.2 “Auto-placement”</w:t>
            </w:r>
          </w:p>
        </w:tc>
      </w:tr>
      <w:tr>
        <w:trPr>
          <w:cantSplit/>
          <w:tblHeader w:val="off"/>
        </w:trPr>
        <w:tc>
          <w:tcPr>
            <w:tcW w:type="dxa" w:w="22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ONNX runtime (shared library)</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MIT</w:t>
            </w:r>
          </w:p>
        </w:tc>
        <w:tc>
          <w:tcPr>
            <w:tcW w:type="dxa" w:w="499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About 14 MB (reported for the 1.18 Linux version; varies by version and build)</w:t>
            </w:r>
          </w:p>
        </w:tc>
        <w:tc>
          <w:tcPr>
            <w:tcW w:type="dxa" w:w="126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w:t>
            </w:r>
          </w:p>
        </w:tc>
      </w:tr>
    </w:tbl>
    <w:p>
      <w:pPr>
        <w:spacing w:after="100" w:before="0"/>
      </w:pPr>
    </w:p>
    <w:p>
      <w:pPr>
        <w:pStyle w:val="Heading2"/>
      </w:pPr>
      <w:r>
        <w:rPr>
          <w:rFonts w:ascii="Calibri" w:eastAsia="Yu Gothic" w:hAnsi="Calibri"/>
        </w:rPr>
        <w:t xml:space="preserve">4.4 Taking in TrustMark</w:t>
      </w:r>
    </w:p>
    <w:p>
      <w:pPr>
        <w:pStyle w:val="ListParagraph"/>
        <w:keepNext/>
        <w:keepLines/>
        <w:numPr>
          <w:ilvl w:val="0"/>
          <w:numId w:val="2"/>
        </w:numPr>
        <w:spacing w:after="20" w:before="20" w:line="300"/>
      </w:pPr>
      <w:r>
        <w:rPr>
          <w:rFonts w:ascii="Calibri" w:eastAsia="Yu Gothic" w:hAnsi="Calibri"/>
        </w:rPr>
        <w:t xml:space="preserve">Facts (checked 2026-09-30): the latest trustmark on crates.io is 0.2.2 (2025-09-17), which pins ort to 2.0.0-rc.8 (ONNX runtime 1.19.2). Of the download locations of rc.8's prebuilt components (1.19.2 at parcel.pyke.io), those for Windows (x86_64, aarch64) and Intel macOS do not respond (404). Those for Linux and Apple-CPU macOS can be obtained. Windows is a target OS, so 0.2.2 cannot be used as is. The upstream changelog also says, in the 0.3.0 entry, “fix for 0.2.2 no longer building (the prebuilt components fetched by ort-sys 2.0.0-rc.8 are no longer hosted)” (rust/CHANGELOG.md of adobe/trustmark). 0.3.0 exists only on GitHub's main (rust/Cargo.toml).</w:t>
      </w:r>
    </w:p>
    <w:p>
      <w:pPr>
        <w:pStyle w:val="ListParagraph"/>
        <w:keepNext/>
        <w:keepLines/>
        <w:numPr>
          <w:ilvl w:val="0"/>
          <w:numId w:val="2"/>
        </w:numPr>
        <w:spacing w:after="20" w:before="20" w:line="300"/>
      </w:pPr>
      <w:r>
        <w:rPr>
          <w:rFonts w:ascii="Calibri" w:eastAsia="Yu Gothic" w:hAnsi="Calibri"/>
        </w:rPr>
        <w:t xml:space="preserve">Decision: if 0.3.0 or later is on crates.io when implementation begins, it is adopted. If not, the necessary parts of TrustMark's Rust implementation (MIT; rust/ of adobe/trustmark) (preprocessing, inference calls, BCH codes) are taken into the System's repository with the source commit hash and MIT notice, and run with the latest ort on crates.io. The taken-in source undergoes CI checks and review as the System's own source. Direct git references are not used (5.2).</w:t>
      </w:r>
    </w:p>
    <w:p>
      <w:pPr>
        <w:pStyle w:val="ListParagraph"/>
        <w:keepNext/>
        <w:keepLines/>
        <w:numPr>
          <w:ilvl w:val="0"/>
          <w:numId w:val="2"/>
        </w:numPr>
        <w:spacing w:after="20" w:before="20" w:line="300"/>
      </w:pPr>
      <w:r>
        <w:rPr>
          <w:rFonts w:ascii="Calibri" w:eastAsia="Yu Gothic" w:hAnsi="Calibri"/>
        </w:rPr>
        <w:t xml:space="preserve">Reason: 0.2.2 has no download location for its prebuilt components, and would require building the 2024 ONNX runtime ourselves. Taking it in is allowed by MIT and keeps the intent of the source policy (5.2) (not bringing in unreviewed source). When it is published on crates.io, the taken-in source is replaced with the crates.io version.</w:t>
      </w:r>
    </w:p>
    <w:p>
      <w:pPr>
        <w:pStyle w:val="ListParagraph"/>
        <w:keepNext w:val="false"/>
        <w:keepLines/>
        <w:numPr>
          <w:ilvl w:val="0"/>
          <w:numId w:val="2"/>
        </w:numPr>
        <w:spacing w:after="20" w:before="20" w:line="300"/>
      </w:pPr>
      <w:r>
        <w:rPr>
          <w:rFonts w:ascii="Calibri" w:eastAsia="Yu Gothic" w:hAnsi="Calibri"/>
        </w:rPr>
        <w:t xml:space="preserve">The minimum supported OS (3.1) follows the latest ort's prebuilt components in either case.</w:t>
      </w:r>
    </w:p>
    <w:p>
      <w:pPr>
        <w:pStyle w:val="ListParagraph"/>
        <w:keepNext w:val="false"/>
        <w:keepLines/>
        <w:numPr>
          <w:ilvl w:val="0"/>
          <w:numId w:val="2"/>
        </w:numPr>
        <w:spacing w:after="20" w:before="20" w:line="300"/>
      </w:pPr>
      <w:r>
        <w:rPr>
          <w:rFonts w:ascii="Calibri" w:eastAsia="Yu Gothic" w:hAnsi="Calibri"/>
        </w:rPr>
        <w:t xml:space="preserve">Sources: font sizes are measurements from the research for Chapter 4. The size of the ONNX runtime is from a report in microsoft/onnxruntime issues (14 MB for version 1.18).</w:t>
      </w:r>
    </w:p>
    <w:p>
      <w:pPr>
        <w:pStyle w:val="Heading1"/>
      </w:pPr>
      <w:r>
        <w:rPr>
          <w:rFonts w:ascii="Calibri" w:eastAsia="Yu Gothic" w:hAnsi="Calibri"/>
        </w:rPr>
        <w:t xml:space="preserve">5. Dependency Policy</w:t>
      </w:r>
    </w:p>
    <w:p>
      <w:pPr>
        <w:pStyle w:val="Heading2"/>
      </w:pPr>
      <w:r>
        <w:rPr>
          <w:rFonts w:ascii="Calibri" w:eastAsia="Yu Gothic" w:hAnsi="Calibri"/>
        </w:rPr>
        <w:t xml:space="preserve">5.1 Permitted licenses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11"/>
        <w:gridCol w:w="7527"/>
      </w:tblGrid>
      <w:tr>
        <w:trPr>
          <w:cantSplit/>
          <w:tblHeader/>
        </w:trPr>
        <w:tc>
          <w:tcPr>
            <w:tcW w:type="dxa" w:w="211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Permission</w:t>
            </w:r>
          </w:p>
        </w:tc>
        <w:tc>
          <w:tcPr>
            <w:tcW w:type="dxa" w:w="752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Conditions</w:t>
            </w:r>
          </w:p>
        </w:tc>
      </w:tr>
      <w:tr>
        <w:trPr>
          <w:cantSplit/>
          <w:tblHeader w:val="off"/>
        </w:trPr>
        <w:tc>
          <w:tcPr>
            <w:tcW w:type="dxa" w:w="21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MIT, Apache-2.0, BSD-2-Clause, BSD-3-Clause, ISC, Zlib, Unicode-3.0, IJG</w:t>
            </w:r>
          </w:p>
        </w:tc>
        <w:tc>
          <w:tcPr>
            <w:tcW w:type="dxa" w:w="75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Permitted as is</w:t>
            </w:r>
          </w:p>
        </w:tc>
      </w:tr>
      <w:tr>
        <w:trPr>
          <w:cantSplit/>
          <w:tblHeader w:val="off"/>
        </w:trPr>
        <w:tc>
          <w:tcPr>
            <w:tcW w:type="dxa" w:w="21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OFL-1.1</w:t>
            </w:r>
          </w:p>
        </w:tc>
        <w:tc>
          <w:tcPr>
            <w:tcW w:type="dxa" w:w="75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Fonts only</w:t>
            </w:r>
          </w:p>
        </w:tc>
      </w:tr>
      <w:tr>
        <w:trPr>
          <w:cantSplit/>
          <w:tblHeader w:val="off"/>
        </w:trPr>
        <w:tc>
          <w:tcPr>
            <w:tcW w:type="dxa" w:w="21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MPL-2.0</w:t>
            </w:r>
          </w:p>
        </w:tc>
        <w:tc>
          <w:tcPr>
            <w:tcW w:type="dxa" w:w="75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Permitted individually after checking the per-file disclosure obligation</w:t>
            </w:r>
          </w:p>
        </w:tc>
      </w:tr>
      <w:tr>
        <w:trPr>
          <w:cantSplit/>
          <w:tblHeader w:val="off"/>
        </w:trPr>
        <w:tc>
          <w:tcPr>
            <w:tcW w:type="dxa" w:w="211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GPL, LGPL, AGPL</w:t>
            </w:r>
          </w:p>
        </w:tc>
        <w:tc>
          <w:tcPr>
            <w:tcW w:type="dxa" w:w="752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permitted (to keep room for NRSD's licensing decision; 9). Exception: OS-derived shared components bundled by the Linux AppImage (WebKitGTK, GTK, GLib, etc.; LGPL) are bundled with dynamic linking kept, following the terms of LGPL-2.1: ① bundle the license text and a notice that the components are used (Section 6); ② keep them in a form the User can replace (as shared libraries) (Section 6(b)); ③ make the corresponding source of the bundled components (the source packages of the distributor, Ubuntu 22.04) equally obtainable from the same place as the distributables (GitHub releases and the Hong Kong mirror) (Section 4, Section 6(d); because distributables are obtained from designated places). They are not combined with the System's source</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If a component outside the table above enters in cargo-deny's license check, CI stops. Components bundled in the AppImage are outside cargo-deny's scope, and at release the list and licenses of the shared components inside the AppImage are put in the SBOM and the list of licenses (Chapter 9, 6.2 “Bundled license notices”).</w:t>
      </w:r>
    </w:p>
    <w:p>
      <w:pPr>
        <w:pStyle w:val="Heading2"/>
      </w:pPr>
      <w:r>
        <w:rPr>
          <w:rFonts w:ascii="Calibri" w:eastAsia="Yu Gothic" w:hAnsi="Calibri"/>
        </w:rPr>
        <w:t xml:space="preserve">5.2 Sources and prohibitions</w:t>
      </w:r>
    </w:p>
    <w:p>
      <w:pPr>
        <w:pStyle w:val="ListParagraph"/>
        <w:keepNext/>
        <w:keepLines/>
        <w:numPr>
          <w:ilvl w:val="0"/>
          <w:numId w:val="2"/>
        </w:numPr>
        <w:spacing w:after="20" w:before="20" w:line="300"/>
      </w:pPr>
      <w:r>
        <w:rPr>
          <w:rFonts w:ascii="Calibri" w:eastAsia="Yu Gothic" w:hAnsi="Calibri"/>
        </w:rPr>
        <w:t xml:space="preserve">Sources are limited to the official registries crates.io and npm. Direct git references and obtaining from personal distribution locations are prohibited (cargo-deny's source check).</w:t>
      </w:r>
    </w:p>
    <w:p>
      <w:pPr>
        <w:pStyle w:val="ListParagraph"/>
        <w:keepNext/>
        <w:keepLines/>
        <w:numPr>
          <w:ilvl w:val="0"/>
          <w:numId w:val="2"/>
        </w:numPr>
        <w:spacing w:after="20" w:before="20" w:line="300"/>
      </w:pPr>
      <w:r>
        <w:rPr>
          <w:rFonts w:ascii="Calibri" w:eastAsia="Yu Gothic" w:hAnsi="Calibri"/>
        </w:rPr>
        <w:t xml:space="preserve">Exceptions (obtained from outside component registries; the SHA-256 of what is obtained is recorded for each): ① prebuilt components of the ONNX runtime (pyke's distribution; ort-sys holds URLs and SHA-256 per version; DD-11-14“Hashes and minimum versions of ONNX Runtime components are checked”); ② TrustMark models (Adobe's distribution source; the fetch command does not check hashes, so the SHA-256 is recorded and they are placed in the repository; 4.3); ③ the AppImage runtime and linuxdeploy plugins (obtained by Tauri's build components; the version cannot be pinned, so the SHA-256 of what is obtained is recorded; Chapter 9, DD-9-8“The hash of the AppImage runtime is kept”); ④ taking in TrustMark's Rust implementation (4.4; taken in as source).</w:t>
      </w:r>
    </w:p>
    <w:p>
      <w:pPr>
        <w:pStyle w:val="ListParagraph"/>
        <w:keepNext w:val="false"/>
        <w:keepLines/>
        <w:numPr>
          <w:ilvl w:val="0"/>
          <w:numId w:val="2"/>
        </w:numPr>
        <w:spacing w:after="20" w:before="20" w:line="300"/>
      </w:pPr>
      <w:r>
        <w:rPr>
          <w:rFonts w:ascii="Calibri" w:eastAsia="Yu Gothic" w:hAnsi="Calibri"/>
        </w:rPr>
        <w:t xml:space="preserve">Multiple versions of the same component are only warned about (sometimes unavoidable due to component dependencies).</w:t>
      </w:r>
    </w:p>
    <w:p>
      <w:pPr>
        <w:pStyle w:val="Heading2"/>
      </w:pPr>
      <w:r>
        <w:rPr>
          <w:rFonts w:ascii="Calibri" w:eastAsia="Yu Gothic" w:hAnsi="Calibri"/>
        </w:rPr>
        <w:t xml:space="preserve">5.3 Vulnerabilities</w:t>
      </w:r>
    </w:p>
    <w:p>
      <w:pPr>
        <w:pStyle w:val="ListParagraph"/>
        <w:keepNext/>
        <w:keepLines/>
        <w:numPr>
          <w:ilvl w:val="0"/>
          <w:numId w:val="2"/>
        </w:numPr>
        <w:spacing w:after="20" w:before="20" w:line="300"/>
      </w:pPr>
      <w:r>
        <w:rPr>
          <w:rFonts w:ascii="Calibri" w:eastAsia="Yu Gothic" w:hAnsi="Calibri"/>
        </w:rPr>
        <w:t xml:space="preserve">In CI, cargo-deny (vulnerability advisories) and npm audit run on every change.</w:t>
      </w:r>
    </w:p>
    <w:p>
      <w:pPr>
        <w:pStyle w:val="ListParagraph"/>
        <w:keepNext/>
        <w:keepLines/>
        <w:numPr>
          <w:ilvl w:val="0"/>
          <w:numId w:val="2"/>
        </w:numPr>
        <w:spacing w:after="20" w:before="20" w:line="300"/>
      </w:pPr>
      <w:r>
        <w:rPr>
          <w:rFonts w:ascii="Calibri" w:eastAsia="Yu Gothic" w:hAnsi="Calibri"/>
        </w:rPr>
        <w:t xml:space="preserve">If a component with a critical vulnerability (CVSS 7 or more; initial value) is included, the release is stopped. Lower ones are fixed at the next periodic update.</w:t>
      </w:r>
    </w:p>
    <w:p>
      <w:pPr>
        <w:pStyle w:val="ListParagraph"/>
        <w:keepNext w:val="false"/>
        <w:keepLines/>
        <w:numPr>
          <w:ilvl w:val="0"/>
          <w:numId w:val="2"/>
        </w:numPr>
        <w:spacing w:after="20" w:before="20" w:line="300"/>
      </w:pPr>
      <w:r>
        <w:rPr>
          <w:rFonts w:ascii="Calibri" w:eastAsia="Yu Gothic" w:hAnsi="Calibri"/>
        </w:rPr>
        <w:t xml:space="preserve">On receiving notice of a published vulnerability, the impact is checked with the distributables' SBOM (6), and if affected, a fixed version is released.</w:t>
      </w:r>
    </w:p>
    <w:p>
      <w:pPr>
        <w:pStyle w:val="Heading2"/>
      </w:pPr>
      <w:r>
        <w:rPr>
          <w:rFonts w:ascii="Calibri" w:eastAsia="Yu Gothic" w:hAnsi="Calibri"/>
        </w:rPr>
        <w:t xml:space="preserve">5.4 Updates</w:t>
      </w:r>
    </w:p>
    <w:p>
      <w:pPr>
        <w:pStyle w:val="ListParagraph"/>
        <w:keepNext/>
        <w:keepLines/>
        <w:numPr>
          <w:ilvl w:val="0"/>
          <w:numId w:val="2"/>
        </w:numPr>
        <w:spacing w:after="20" w:before="20" w:line="300"/>
      </w:pPr>
      <w:r>
        <w:rPr>
          <w:rFonts w:ascii="Calibri" w:eastAsia="Yu Gothic" w:hAnsi="Calibri"/>
        </w:rPr>
        <w:t xml:space="preserve">Updated once a month (initial value) and upon vulnerability notices. Updates are done one at a time, checking the build and main behavior.</w:t>
      </w:r>
    </w:p>
    <w:p>
      <w:pPr>
        <w:pStyle w:val="ListParagraph"/>
        <w:keepNext w:val="false"/>
        <w:keepLines/>
        <w:numPr>
          <w:ilvl w:val="0"/>
          <w:numId w:val="2"/>
        </w:numPr>
        <w:spacing w:after="20" w:before="20" w:line="300"/>
      </w:pPr>
      <w:r>
        <w:rPr>
          <w:rFonts w:ascii="Calibri" w:eastAsia="Yu Gothic" w:hAnsi="Calibri"/>
        </w:rPr>
        <w:t xml:space="preserve">Drawing, color, and watermark components (harfrust, tiny-skia, moxcms, trustmark) may change output, so test image outputs are compared before and after updating (Chapter 4, 3.5 “Drawing”).</w:t>
      </w:r>
    </w:p>
    <w:p>
      <w:pPr>
        <w:pStyle w:val="Heading1"/>
      </w:pPr>
      <w:r>
        <w:rPr>
          <w:rFonts w:ascii="Calibri" w:eastAsia="Yu Gothic" w:hAnsi="Calibri"/>
        </w:rPr>
        <w:t xml:space="preserve">6. SBOM and Provenance Attestations</w:t>
      </w:r>
    </w:p>
    <w:p>
      <w:pPr>
        <w:pStyle w:val="ListParagraph"/>
        <w:keepNext/>
        <w:keepLines/>
        <w:numPr>
          <w:ilvl w:val="0"/>
          <w:numId w:val="2"/>
        </w:numPr>
        <w:spacing w:after="20" w:before="20" w:line="300"/>
      </w:pPr>
      <w:r>
        <w:rPr>
          <w:rFonts w:ascii="Calibri" w:eastAsia="Yu Gothic" w:hAnsi="Calibri"/>
        </w:rPr>
        <w:t xml:space="preserve">SBOM: for each release, an SBOM in CycloneDX format is made and accompanies the distributables. Rust uses cargo-cyclonedx (made from Cargo.lock and cargo metadata), and screens are made from npm dependencies. CycloneDX 1.6 is an Ecma standard.</w:t>
      </w:r>
    </w:p>
    <w:p>
      <w:pPr>
        <w:pStyle w:val="ListParagraph"/>
        <w:keepNext/>
        <w:keepLines/>
        <w:numPr>
          <w:ilvl w:val="0"/>
          <w:numId w:val="2"/>
        </w:numPr>
        <w:spacing w:after="20" w:before="20" w:line="300"/>
      </w:pPr>
      <w:r>
        <w:rPr>
          <w:rFonts w:ascii="Calibri" w:eastAsia="Yu Gothic" w:hAnsi="Calibri"/>
        </w:rPr>
        <w:t xml:space="preserve">The taken-in TrustMark source (4.4 “Taking in TrustMark”) does not appear in Cargo.lock, so it appears in none of cargo-cyclonedx's SBOM, cargo-auditable, or cargo audit. It is added to the SBOM by hand (name, source commit hash, MIT), and NRSD checks upstream (adobe/trustmark) advisories and changes quarterly.</w:t>
      </w:r>
    </w:p>
    <w:p>
      <w:pPr>
        <w:pStyle w:val="ListParagraph"/>
        <w:keepNext/>
        <w:keepLines/>
        <w:numPr>
          <w:ilvl w:val="0"/>
          <w:numId w:val="2"/>
        </w:numPr>
        <w:spacing w:after="20" w:before="20" w:line="300"/>
      </w:pPr>
      <w:r>
        <w:rPr>
          <w:rFonts w:ascii="Calibri" w:eastAsia="Yu Gothic" w:hAnsi="Calibri"/>
        </w:rPr>
        <w:t xml:space="preserve">Embedding in executables: cargo-auditable embeds the dependency list in executables. Even after distribution, dependencies can be read from executables with cargo audit, trivy, and the like.</w:t>
      </w:r>
    </w:p>
    <w:p>
      <w:pPr>
        <w:pStyle w:val="ListParagraph"/>
        <w:keepNext w:val="false"/>
        <w:keepLines/>
        <w:numPr>
          <w:ilvl w:val="0"/>
          <w:numId w:val="2"/>
        </w:numPr>
        <w:spacing w:after="20" w:before="20" w:line="300"/>
      </w:pPr>
      <w:r>
        <w:rPr>
          <w:rFonts w:ascii="Calibri" w:eastAsia="Yu Gothic" w:hAnsi="Calibri"/>
        </w:rPr>
        <w:t xml:space="preserve">Provenance attestations: GitHub artifact attestations attach proof of which source of the Public Repository and which CI built the distributables. Users and experts can check with </w:t>
      </w:r>
      <w:r>
        <w:rPr>
          <w:rFonts w:ascii="Consolas" w:eastAsia="Yu Gothic" w:hAnsi="Consolas"/>
        </w:rPr>
        <w:t xml:space="preserve">gh attestation verify</w:t>
      </w:r>
      <w:r>
        <w:rPr>
          <w:rFonts w:ascii="Calibri" w:eastAsia="Yu Gothic" w:hAnsi="Calibri"/>
        </w:rPr>
        <w:t xml:space="preserve"> (the procedure is in the README; Chapter 9).</w:t>
      </w:r>
    </w:p>
    <w:p>
      <w:pPr>
        <w:pStyle w:val="Heading1"/>
      </w:pPr>
      <w:r>
        <w:rPr>
          <w:rFonts w:ascii="Calibri" w:eastAsia="Yu Gothic" w:hAnsi="Calibri"/>
        </w:rPr>
        <w:t xml:space="preserve">7. Repository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99"/>
        <w:gridCol w:w="5939"/>
      </w:tblGrid>
      <w:tr>
        <w:trPr>
          <w:cantSplit/>
          <w:tblHeader/>
        </w:trPr>
        <w:tc>
          <w:tcPr>
            <w:tcW w:type="dxa" w:w="369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Place</w:t>
            </w:r>
          </w:p>
        </w:tc>
        <w:tc>
          <w:tcPr>
            <w:tcW w:type="dxa" w:w="593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36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crates/</w:t>
            </w:r>
          </w:p>
        </w:tc>
        <w:tc>
          <w:tcPr>
            <w:tcW w:type="dxa" w:w="59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Rust components (7.1)</w:t>
            </w:r>
          </w:p>
        </w:tc>
      </w:tr>
      <w:tr>
        <w:trPr>
          <w:cantSplit/>
          <w:tblHeader w:val="off"/>
        </w:trPr>
        <w:tc>
          <w:tcPr>
            <w:tcW w:type="dxa" w:w="36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apps/client/</w:t>
            </w:r>
          </w:p>
        </w:tc>
        <w:tc>
          <w:tcPr>
            <w:tcW w:type="dxa" w:w="59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Users' app (Tauri)</w:t>
            </w:r>
          </w:p>
        </w:tc>
      </w:tr>
      <w:tr>
        <w:trPr>
          <w:cantSplit/>
          <w:tblHeader w:val="off"/>
        </w:trPr>
        <w:tc>
          <w:tcPr>
            <w:tcW w:type="dxa" w:w="36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apps/operator/</w:t>
            </w:r>
          </w:p>
        </w:tc>
        <w:tc>
          <w:tcPr>
            <w:tcW w:type="dxa" w:w="59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Operator tool (Tauri; Chapter 1, 19 “Operator Tool”)</w:t>
            </w:r>
          </w:p>
        </w:tc>
      </w:tr>
      <w:tr>
        <w:trPr>
          <w:cantSplit/>
          <w:tblHeader w:val="off"/>
        </w:trPr>
        <w:tc>
          <w:tcPr>
            <w:tcW w:type="dxa" w:w="36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ui/</w:t>
            </w:r>
          </w:p>
        </w:tc>
        <w:tc>
          <w:tcPr>
            <w:tcW w:type="dxa" w:w="59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Screens (Svelte)</w:t>
            </w:r>
          </w:p>
        </w:tc>
      </w:tr>
      <w:tr>
        <w:trPr>
          <w:cantSplit/>
          <w:tblHeader w:val="off"/>
        </w:trPr>
        <w:tc>
          <w:tcPr>
            <w:tcW w:type="dxa" w:w="36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i18n/</w:t>
            </w:r>
          </w:p>
        </w:tc>
        <w:tc>
          <w:tcPr>
            <w:tcW w:type="dxa" w:w="59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Text files (Japanese, Chinese, English)</w:t>
            </w:r>
          </w:p>
        </w:tc>
      </w:tr>
      <w:tr>
        <w:trPr>
          <w:cantSplit/>
          <w:tblHeader w:val="off"/>
        </w:trPr>
        <w:tc>
          <w:tcPr>
            <w:tcW w:type="dxa" w:w="36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assets/fonts/</w:t>
            </w:r>
          </w:p>
        </w:tc>
        <w:tc>
          <w:tcPr>
            <w:tcW w:type="dxa" w:w="59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Bundled fonts and license documents</w:t>
            </w:r>
          </w:p>
        </w:tc>
      </w:tr>
      <w:tr>
        <w:trPr>
          <w:cantSplit/>
          <w:tblHeader w:val="off"/>
        </w:trPr>
        <w:tc>
          <w:tcPr>
            <w:tcW w:type="dxa" w:w="36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assets/models/</w:t>
            </w:r>
          </w:p>
        </w:tc>
        <w:tc>
          <w:tcPr>
            <w:tcW w:type="dxa" w:w="59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TrustMark and u2netp models</w:t>
            </w:r>
          </w:p>
        </w:tc>
      </w:tr>
      <w:tr>
        <w:trPr>
          <w:cantSplit/>
          <w:tblHeader w:val="off"/>
        </w:trPr>
        <w:tc>
          <w:tcPr>
            <w:tcW w:type="dxa" w:w="36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reference/</w:t>
            </w:r>
          </w:p>
        </w:tc>
        <w:tc>
          <w:tcPr>
            <w:tcW w:type="dxa" w:w="59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Drafts of reference information and record signatures (Chapter 5, Chapter 7)</w:t>
            </w:r>
          </w:p>
        </w:tc>
      </w:tr>
      <w:tr>
        <w:trPr>
          <w:cantSplit/>
          <w:tblHeader w:val="off"/>
        </w:trPr>
        <w:tc>
          <w:tcPr>
            <w:tcW w:type="dxa" w:w="36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docs/</w:t>
            </w:r>
          </w:p>
        </w:tc>
        <w:tc>
          <w:tcPr>
            <w:tcW w:type="dxa" w:w="59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Design documents (docx)</w:t>
            </w:r>
          </w:p>
        </w:tc>
      </w:tr>
      <w:tr>
        <w:trPr>
          <w:cantSplit/>
          <w:tblHeader w:val="off"/>
        </w:trPr>
        <w:tc>
          <w:tcPr>
            <w:tcW w:type="dxa" w:w="369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.github/workflows/</w:t>
            </w:r>
          </w:p>
        </w:tc>
        <w:tc>
          <w:tcPr>
            <w:tcW w:type="dxa" w:w="593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CI</w:t>
            </w:r>
          </w:p>
        </w:tc>
      </w:tr>
    </w:tbl>
    <w:p>
      <w:pPr>
        <w:spacing w:after="100" w:before="0"/>
      </w:pPr>
    </w:p>
    <w:p>
      <w:pPr>
        <w:pStyle w:val="Heading2"/>
      </w:pPr>
      <w:r>
        <w:rPr>
          <w:rFonts w:ascii="Calibri" w:eastAsia="Yu Gothic" w:hAnsi="Calibri"/>
        </w:rPr>
        <w:t xml:space="preserve">7.1 How the Rust components are divided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5"/>
        <w:gridCol w:w="5924"/>
        <w:gridCol w:w="2329"/>
      </w:tblGrid>
      <w:tr>
        <w:trPr>
          <w:cantSplit/>
          <w:tblHeader/>
        </w:trPr>
        <w:tc>
          <w:tcPr>
            <w:tcW w:type="dxa" w:w="13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Component</w:t>
            </w:r>
          </w:p>
        </w:tc>
        <w:tc>
          <w:tcPr>
            <w:tcW w:type="dxa" w:w="59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Role</w:t>
            </w:r>
          </w:p>
        </w:tc>
        <w:tc>
          <w:tcPr>
            <w:tcW w:type="dxa" w:w="232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Main external components</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core-store</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Saving records (temporary file and replacement; Chapter 1, 10.2 “Storage”), record signatures (JCS and ECDSA P-256), migration of format versions</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serde, serde_json, p256</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core-identity</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Signing information, creating the personal root and signing certificate, keystore, notice code</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rcgen, keyring, p256, sha2</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core-sign</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Creating C2PA manifests and C2PA signatures, timestamps</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c2pa, reqwest</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core-mark</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Embedding and reading watermarks</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trustmark, ort</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core-hash</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SHA-256, PDQ</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sha2, pdqhash</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core-image</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Reading and writing images, removing shooting information, resizing, color conversion, JPEG export</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image, fast_image_resize, moxcms, jpeg-encoder</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core-render</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Text shaping (including vertical), drawing, shadow blur</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harfrust, skrifa, tiny-skia</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core-work</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Templates, work sessions, undo history, auto-placement</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json-patch, ort</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core-case</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Registration, fetching evidence (fetching without running scripts), RDAP and DNS</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reqwest, hickory-resolver</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core-ref</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Obtaining and verifying reference information, switching to the mirror</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reqwest</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core-backup</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Creating and importing backup files</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age, zip</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core-net</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Common communication (timeouts, size limits, redirect limits; Chapter 1, 4.2 “Communication with the outside”)</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reqwest</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app-client</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Users' app (definition and permission of commands; Chapter 1, 6.2 “Between the screen and the core”)</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tauri, all of the above</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app-operator</w:t>
            </w:r>
          </w:p>
        </w:tc>
        <w:tc>
          <w:tcPr>
            <w:tcW w:type="dxa" w:w="59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Operator tool</w:t>
            </w:r>
          </w:p>
        </w:tc>
        <w:tc>
          <w:tcPr>
            <w:tcW w:type="dxa" w:w="232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 core-store, core-ref</w:t>
            </w:r>
          </w:p>
        </w:tc>
      </w:tr>
    </w:tbl>
    <w:p>
      <w:pPr>
        <w:spacing w:after="100" w:before="0"/>
      </w:pPr>
    </w:p>
    <w:p>
      <w:pPr>
        <w:pStyle w:val="ListParagraph"/>
        <w:keepNext w:val="false"/>
        <w:keepLines/>
        <w:numPr>
          <w:ilvl w:val="0"/>
          <w:numId w:val="2"/>
        </w:numPr>
        <w:spacing w:after="20" w:before="20" w:line="300"/>
      </w:pPr>
      <w:r>
        <w:rPr>
          <w:rFonts w:ascii="Calibri" w:eastAsia="Yu Gothic" w:hAnsi="Calibri"/>
        </w:rPr>
        <w:t xml:space="preserve">Dependencies between components are one-way, with core-store and core-net at the lowest layer. Only the two apps depend on tauri (separating the core components from the screen framework so they can be tested alone).</w:t>
      </w:r>
    </w:p>
    <w:p>
      <w:pPr>
        <w:pStyle w:val="Heading1"/>
      </w:pPr>
      <w:r>
        <w:rPr>
          <w:rFonts w:ascii="Calibri" w:eastAsia="Yu Gothic" w:hAnsi="Calibri"/>
        </w:rPr>
        <w:t xml:space="preserve">8. Build and Continuous Integration (CI)</w:t>
      </w:r>
    </w:p>
    <w:p>
      <w:pPr>
        <w:pStyle w:val="Heading2"/>
      </w:pPr>
      <w:r>
        <w:rPr>
          <w:rFonts w:ascii="Calibri" w:eastAsia="Yu Gothic" w:hAnsi="Calibri"/>
        </w:rPr>
        <w:t xml:space="preserve">8.1 On every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0"/>
        <w:gridCol w:w="8318"/>
      </w:tblGrid>
      <w:tr>
        <w:trPr>
          <w:cantSplit/>
          <w:tblHeader/>
        </w:trPr>
        <w:tc>
          <w:tcPr>
            <w:tcW w:type="dxa" w:w="13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83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Formatting</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 rustfmt and prettier (stop if different)</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Static checks</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clippy (warnings treated as errors), eslint, TypeScript type checks</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Dependency checks</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cargo-deny (vulnerabilities, bans, licenses, sources), npm audit</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Pinning Actions</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Third-party Actions are specified by full-length commit hash rather than version name (GitHub's “Security hardening for GitHub Actions”: pinning to a commit hash is the only way to use an action as an immutable release)</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Build</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Windows, macOS, Linux</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Output comparison</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For changes that update drawing or color components, compare test image outputs (5.4)</w:t>
            </w:r>
          </w:p>
        </w:tc>
      </w:tr>
    </w:tbl>
    <w:p>
      <w:pPr>
        <w:spacing w:after="100" w:before="0"/>
      </w:pPr>
    </w:p>
    <w:p>
      <w:pPr>
        <w:pStyle w:val="Heading2"/>
      </w:pPr>
      <w:r>
        <w:rPr>
          <w:rFonts w:ascii="Calibri" w:eastAsia="Yu Gothic" w:hAnsi="Calibri"/>
        </w:rPr>
        <w:t xml:space="preserve">8.2 At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0"/>
        <w:gridCol w:w="8118"/>
      </w:tblGrid>
      <w:tr>
        <w:trPr>
          <w:cantSplit/>
          <w:tblHeader/>
        </w:trPr>
        <w:tc>
          <w:tcPr>
            <w:tcW w:type="dxa" w:w="15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Step</w:t>
            </w:r>
          </w:p>
        </w:tc>
        <w:tc>
          <w:tcPr>
            <w:tcW w:type="dxa" w:w="81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Content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Fixing the version</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Assign the version number (10) and write the changelog</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Build</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Distributables for the three OSes (Chapter 9, DD-9-1“One distribution per OS, code-signed”). macOS is Apple CPU only (3.1). Linux is built in an Ubuntu 22.04 environment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Checking bundled components</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 the SHA-256 of the ONNX runtime components (DD-11-14“Hashes and minimum versions of ONNX Runtime components are checked”). For macOS, check that </w:t>
            </w:r>
            <w:r>
              <w:rPr>
                <w:rFonts w:ascii="Consolas" w:eastAsia="Yu Gothic" w:hAnsi="Consolas"/>
                <w:b w:val="false"/>
                <w:bCs w:val="false"/>
                <w:sz w:val="18"/>
                <w:szCs w:val="18"/>
              </w:rPr>
              <w:t xml:space="preserve">minos</w:t>
            </w:r>
            <w:r>
              <w:rPr>
                <w:rFonts w:ascii="Calibri" w:eastAsia="Yu Gothic" w:hAnsi="Calibri"/>
                <w:b w:val="false"/>
                <w:bCs w:val="false"/>
                <w:sz w:val="18"/>
                <w:szCs w:val="18"/>
              </w:rPr>
              <w:t xml:space="preserve"> of bundled dynamic libraries is at or below the app's minimum (</w:t>
            </w:r>
            <w:r>
              <w:rPr>
                <w:rFonts w:ascii="Consolas" w:eastAsia="Yu Gothic" w:hAnsi="Consolas"/>
                <w:b w:val="false"/>
                <w:bCs w:val="false"/>
                <w:sz w:val="18"/>
                <w:szCs w:val="18"/>
              </w:rPr>
              <w:t xml:space="preserve">LSMinimumSystemVersion</w:t>
            </w:r>
            <w:r>
              <w:rPr>
                <w:rFonts w:ascii="Calibri" w:eastAsia="Yu Gothic" w:hAnsi="Calibri"/>
                <w:b w:val="false"/>
                <w:bCs w:val="false"/>
                <w:sz w:val="18"/>
                <w:szCs w:val="18"/>
              </w:rPr>
              <w:t xml:space="preserve">), and stop if exceeded</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AppImage runtime</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Record the SHA-256 of the runtime (type2-runtime) fetched at build time and put it in the SBOM (Chapter 9, DD-9-8“The hash of the AppImage runtime is kept”)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Code signing</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Artifact Signing for Windows, Developer ID and notarization for macOS</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SBOM and attestations</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SBOM, embedding the dependency list, provenance attestations (6)</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List of licenses</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Make and bundle the list of DD-11-9“The license list is bundled automatically”</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Draft release</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Create the GitHub release as a draft</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Update signatures</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CI sets </w:t>
            </w:r>
            <w:r>
              <w:rPr>
                <w:rFonts w:ascii="Consolas" w:eastAsia="Yu Gothic" w:hAnsi="Consolas"/>
                <w:b w:val="false"/>
                <w:bCs w:val="false"/>
                <w:sz w:val="18"/>
                <w:szCs w:val="18"/>
              </w:rPr>
              <w:t xml:space="preserve">createUpdaterArtifacts</w:t>
            </w:r>
            <w:r>
              <w:rPr>
                <w:rFonts w:ascii="Calibri" w:eastAsia="Yu Gothic" w:hAnsi="Calibri"/>
                <w:b w:val="false"/>
                <w:bCs w:val="false"/>
                <w:sz w:val="18"/>
                <w:szCs w:val="18"/>
              </w:rPr>
              <w:t xml:space="preserve"> to false and does not make update distributables (if true, the update signing key is needed at build time). Making update distributables and update signatures is done outside CI, with the operator tool (Chapter 1, M-02“Release Signing”) (DD-11-13“The update signing key and the reference-information signing key are not kept in CI”, Chapter 9, 6.1 “Procedure”)</w:t>
            </w:r>
          </w:p>
        </w:tc>
      </w:tr>
      <w:tr>
        <w:trPr>
          <w:cantSplit/>
          <w:tblHeader w:val="off"/>
        </w:trPr>
        <w:tc>
          <w:tcPr>
            <w:tcW w:type="dxa" w:w="15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Publication</w:t>
            </w:r>
          </w:p>
        </w:tc>
        <w:tc>
          <w:tcPr>
            <w:tcW w:type="dxa" w:w="81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Publish the draft and copy to the mirror (Chapter 8)</w:t>
            </w:r>
          </w:p>
        </w:tc>
      </w:tr>
    </w:tbl>
    <w:p>
      <w:pPr>
        <w:spacing w:after="100" w:before="0"/>
      </w:pPr>
    </w:p>
    <w:p>
      <w:pPr>
        <w:pStyle w:val="Heading2"/>
      </w:pPr>
      <w:r>
        <w:rPr>
          <w:rFonts w:ascii="Calibri" w:eastAsia="Yu Gothic" w:hAnsi="Calibri"/>
        </w:rPr>
        <w:t xml:space="preserve">8.3 Handling of secrets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93"/>
        <w:gridCol w:w="6045"/>
      </w:tblGrid>
      <w:tr>
        <w:trPr>
          <w:cantSplit/>
          <w:tblHeader/>
        </w:trPr>
        <w:tc>
          <w:tcPr>
            <w:tcW w:type="dxa" w:w="35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Secret</w:t>
            </w:r>
          </w:p>
        </w:tc>
        <w:tc>
          <w:tcPr>
            <w:tcW w:type="dxa" w:w="604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Where kept</w:t>
            </w:r>
          </w:p>
        </w:tc>
      </w:tr>
      <w:tr>
        <w:trPr>
          <w:cantSplit/>
          <w:tblHeader w:val="off"/>
        </w:trPr>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Windows code signing credentials</w:t>
            </w:r>
          </w:p>
        </w:tc>
        <w:tc>
          <w:tcPr>
            <w:tcW w:type="dxa" w:w="6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CI secrets (Azure short-lived credentials; Chapter 9)</w:t>
            </w:r>
          </w:p>
        </w:tc>
      </w:tr>
      <w:tr>
        <w:trPr>
          <w:cantSplit/>
          <w:tblHeader w:val="off"/>
        </w:trPr>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macOS code signing credentials (the .p12 of the Developer ID Application certificate and private key, and its passphrase)</w:t>
            </w:r>
          </w:p>
        </w:tc>
        <w:tc>
          <w:tcPr>
            <w:tcW w:type="dxa" w:w="6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CI secrets. The original on the operator's management PC</w:t>
            </w:r>
          </w:p>
        </w:tc>
      </w:tr>
      <w:tr>
        <w:trPr>
          <w:cantSplit/>
          <w:tblHeader w:val="off"/>
        </w:trPr>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macOS notarization credentials (App Store Connect API key)</w:t>
            </w:r>
          </w:p>
        </w:tc>
        <w:tc>
          <w:tcPr>
            <w:tcW w:type="dxa" w:w="6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CI secrets</w:t>
            </w:r>
          </w:p>
        </w:tc>
      </w:tr>
      <w:tr>
        <w:trPr>
          <w:cantSplit/>
          <w:tblHeader w:val="off"/>
        </w:trPr>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Write key of the Hong Kong mirror (Alibaba Cloud AccessKey)</w:t>
            </w:r>
          </w:p>
        </w:tc>
        <w:tc>
          <w:tcPr>
            <w:tcW w:type="dxa" w:w="6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The operator's management PC (not placed in CI; copying is done by the operator; step 6 of Chapter 9, 6.1 “Procedure”)</w:t>
            </w:r>
          </w:p>
        </w:tc>
      </w:tr>
      <w:tr>
        <w:trPr>
          <w:cantSplit/>
          <w:tblHeader w:val="off"/>
        </w:trPr>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Update signing key</w:t>
            </w:r>
          </w:p>
        </w:tc>
        <w:tc>
          <w:tcPr>
            <w:tcW w:type="dxa" w:w="6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key file on the operator's PC not connected to the network (not placed in CI; DD-11-13“The update signing key and the reference-information signing key are not kept in CI”, Chapter 9, DD-9-4“The update signing key stays outside CI; code-signing credentials are CI secrets”)</w:t>
            </w:r>
          </w:p>
        </w:tc>
      </w:tr>
      <w:tr>
        <w:trPr>
          <w:cantSplit/>
          <w:tblHeader w:val="off"/>
        </w:trPr>
        <w:tc>
          <w:tcPr>
            <w:tcW w:type="dxa" w:w="35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Reference-information signing key</w:t>
            </w:r>
          </w:p>
        </w:tc>
        <w:tc>
          <w:tcPr>
            <w:tcW w:type="dxa" w:w="604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Hardware token (not placed in CI)</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CI secrets are set so they can be used only in the release CI environment (GitHub environment) that runs when a </w:t>
      </w:r>
      <w:r>
        <w:rPr>
          <w:rFonts w:ascii="Consolas" w:eastAsia="Yu Gothic" w:hAnsi="Consolas"/>
        </w:rPr>
        <w:t xml:space="preserve">v*</w:t>
      </w:r>
      <w:r>
        <w:rPr>
          <w:rFonts w:ascii="Calibri" w:eastAsia="Yu Gothic" w:hAnsi="Calibri"/>
        </w:rPr>
        <w:t xml:space="preserve"> tag is created. Creating tags is limited to owners (Chapter 8, 3.5 “Protection of the GitHub account and repository”).</w:t>
      </w:r>
    </w:p>
    <w:p>
      <w:pPr>
        <w:pStyle w:val="ListParagraph"/>
        <w:keepNext w:val="false"/>
        <w:keepLines/>
        <w:numPr>
          <w:ilvl w:val="0"/>
          <w:numId w:val="2"/>
        </w:numPr>
        <w:spacing w:after="20" w:before="20" w:line="300"/>
      </w:pPr>
      <w:r>
        <w:rPr>
          <w:rFonts w:ascii="Calibri" w:eastAsia="Yu Gothic" w:hAnsi="Calibri"/>
        </w:rPr>
        <w:t xml:space="preserve">If CI secrets leak, or the CI or GitHub organization is taken over, fake distributables with valid code signatures may be built (Chapter 1, T-22“Taking over CI or the GitHub organization to place correctly code-signed fake builds in official releases”, Chapter 13, H-44“If CI or the GitHub organization is taken over, correctly code-signed fake builds may be placed in official releases”).</w:t>
      </w:r>
    </w:p>
    <w:p>
      <w:pPr>
        <w:pStyle w:val="Heading1"/>
      </w:pPr>
      <w:r>
        <w:rPr>
          <w:rFonts w:ascii="Calibri" w:eastAsia="Yu Gothic" w:hAnsi="Calibri"/>
        </w:rPr>
        <w:t xml:space="preserve">9. NRSD's License (Decision on O-09“NRSD’s license type”)</w:t>
      </w:r>
    </w:p>
    <w:p>
      <w:pPr>
        <w:pStyle w:val="ListParagraph"/>
        <w:keepNext/>
        <w:keepLines/>
        <w:numPr>
          <w:ilvl w:val="0"/>
          <w:numId w:val="2"/>
        </w:numPr>
        <w:spacing w:after="20" w:before="20" w:line="300"/>
      </w:pPr>
      <w:r>
        <w:rPr>
          <w:rFonts w:ascii="Calibri" w:eastAsia="Yu Gothic" w:hAnsi="Calibri"/>
        </w:rPr>
        <w:t xml:space="preserve">Decision (2026-09-30, NRSD): the license of the System's source code and program is Apache-2.0. All depended-on components are under the permitted licenses of 5.1 “Permitted licenses” (MIT, Apache-2.0, BSD, ISC, Zlib, Unicode-3.0, IJG, OFL, etc.) (with the exception of OS-derived LGPL shared components bundled by the Linux AppImage with dynamic linking kept), and are compatible.</w:t>
      </w:r>
    </w:p>
    <w:p>
      <w:pPr>
        <w:pStyle w:val="ListParagraph"/>
        <w:keepNext/>
        <w:keepLines/>
        <w:numPr>
          <w:ilvl w:val="0"/>
          <w:numId w:val="2"/>
        </w:numPr>
        <w:spacing w:after="20" w:before="20" w:line="300"/>
      </w:pPr>
      <w:r>
        <w:rPr>
          <w:rFonts w:ascii="Calibri" w:eastAsia="Yu Gothic" w:hAnsi="Calibri"/>
        </w:rPr>
        <w:t xml:space="preserve">Intent: NRSD charges no usage fees for the System and does not sell it. It does not waive copyright or the license, but aims for the System to be used freely. The aim is to keep it open enough that sales venues (Patreon, etc.) could take in the System's matching means and design as they are. Distributing modified versions closed is also not prevented (Design Plan D-2-5“Sales management is not handled. Anyone who needs it shall fork and modify the System, and NRSD takes no part in the results”, D-12-2“The software is published, and its being taken away is not prevented”).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85"/>
        <w:gridCol w:w="2652"/>
        <w:gridCol w:w="1908"/>
        <w:gridCol w:w="1135"/>
        <w:gridCol w:w="2558"/>
      </w:tblGrid>
      <w:tr>
        <w:trPr>
          <w:cantSplit/>
          <w:tblHeader/>
        </w:trPr>
        <w:tc>
          <w:tcPr>
            <w:tcW w:type="dxa" w:w="138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Candidate compared</w:t>
            </w:r>
          </w:p>
        </w:tc>
        <w:tc>
          <w:tcPr>
            <w:tcW w:type="dxa" w:w="265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Taking out and modifying</w:t>
            </w:r>
          </w:p>
        </w:tc>
        <w:tc>
          <w:tcPr>
            <w:tcW w:type="dxa" w:w="190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Handling of names</w:t>
            </w:r>
          </w:p>
        </w:tc>
        <w:tc>
          <w:tcPr>
            <w:tcW w:type="dxa" w:w="11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Patents</w:t>
            </w:r>
          </w:p>
        </w:tc>
        <w:tc>
          <w:tcPr>
            <w:tcW w:type="dxa" w:w="25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Adopted or not</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MIT</w:t>
            </w:r>
          </w:p>
        </w:tc>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prevented. Modified versions can be distributed closed</w:t>
            </w:r>
          </w:p>
        </w:tc>
        <w:tc>
          <w:tcPr>
            <w:tcW w:type="dxa" w:w="1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provision</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 explicit grant</w:t>
            </w:r>
          </w:p>
        </w:tc>
        <w:tc>
          <w:tcPr>
            <w:tcW w:type="dxa" w:w="2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adopted (no provisions on names or patents)</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Apache-2.0</w:t>
            </w:r>
          </w:p>
        </w:tc>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Not prevented. Modified versions can be distributed closed. Changes must be stated</w:t>
            </w:r>
          </w:p>
        </w:tc>
        <w:tc>
          <w:tcPr>
            <w:tcW w:type="dxa" w:w="1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Section 6 states that use of trademarks (names, marks) is not permitted, which is one basis for restraining modified versions from calling themselves “official”</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Explicit grant</w:t>
            </w:r>
          </w:p>
        </w:tc>
        <w:tc>
          <w:tcPr>
            <w:tcW w:type="dxa" w:w="2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Adopted</w:t>
            </w:r>
          </w:p>
        </w:tc>
      </w:tr>
      <w:tr>
        <w:trPr>
          <w:cantSplit/>
          <w:tblHeader w:val="off"/>
        </w:trPr>
        <w:tc>
          <w:tcPr>
            <w:tcW w:type="dxa" w:w="138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GPLv3, AGPL-3.0</w:t>
            </w:r>
          </w:p>
        </w:tc>
        <w:tc>
          <w:tcPr>
            <w:tcW w:type="dxa" w:w="265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Requires those who distribute modified versions to publish source. Modifications adding sales management cannot be distributed closed</w:t>
            </w:r>
          </w:p>
        </w:tc>
        <w:tc>
          <w:tcPr>
            <w:tcW w:type="dxa" w:w="190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 provision</w:t>
            </w:r>
          </w:p>
        </w:tc>
        <w:tc>
          <w:tcPr>
            <w:tcW w:type="dxa" w:w="11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Explicit grant</w:t>
            </w:r>
          </w:p>
        </w:tc>
        <w:tc>
          <w:tcPr>
            <w:tcW w:type="dxa" w:w="25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Not adopted (conflicts with D-2-5“Sales management is not handled. Anyone who needs it shall fork and modify the System, and NRSD takes no part in the results” and D-12-2“The software is published, and its being taken away is not prevented”)</w:t>
            </w:r>
          </w:p>
        </w:tc>
      </w:tr>
    </w:tbl>
    <w:p>
      <w:pPr>
        <w:spacing w:after="100" w:before="0"/>
      </w:pPr>
    </w:p>
    <w:p>
      <w:pPr>
        <w:pStyle w:val="ListParagraph"/>
        <w:keepNext/>
        <w:keepLines/>
        <w:numPr>
          <w:ilvl w:val="0"/>
          <w:numId w:val="2"/>
        </w:numPr>
        <w:spacing w:after="20" w:before="20" w:line="300"/>
      </w:pPr>
      <w:r>
        <w:rPr>
          <w:rFonts w:ascii="Calibri" w:eastAsia="Yu Gothic" w:hAnsi="Calibri"/>
        </w:rPr>
        <w:t xml:space="preserve">Reasons: ① fits the Plan's policy of not preventing forks and modifications. ② Posting sites, verification sites, and other software can easily take the notice code computation and matching procedure into their products, increasing the places where matching is possible. ③ Section 6 explicitly states that use of names is not permitted (supplementing Chapter 9, DD-9-3“Official builds are identified by the code-signing publisher and SHA-256”; protection of names is by trademark law). ④ It is the same family as surrounding components such as c2pa-rs and Tauri.</w:t>
      </w:r>
    </w:p>
    <w:p>
      <w:pPr>
        <w:pStyle w:val="ListParagraph"/>
        <w:keepNext/>
        <w:keepLines/>
        <w:numPr>
          <w:ilvl w:val="0"/>
          <w:numId w:val="2"/>
        </w:numPr>
        <w:spacing w:after="20" w:before="20" w:line="300"/>
      </w:pPr>
      <w:r>
        <w:rPr>
          <w:rFonts w:ascii="Calibri" w:eastAsia="Yu Gothic" w:hAnsi="Calibri"/>
        </w:rPr>
        <w:t xml:space="preserve">Notices: </w:t>
      </w:r>
      <w:r>
        <w:rPr>
          <w:rFonts w:ascii="Consolas" w:eastAsia="Yu Gothic" w:hAnsi="Consolas"/>
        </w:rPr>
        <w:t xml:space="preserve">LICENSE</w:t>
      </w:r>
      <w:r>
        <w:rPr>
          <w:rFonts w:ascii="Calibri" w:eastAsia="Yu Gothic" w:hAnsi="Calibri"/>
        </w:rPr>
        <w:t xml:space="preserve"> (the Apache-2.0 text) and </w:t>
      </w:r>
      <w:r>
        <w:rPr>
          <w:rFonts w:ascii="Consolas" w:eastAsia="Yu Gothic" w:hAnsi="Consolas"/>
        </w:rPr>
        <w:t xml:space="preserve">NOTICE</w:t>
      </w:r>
      <w:r>
        <w:rPr>
          <w:rFonts w:ascii="Calibri" w:eastAsia="Yu Gothic" w:hAnsi="Calibri"/>
        </w:rPr>
        <w:t xml:space="preserve"> (copyright notice: © 2026 Nagareyama Software Development Co., Ltd.) are placed at the top of the repository, and the same are included in distributables and the app (G-23“About This App”).</w:t>
      </w:r>
    </w:p>
    <w:p>
      <w:pPr>
        <w:pStyle w:val="ListParagraph"/>
        <w:keepNext/>
        <w:keepLines/>
        <w:numPr>
          <w:ilvl w:val="0"/>
          <w:numId w:val="2"/>
        </w:numPr>
        <w:spacing w:after="20" w:before="20" w:line="300"/>
      </w:pPr>
      <w:r>
        <w:rPr>
          <w:rFonts w:ascii="Calibri" w:eastAsia="Yu Gothic" w:hAnsi="Calibri"/>
        </w:rPr>
        <w:t xml:space="preserve">Donations and support: not accepted (as of 2026-09-30). If accepted, because the arrangement that the legal action guidance of Chapter 7 does not constitute unauthorized practice of law presumes it is provided free of charge (Legal Research L-10“Handling of legal business (unauthorized practice of law) (Japan)”: “without receiving any benefit whatsoever, including usage fees”), they are accepted only after confirming with experts that donations do not touch this premise.</w:t>
      </w:r>
    </w:p>
    <w:p>
      <w:pPr>
        <w:pStyle w:val="ListParagraph"/>
        <w:keepNext w:val="false"/>
        <w:keepLines/>
        <w:numPr>
          <w:ilvl w:val="0"/>
          <w:numId w:val="2"/>
        </w:numPr>
        <w:spacing w:after="20" w:before="20" w:line="300"/>
      </w:pPr>
      <w:r>
        <w:rPr>
          <w:rFonts w:ascii="Calibri" w:eastAsia="Yu Gothic" w:hAnsi="Calibri"/>
        </w:rPr>
        <w:t xml:space="preserve">Export control (Legal Research L-14“Export control of software containing cryptography (Japan, US)”): by using only public standard cryptography, publishing the source, and distributing free of charge, it is treated as a transaction not requiring permission in Japan and as not requiring notification in the United States. The conditions are checked at each release (Chapter 9, 6.3 “Export control of software containing cryptography”).</w:t>
      </w:r>
    </w:p>
    <w:p>
      <w:pPr>
        <w:pStyle w:val="Heading1"/>
      </w:pPr>
      <w:r>
        <w:rPr>
          <w:rFonts w:ascii="Calibri" w:eastAsia="Yu Gothic" w:hAnsi="Calibri"/>
        </w:rPr>
        <w:t xml:space="preserve">10. Versioning and Branch Operation</w:t>
      </w:r>
    </w:p>
    <w:p>
      <w:pPr>
        <w:pStyle w:val="ListParagraph"/>
        <w:keepNext/>
        <w:keepLines/>
        <w:numPr>
          <w:ilvl w:val="0"/>
          <w:numId w:val="2"/>
        </w:numPr>
        <w:spacing w:after="20" w:before="20" w:line="300"/>
      </w:pPr>
      <w:r>
        <w:rPr>
          <w:rFonts w:ascii="Calibri" w:eastAsia="Yu Gothic" w:hAnsi="Calibri"/>
        </w:rPr>
        <w:t xml:space="preserve">The app version is “year.month.serial” (e.g., </w:t>
      </w:r>
      <w:r>
        <w:rPr>
          <w:rFonts w:ascii="Consolas" w:eastAsia="Yu Gothic" w:hAnsi="Consolas"/>
        </w:rPr>
        <w:t xml:space="preserve">2026.10.1</w:t>
      </w:r>
      <w:r>
        <w:rPr>
          <w:rFonts w:ascii="Calibri" w:eastAsia="Yu Gothic" w:hAnsi="Calibri"/>
        </w:rPr>
        <w:t xml:space="preserve">). This form fits the form of Semantic Versioning (major.minor.patch) and meets the requirement of Tauri's update mechanism (valid SemVer) (Chapter 9, 6.4 “Versioning”). Compatibility of record formats is expressed not by the app version but by the record format version (</w:t>
      </w:r>
      <w:r>
        <w:rPr>
          <w:rFonts w:ascii="Consolas" w:eastAsia="Yu Gothic" w:hAnsi="Consolas"/>
        </w:rPr>
        <w:t xml:space="preserve">schema</w:t>
      </w:r>
      <w:r>
        <w:rPr>
          <w:rFonts w:ascii="Calibri" w:eastAsia="Yu Gothic" w:hAnsi="Calibri"/>
        </w:rPr>
        <w:t xml:space="preserve">).</w:t>
      </w:r>
    </w:p>
    <w:p>
      <w:pPr>
        <w:pStyle w:val="ListParagraph"/>
        <w:keepNext/>
        <w:keepLines/>
        <w:numPr>
          <w:ilvl w:val="0"/>
          <w:numId w:val="2"/>
        </w:numPr>
        <w:spacing w:after="20" w:before="20" w:line="300"/>
      </w:pPr>
      <w:r>
        <w:rPr>
          <w:rFonts w:ascii="Calibri" w:eastAsia="Yu Gothic" w:hAnsi="Calibri"/>
        </w:rPr>
        <w:t xml:space="preserve">The record format version (</w:t>
      </w:r>
      <w:r>
        <w:rPr>
          <w:rFonts w:ascii="Consolas" w:eastAsia="Yu Gothic" w:hAnsi="Consolas"/>
        </w:rPr>
        <w:t xml:space="preserve">schema</w:t>
      </w:r>
      <w:r>
        <w:rPr>
          <w:rFonts w:ascii="Calibri" w:eastAsia="Yu Gothic" w:hAnsi="Calibri"/>
        </w:rPr>
        <w:t xml:space="preserve">), the C2PA specification version, and the reference information version are held separately from the app version (Chapter 1, 10.9 “Version compatibility”).</w:t>
      </w:r>
    </w:p>
    <w:p>
      <w:pPr>
        <w:pStyle w:val="ListParagraph"/>
        <w:keepNext/>
        <w:keepLines/>
        <w:numPr>
          <w:ilvl w:val="0"/>
          <w:numId w:val="2"/>
        </w:numPr>
        <w:spacing w:after="20" w:before="20" w:line="300"/>
      </w:pPr>
      <w:r>
        <w:rPr>
          <w:rFonts w:ascii="Calibri" w:eastAsia="Yu Gothic" w:hAnsi="Calibri"/>
        </w:rPr>
        <w:t xml:space="preserve">Direct pushes to the main branch are prohibited; changes go through pull requests and CI checks (Chapter 8, 3.5 “Protection of the GitHub account and repository”). While there is one developer, review is the developer's own check. Commits are signed.</w:t>
      </w:r>
    </w:p>
    <w:p>
      <w:pPr>
        <w:pStyle w:val="ListParagraph"/>
        <w:keepNext w:val="false"/>
        <w:keepLines/>
        <w:numPr>
          <w:ilvl w:val="0"/>
          <w:numId w:val="2"/>
        </w:numPr>
        <w:spacing w:after="20" w:before="20" w:line="300"/>
      </w:pPr>
      <w:r>
        <w:rPr>
          <w:rFonts w:ascii="Calibri" w:eastAsia="Yu Gothic" w:hAnsi="Calibri"/>
        </w:rPr>
        <w:t xml:space="preserve">Releases are built by CI when a version tag is created.</w:t>
      </w:r>
    </w:p>
    <w:p>
      <w:pPr>
        <w:pStyle w:val="Heading1"/>
      </w:pPr>
      <w:r>
        <w:rPr>
          <w:rFonts w:ascii="Calibri" w:eastAsia="Yu Gothic" w:hAnsi="Calibri"/>
        </w:rPr>
        <w:t xml:space="preserve">11. Coding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20"/>
        <w:gridCol w:w="8318"/>
      </w:tblGrid>
      <w:tr>
        <w:trPr>
          <w:cantSplit/>
          <w:tblHeader/>
        </w:trPr>
        <w:tc>
          <w:tcPr>
            <w:tcW w:type="dxa" w:w="132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Item</w:t>
            </w:r>
          </w:p>
        </w:tc>
        <w:tc>
          <w:tcPr>
            <w:tcW w:type="dxa" w:w="831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Convention</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Formatting</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Defaults of rustfmt and prettier</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Static checks</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clippy warnings treated as errors. eslint recommended rules</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Errors</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Define error types with thiserror, carrying the categories and codes of Chapter 1, 10.3 “Errors”. Texts for Users are placed in text files</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Logging</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tracing. Keep the items not to be written (Chapter 1, 10.4 “Operation log”)</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Dangerous processing</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Rust unsafe is limited to within components, with the reason for use written alongside</w:t>
            </w:r>
          </w:p>
        </w:tc>
      </w:tr>
      <w:tr>
        <w:trPr>
          <w:cantSplit/>
          <w:tblHeader w:val="off"/>
        </w:trPr>
        <w:tc>
          <w:tcPr>
            <w:tcW w:type="dxa" w:w="132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Texts</w:t>
            </w:r>
          </w:p>
        </w:tc>
        <w:tc>
          <w:tcPr>
            <w:tcW w:type="dxa" w:w="831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Do not write text directly in screens; place it in text files (DD-11-8“Internationalization uses message files”)</w:t>
            </w:r>
          </w:p>
        </w:tc>
      </w:tr>
    </w:tbl>
    <w:p>
      <w:pPr>
        <w:spacing w:after="100" w:before="0"/>
      </w:pPr>
    </w:p>
    <w:p>
      <w:pPr>
        <w:pStyle w:val="Heading1"/>
      </w:pPr>
      <w:r>
        <w:rPr>
          <w:rFonts w:ascii="Calibri" w:eastAsia="Yu Gothic" w:hAnsi="Calibri"/>
        </w:rPr>
        <w:t xml:space="preserve">12. Preparation for When a Component's Maintenance Stops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2"/>
        <w:gridCol w:w="7966"/>
      </w:tblGrid>
      <w:tr>
        <w:trPr>
          <w:cantSplit/>
          <w:tblHeader/>
        </w:trPr>
        <w:tc>
          <w:tcPr>
            <w:tcW w:type="dxa" w:w="167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Component</w:t>
            </w:r>
          </w:p>
        </w:tc>
        <w:tc>
          <w:tcPr>
            <w:tcW w:type="dxa" w:w="796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Replacement if it stops</w:t>
            </w:r>
          </w:p>
        </w:tc>
      </w:tr>
      <w:tr>
        <w:trPr>
          <w:cantSplit/>
          <w:tblHeader w:val="off"/>
        </w:trPr>
        <w:tc>
          <w:tcPr>
            <w:tcW w:type="dxa" w:w="1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c2pa-rs</w:t>
            </w:r>
          </w:p>
        </w:tc>
        <w:tc>
          <w:tcPr>
            <w:tcW w:type="dxa" w:w="7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It is CAI's public SDK, maintained by Adobe, which is involved in developing the C2PA specification. It is unlikely to stop. If it stops, our own implementation following the specification (JUMBF, COSE)</w:t>
            </w:r>
          </w:p>
        </w:tc>
      </w:tr>
      <w:tr>
        <w:trPr>
          <w:cantSplit/>
          <w:tblHeader w:val="off"/>
        </w:trPr>
        <w:tc>
          <w:tcPr>
            <w:tcW w:type="dxa" w:w="1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Prebuilt ONNX runtime components (pyke's distribution)</w:t>
            </w:r>
          </w:p>
        </w:tc>
        <w:tc>
          <w:tcPr>
            <w:tcW w:type="dxa" w:w="7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Build the ONNX runtime from source and pass it to ort with </w:t>
            </w:r>
            <w:r>
              <w:rPr>
                <w:rFonts w:ascii="Consolas" w:eastAsia="Yu Gothic" w:hAnsi="Consolas"/>
                <w:b w:val="false"/>
                <w:bCs w:val="false"/>
                <w:sz w:val="18"/>
                <w:szCs w:val="18"/>
              </w:rPr>
              <w:t xml:space="preserve">ORT_LIB_PATH</w:t>
            </w:r>
            <w:r>
              <w:rPr>
                <w:rFonts w:ascii="Calibri" w:eastAsia="Yu Gothic" w:hAnsi="Calibri"/>
                <w:b w:val="false"/>
                <w:bCs w:val="false"/>
                <w:sz w:val="18"/>
                <w:szCs w:val="18"/>
              </w:rPr>
              <w:t xml:space="preserve"> (ort's “Linking” guide). ort's maintainer said in the 2.0.0-rc.11 guide that little macOS support can be expected (“expect little to no macOS support”); if ort stops working on macOS, the ONNX runtime is built from source and passed</w:t>
            </w:r>
          </w:p>
        </w:tc>
      </w:tr>
      <w:tr>
        <w:trPr>
          <w:cantSplit/>
          <w:tblHeader w:val="off"/>
        </w:trPr>
        <w:tc>
          <w:tcPr>
            <w:tcW w:type="dxa" w:w="1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trustmark</w:t>
            </w:r>
          </w:p>
        </w:tc>
        <w:tc>
          <w:tcPr>
            <w:tcW w:type="dxa" w:w="7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Switch to another C2PA-approved watermark. The identification number system is not changed</w:t>
            </w:r>
          </w:p>
        </w:tc>
      </w:tr>
      <w:tr>
        <w:trPr>
          <w:cantSplit/>
          <w:tblHeader w:val="off"/>
        </w:trPr>
        <w:tc>
          <w:tcPr>
            <w:tcW w:type="dxa" w:w="1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pdqhash</w:t>
            </w:r>
          </w:p>
        </w:tc>
        <w:tc>
          <w:tcPr>
            <w:tcW w:type="dxa" w:w="7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pdq-rs (the original C++). pdqhash's last release was 0.1.1 (2022-07-08), which cannot be said to satisfy continued maintenance. Before adopting, check agreement with the original's test values (DD-11-4“PDQ uses pdqhash”), and switch to pdq-rs if they do not agree or a vulnerability is found</w:t>
            </w:r>
          </w:p>
        </w:tc>
      </w:tr>
      <w:tr>
        <w:trPr>
          <w:cantSplit/>
          <w:tblHeader w:val="off"/>
        </w:trPr>
        <w:tc>
          <w:tcPr>
            <w:tcW w:type="dxa" w:w="1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harfrust</w:t>
            </w:r>
          </w:p>
        </w:tc>
        <w:tc>
          <w:tcPr>
            <w:tcW w:type="dxa" w:w="7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A component wrapping HarfBuzz's C implementation</w:t>
            </w:r>
          </w:p>
        </w:tc>
      </w:tr>
      <w:tr>
        <w:trPr>
          <w:cantSplit/>
          <w:tblHeader w:val="off"/>
        </w:trPr>
        <w:tc>
          <w:tcPr>
            <w:tcW w:type="dxa" w:w="1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tiny-skia</w:t>
            </w:r>
          </w:p>
        </w:tc>
        <w:tc>
          <w:tcPr>
            <w:tcW w:type="dxa" w:w="7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vello_cpu (has shadows and blur, but its README notes limitations)</w:t>
            </w:r>
          </w:p>
        </w:tc>
      </w:tr>
      <w:tr>
        <w:trPr>
          <w:cantSplit/>
          <w:tblHeader w:val="off"/>
        </w:trPr>
        <w:tc>
          <w:tcPr>
            <w:tcW w:type="dxa" w:w="1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moxcms</w:t>
            </w:r>
          </w:p>
        </w:tc>
        <w:tc>
          <w:tcPr>
            <w:tcW w:type="dxa" w:w="7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lcms2 (Little CMS)</w:t>
            </w:r>
          </w:p>
        </w:tc>
      </w:tr>
      <w:tr>
        <w:trPr>
          <w:cantSplit/>
          <w:tblHeader w:val="off"/>
        </w:trPr>
        <w:tc>
          <w:tcPr>
            <w:tcW w:type="dxa" w:w="16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Tauri</w:t>
            </w:r>
          </w:p>
        </w:tc>
        <w:tc>
          <w:tcPr>
            <w:tcW w:type="dxa" w:w="796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Keep the screens (HTML, CSS) and move the shell to another framework (Electron, etc.)</w:t>
            </w:r>
          </w:p>
        </w:tc>
      </w:tr>
    </w:tbl>
    <w:p>
      <w:pPr>
        <w:spacing w:after="100" w:before="0"/>
      </w:pPr>
    </w:p>
    <w:p>
      <w:pPr>
        <w:pStyle w:val="Heading1"/>
      </w:pPr>
      <w:r>
        <w:rPr>
          <w:rFonts w:ascii="Calibri" w:eastAsia="Yu Gothic" w:hAnsi="Calibri"/>
        </w:rPr>
        <w:t xml:space="preserve">13. Mapping to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5"/>
        <w:gridCol w:w="3340"/>
        <w:gridCol w:w="4663"/>
      </w:tblGrid>
      <w:tr>
        <w:trPr>
          <w:cantSplit/>
          <w:tblHeader/>
        </w:trPr>
        <w:tc>
          <w:tcPr>
            <w:tcW w:type="dxa" w:w="163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 number</w:t>
            </w:r>
          </w:p>
        </w:tc>
        <w:tc>
          <w:tcPr>
            <w:tcW w:type="dxa" w:w="334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Requirement</w:t>
            </w:r>
          </w:p>
        </w:tc>
        <w:tc>
          <w:tcPr>
            <w:tcW w:type="dxa" w:w="466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Calibri" w:eastAsia="Yu Gothic" w:hAnsi="Calibri"/>
                <w:b/>
                <w:bCs/>
                <w:sz w:val="18"/>
                <w:szCs w:val="18"/>
              </w:rPr>
              <w:t xml:space="preserve">Sections in this chapter</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R-11-1-1</w:t>
            </w:r>
          </w:p>
        </w:tc>
        <w:tc>
          <w:tcPr>
            <w:tcW w:type="dxa" w:w="3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Meets the conditions of Design Plan 6.2</w:t>
            </w:r>
          </w:p>
        </w:tc>
        <w:tc>
          <w:tcPr>
            <w:tcW w:type="dxa" w:w="4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2 “Basis for Selection (Conditions of Design Plan 6.2)”</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R-11-2-1</w:t>
            </w:r>
          </w:p>
        </w:tc>
        <w:tc>
          <w:tcPr>
            <w:tcW w:type="dxa" w:w="3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Quality and continued maintenance are confirmed, and there is preparation for when maintenance stops</w:t>
            </w:r>
          </w:p>
        </w:tc>
        <w:tc>
          <w:tcPr>
            <w:tcW w:type="dxa" w:w="4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“List of Components”, 5 “Dependency Policy”, 12 “Preparation for When a Component's Maintenance Stops”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R-11-3-1</w:t>
            </w:r>
          </w:p>
        </w:tc>
        <w:tc>
          <w:tcPr>
            <w:tcW w:type="dxa" w:w="3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Complies with the licenses of third-party components and fonts</w:t>
            </w:r>
          </w:p>
        </w:tc>
        <w:tc>
          <w:tcPr>
            <w:tcW w:type="dxa" w:w="4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4 “List of Components”, 5.1 “Permitted licenses”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R-11-3-2</w:t>
            </w:r>
          </w:p>
        </w:tc>
        <w:tc>
          <w:tcPr>
            <w:tcW w:type="dxa" w:w="3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NRSD's license is decided</w:t>
            </w:r>
          </w:p>
        </w:tc>
        <w:tc>
          <w:tcPr>
            <w:tcW w:type="dxa" w:w="4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9 “NRSD's License (Decision on O-09“NRSD’s license type”)” (Apache-2.0)</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R-11-4-1</w:t>
            </w:r>
          </w:p>
        </w:tc>
        <w:tc>
          <w:tcPr>
            <w:tcW w:type="dxa" w:w="3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Can be built on three OSes, and texts are externalized</w:t>
            </w:r>
          </w:p>
        </w:tc>
        <w:tc>
          <w:tcPr>
            <w:tcW w:type="dxa" w:w="4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alibri" w:eastAsia="Yu Gothic" w:hAnsi="Calibri"/>
                <w:b w:val="false"/>
                <w:bCs w:val="false"/>
                <w:sz w:val="18"/>
                <w:szCs w:val="18"/>
              </w:rPr>
              <w:t xml:space="preserve">3 “Development Environment and Versions”, 8 “Build and Continuous Integration (CI)”, DD-11-8“Internationalization uses message files”</w:t>
            </w:r>
          </w:p>
        </w:tc>
      </w:tr>
      <w:tr>
        <w:trPr>
          <w:cantSplit/>
          <w:tblHeader w:val="off"/>
        </w:trPr>
        <w:tc>
          <w:tcPr>
            <w:tcW w:type="dxa" w:w="163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R-11-5-1</w:t>
            </w:r>
          </w:p>
        </w:tc>
        <w:tc>
          <w:tcPr>
            <w:tcW w:type="dxa" w:w="334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There is preparation for dependency updates and tampering</w:t>
            </w:r>
          </w:p>
        </w:tc>
        <w:tc>
          <w:tcPr>
            <w:tcW w:type="dxa" w:w="466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alibri" w:eastAsia="Yu Gothic" w:hAnsi="Calibri"/>
                <w:b w:val="false"/>
                <w:bCs w:val="false"/>
                <w:sz w:val="18"/>
                <w:szCs w:val="18"/>
              </w:rPr>
              <w:t xml:space="preserve">5 “Dependency Policy”, 6 “SBOM and Provenance Attestations”</w:t>
            </w:r>
          </w:p>
        </w:tc>
      </w:tr>
    </w:tbl>
    <w:p>
      <w:pPr>
        <w:spacing w:after="100" w:before="0"/>
      </w:pPr>
    </w:p>
    <w:p>
      <w:pPr>
        <w:pStyle w:val="Heading1"/>
      </w:pPr>
      <w:r>
        <w:rPr>
          <w:rFonts w:ascii="Calibri" w:eastAsia="Yu Gothic" w:hAnsi="Calibri"/>
        </w:rPr>
        <w:t xml:space="preserve">14. Gaps Declared in This Chapter</w:t>
      </w:r>
    </w:p>
    <w:p>
      <w:pPr>
        <w:pStyle w:val="ListParagraph"/>
        <w:keepNext/>
        <w:keepLines/>
        <w:numPr>
          <w:ilvl w:val="0"/>
          <w:numId w:val="2"/>
        </w:numPr>
        <w:spacing w:after="20" w:before="20" w:line="300"/>
      </w:pPr>
      <w:r>
        <w:rPr>
          <w:rFonts w:ascii="Calibri" w:eastAsia="Yu Gothic" w:hAnsi="Calibri"/>
        </w:rPr>
        <w:t xml:space="preserve">HEIC pixels are not read. HEIC photos must be converted to JPEG or the like before use (guidance in Chapter 10).</w:t>
      </w:r>
    </w:p>
    <w:p>
      <w:pPr>
        <w:pStyle w:val="ListParagraph"/>
        <w:keepNext/>
        <w:keepLines/>
        <w:numPr>
          <w:ilvl w:val="0"/>
          <w:numId w:val="2"/>
        </w:numPr>
        <w:spacing w:after="20" w:before="20" w:line="300"/>
      </w:pPr>
      <w:r>
        <w:rPr>
          <w:rFonts w:ascii="Calibri" w:eastAsia="Yu Gothic" w:hAnsi="Calibri"/>
        </w:rPr>
        <w:t xml:space="preserve">Macs with Intel CPUs are not supported (3.1), because the ONNX runtime stopped distributing for Intel macOS.</w:t>
      </w:r>
    </w:p>
    <w:p>
      <w:pPr>
        <w:pStyle w:val="ListParagraph"/>
        <w:keepNext/>
        <w:keepLines/>
        <w:numPr>
          <w:ilvl w:val="0"/>
          <w:numId w:val="2"/>
        </w:numPr>
        <w:spacing w:after="20" w:before="20" w:line="300"/>
      </w:pPr>
      <w:r>
        <w:rPr>
          <w:rFonts w:ascii="Calibri" w:eastAsia="Yu Gothic" w:hAnsi="Calibri"/>
        </w:rPr>
        <w:t xml:space="preserve">It cannot be used on PCs with CPUs lacking AVX2 and so on (x86-64-v3) (Intel before 2013, and some Pentium and Celeron after 2013, etc.) (3.1).</w:t>
      </w:r>
    </w:p>
    <w:p>
      <w:pPr>
        <w:pStyle w:val="ListParagraph"/>
        <w:keepNext/>
        <w:keepLines/>
        <w:numPr>
          <w:ilvl w:val="0"/>
          <w:numId w:val="2"/>
        </w:numPr>
        <w:spacing w:after="20" w:before="20" w:line="300"/>
      </w:pPr>
      <w:r>
        <w:rPr>
          <w:rFonts w:ascii="Calibri" w:eastAsia="Yu Gothic" w:hAnsi="Calibri"/>
        </w:rPr>
        <w:t xml:space="preserve">Unknown vulnerabilities of components cannot be prevented until published.</w:t>
      </w:r>
    </w:p>
    <w:p>
      <w:pPr>
        <w:pStyle w:val="ListParagraph"/>
        <w:keepNext/>
        <w:keepLines/>
        <w:numPr>
          <w:ilvl w:val="0"/>
          <w:numId w:val="2"/>
        </w:numPr>
        <w:spacing w:after="20" w:before="20" w:line="300"/>
      </w:pPr>
      <w:r>
        <w:rPr>
          <w:rFonts w:ascii="Calibri" w:eastAsia="Yu Gothic" w:hAnsi="Calibri"/>
        </w:rPr>
        <w:t xml:space="preserve">Because code signing credentials are placed in CI secrets, if the CI or GitHub organization is taken over, fake distributables with valid code signatures may be built (8.3 “Handling of secrets”, Chapter 13, H-44“If CI or the GitHub organization is taken over, correctly code-signed fake builds may be placed in official releases”).</w:t>
      </w:r>
    </w:p>
    <w:p>
      <w:pPr>
        <w:pStyle w:val="ListParagraph"/>
        <w:keepNext w:val="false"/>
        <w:keepLines/>
        <w:numPr>
          <w:ilvl w:val="0"/>
          <w:numId w:val="2"/>
        </w:numPr>
        <w:spacing w:after="20" w:before="20" w:line="300"/>
      </w:pPr>
      <w:r>
        <w:rPr>
          <w:rFonts w:ascii="Calibri" w:eastAsia="Yu Gothic" w:hAnsi="Calibri"/>
        </w:rPr>
        <w:t xml:space="preserve">On Linux, the screen component (WebKitGTK) does not reflect the display's color settings, so preview photo colors do not look correct on wide-gamut displays (Chapter 4, 9.4 “Preview”, Chapter 13, H-48“On Linux, preview photo colors do not reflect the display's color settings”).</w:t>
      </w:r>
    </w:p>
    <w:p>
      <w:pPr>
        <w:pStyle w:val="Heading1"/>
      </w:pPr>
      <w:r>
        <w:rPr>
          <w:rFonts w:ascii="Calibri" w:eastAsia="Yu Gothic" w:hAnsi="Calibri"/>
        </w:rPr>
        <w:t xml:space="preserve">15. Corrections to Other Chapters and the Outline Design Document</w:t>
      </w:r>
    </w:p>
    <w:p>
      <w:pPr>
        <w:pStyle w:val="ListParagraph"/>
        <w:keepNext/>
        <w:keepLines/>
        <w:numPr>
          <w:ilvl w:val="0"/>
          <w:numId w:val="2"/>
        </w:numPr>
        <w:spacing w:after="20" w:before="20" w:line="300"/>
      </w:pPr>
      <w:r>
        <w:rPr>
          <w:rFonts w:ascii="Calibri" w:eastAsia="Yu Gothic" w:hAnsi="Calibri"/>
        </w:rPr>
        <w:t xml:space="preserve">Set the supported formats of Outline Design Document 3-1 “Input” to “JPEG, PNG, TIFF, WebP. RAW, HEIC, and the like: file fingerprint only”.</w:t>
      </w:r>
    </w:p>
    <w:p>
      <w:pPr>
        <w:pStyle w:val="ListParagraph"/>
        <w:keepNext/>
        <w:keepLines/>
        <w:numPr>
          <w:ilvl w:val="0"/>
          <w:numId w:val="2"/>
        </w:numPr>
        <w:spacing w:after="20" w:before="20" w:line="300"/>
      </w:pPr>
      <w:r>
        <w:rPr>
          <w:rFonts w:ascii="Calibri" w:eastAsia="Yu Gothic" w:hAnsi="Calibri"/>
        </w:rPr>
        <w:t xml:space="preserve">The first draft's Section 9 “placing evidence as release attachments” was deleted, because Design Plan Edition 2 placed evidence on the User's device.</w:t>
      </w:r>
    </w:p>
    <w:p>
      <w:pPr>
        <w:pStyle w:val="ListParagraph"/>
        <w:keepNext w:val="false"/>
        <w:keepLines/>
        <w:numPr>
          <w:ilvl w:val="0"/>
          <w:numId w:val="2"/>
        </w:numPr>
        <w:spacing w:after="20" w:before="20" w:line="300"/>
      </w:pPr>
      <w:r>
        <w:rPr>
          <w:rFonts w:ascii="Calibri" w:eastAsia="Yu Gothic" w:hAnsi="Calibri"/>
        </w:rPr>
        <w:t xml:space="preserve">The first draft's 3.3 “where evidence is kept” was consolidated into Chapter 8, 2.1 “Arrangement”.</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Anti-Repost Tool for Cosplay Photos Basic Design Document Chapter 11: Development Base  Edition 1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Yu Gothic" w:hAnsi="Calibri"/>
        <w:sz w:val="21"/>
        <w:szCs w:val="21"/>
        <w:lang w:val="en-US"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Calibri" w:cs="Calibri" w:eastAsia="Calibri" w:hAnsi="Calibri"/>
      <w:b/>
      <w:bCs/>
      <w:color w:val="345A8A"/>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4F81BD"/>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Design Document Chapter 11: Development Base</dc:title>
  <dc:creator>Ishikawa Sou</dc:creator>
  <cp:lastModifiedBy>Un-named</cp:lastModifiedBy>
  <cp:revision>1</cp:revision>
  <dcterms:created xsi:type="dcterms:W3CDTF">2026-09-30T00:15:32.342Z</dcterms:created>
  <dcterms:modified xsi:type="dcterms:W3CDTF">2026-09-30T00:15:32.342Z</dcterms:modified>
</cp:coreProperties>
</file>

<file path=docProps/custom.xml><?xml version="1.0" encoding="utf-8"?>
<Properties xmlns="http://schemas.openxmlformats.org/officeDocument/2006/custom-properties" xmlns:vt="http://schemas.openxmlformats.org/officeDocument/2006/docPropsVTypes"/>
</file>