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12: Interface with Legal</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List of Laws Covered</w:t>
      </w:r>
    </w:p>
    <w:p>
      <w:pPr>
        <w:spacing w:after="40" w:before="40"/>
        <w:ind w:left="240"/>
      </w:pPr>
      <w:r>
        <w:rPr>
          <w:rFonts w:ascii="Calibri" w:cs="Calibri" w:eastAsia="Calibri" w:hAnsi="Calibri"/>
          <w:sz w:val="22"/>
          <w:szCs w:val="22"/>
        </w:rPr>
        <w:t xml:space="preserve">3. Declarations and Registrations by Users</w:t>
      </w:r>
    </w:p>
    <w:p>
      <w:pPr>
        <w:spacing w:after="40" w:before="40"/>
        <w:ind w:left="240"/>
      </w:pPr>
      <w:r>
        <w:rPr>
          <w:rFonts w:ascii="Calibri" w:cs="Calibri" w:eastAsia="Calibri" w:hAnsi="Calibri"/>
          <w:sz w:val="22"/>
          <w:szCs w:val="22"/>
        </w:rPr>
        <w:t xml:space="preserve">4. Terms of Use</w:t>
      </w:r>
    </w:p>
    <w:p>
      <w:pPr>
        <w:spacing w:after="40" w:before="40"/>
        <w:ind w:left="240"/>
      </w:pPr>
      <w:r>
        <w:rPr>
          <w:rFonts w:ascii="Calibri" w:cs="Calibri" w:eastAsia="Calibri" w:hAnsi="Calibri"/>
          <w:sz w:val="22"/>
          <w:szCs w:val="22"/>
        </w:rPr>
        <w:t xml:space="preserve">5. Privacy Policy</w:t>
      </w:r>
    </w:p>
    <w:p>
      <w:pPr>
        <w:spacing w:after="40" w:before="40"/>
        <w:ind w:left="240"/>
      </w:pPr>
      <w:r>
        <w:rPr>
          <w:rFonts w:ascii="Calibri" w:cs="Calibri" w:eastAsia="Calibri" w:hAnsi="Calibri"/>
          <w:sz w:val="22"/>
          <w:szCs w:val="22"/>
        </w:rPr>
        <w:t xml:space="preserve">6. What Is Returned to the Screens</w:t>
      </w:r>
    </w:p>
    <w:p>
      <w:pPr>
        <w:spacing w:after="40" w:before="40"/>
        <w:ind w:left="240"/>
      </w:pPr>
      <w:r>
        <w:rPr>
          <w:rFonts w:ascii="Calibri" w:cs="Calibri" w:eastAsia="Calibri" w:hAnsi="Calibri"/>
          <w:sz w:val="22"/>
          <w:szCs w:val="22"/>
        </w:rPr>
        <w:t xml:space="preserve">7. Legal Issues (Placed in the Legal Research as Material for Operational Decisions)</w:t>
      </w:r>
    </w:p>
    <w:p>
      <w:pPr>
        <w:spacing w:after="40" w:before="40"/>
        <w:ind w:left="240"/>
      </w:pPr>
      <w:r>
        <w:rPr>
          <w:rFonts w:ascii="Calibri" w:cs="Calibri" w:eastAsia="Calibri" w:hAnsi="Calibri"/>
          <w:sz w:val="22"/>
          <w:szCs w:val="22"/>
        </w:rPr>
        <w:t xml:space="preserve">8. Reviewing the Legal Research</w:t>
      </w:r>
    </w:p>
    <w:p>
      <w:pPr>
        <w:spacing w:after="40" w:before="40"/>
        <w:ind w:left="240"/>
      </w:pPr>
      <w:r>
        <w:rPr>
          <w:rFonts w:ascii="Calibri" w:cs="Calibri" w:eastAsia="Calibri" w:hAnsi="Calibri"/>
          <w:sz w:val="22"/>
          <w:szCs w:val="22"/>
        </w:rPr>
        <w:t xml:space="preserve">9. Mapping to Requirements</w:t>
      </w:r>
    </w:p>
    <w:p>
      <w:pPr>
        <w:spacing w:after="40" w:before="40"/>
        <w:ind w:left="240"/>
      </w:pPr>
      <w:r>
        <w:rPr>
          <w:rFonts w:ascii="Calibri" w:cs="Calibri" w:eastAsia="Calibri" w:hAnsi="Calibri"/>
          <w:sz w:val="22"/>
          <w:szCs w:val="22"/>
        </w:rPr>
        <w:t xml:space="preserve">10. Gaps Declared in This Chapter</w:t>
      </w:r>
    </w:p>
    <w:p>
      <w:pPr>
        <w:spacing w:after="40" w:before="40"/>
        <w:ind w:left="240"/>
      </w:pPr>
      <w:r>
        <w:rPr>
          <w:rFonts w:ascii="Calibri" w:cs="Calibri" w:eastAsia="Calibri" w:hAnsi="Calibri"/>
          <w:sz w:val="22"/>
          <w:szCs w:val="22"/>
        </w:rPr>
        <w:t xml:space="preserve">11.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12 of the Outline Design Document. It is designed together with Chapter 10 (screens) (Chapters 10 and 12 depend on each other).</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4114"/>
        <w:gridCol w:w="4514"/>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41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5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I-06</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Investigated</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Differences in rights by country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I-08</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Investigated</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Wording of Rights Documents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O-03</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Open (a proposal is placed in Basic Design Chapter 5, 3.5 “Legal position (handled in legal)”; adoption depends on confirmation by experts)</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Approach to governing law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A-14</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position and the Terms of Use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A-16</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Unauthorized practice of law (handled by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A-17</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Cross-border data transfer (the premise disappeared with Edition 2, in which NRSD receives no User information)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A-18</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controls on software containing cryptography (handled by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A-19</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Consistency with the terms of sales platforms (handled by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A-21</w:t>
            </w:r>
          </w:p>
        </w:tc>
        <w:tc>
          <w:tcPr>
            <w:tcW w:type="dxa" w:w="4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4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Complaints passing the User's personal information to the other party</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content of the law (provisions, interpretations, sources) is written only in the Legal Research. This chapter sets “which laws are covered, where, and how”, the structure of the Terms of Use and Privacy Policy, declarations and registrations by Users, and what is returned to the screens.</w:t>
      </w:r>
    </w:p>
    <w:p>
      <w:pPr>
        <w:pStyle w:val="ListParagraph"/>
        <w:keepNext/>
        <w:keepLines/>
        <w:numPr>
          <w:ilvl w:val="0"/>
          <w:numId w:val="2"/>
        </w:numPr>
        <w:spacing w:after="20" w:before="20" w:line="300"/>
      </w:pPr>
      <w:r>
        <w:rPr>
          <w:rFonts w:ascii="Calibri" w:eastAsia="Yu Gothic" w:hAnsi="Calibri"/>
        </w:rPr>
        <w:t xml:space="preserve">The System does not deal with legal problems. It suffices that Users know “what to look at in order to respond” (the policy of Chapter 12 of the Outline Design Document). NRSD is not a legal expert, and the arrangement in this chapter does not guarantee legal judgments.</w:t>
      </w:r>
    </w:p>
    <w:p>
      <w:pPr>
        <w:pStyle w:val="ListParagraph"/>
        <w:keepNext/>
        <w:keepLines/>
        <w:numPr>
          <w:ilvl w:val="0"/>
          <w:numId w:val="2"/>
        </w:numPr>
        <w:spacing w:after="20" w:before="20" w:line="300"/>
      </w:pPr>
      <w:r>
        <w:rPr>
          <w:rFonts w:ascii="Calibri" w:eastAsia="Yu Gothic" w:hAnsi="Calibri"/>
        </w:rPr>
        <w:t xml:space="preserve">The System does not collect Users' information and is completed within the Client App (Design Plan Edition 2, D-5-1“The System does not confirm Users and collects no User information. No registration is required in order to use the System”, D-12-3“Rights Holder Information, the signing key, work data, the ledger, and evidence are kept on the User’s device; NRSD does not collect them”). All NRSD may receive from Users is feedback e-mail the Users send themselves (Chapter 10, DD-10-6“Feedback is sent by the User from their own e-mail”). This chapter treats that e-mail as handling of personal information (5).</w:t>
      </w:r>
    </w:p>
    <w:p>
      <w:pPr>
        <w:pStyle w:val="ListParagraph"/>
        <w:keepNext/>
        <w:keepLines/>
        <w:numPr>
          <w:ilvl w:val="0"/>
          <w:numId w:val="2"/>
        </w:numPr>
        <w:spacing w:after="20" w:before="20" w:line="300"/>
      </w:pPr>
      <w:r>
        <w:rPr>
          <w:rFonts w:ascii="Calibri" w:eastAsia="Yu Gothic" w:hAnsi="Calibri"/>
        </w:rPr>
        <w:t xml:space="preserve">Rights to the original works (characters, etc.) are not handled (Outline Design Document “What the System protects and does not protect”).</w:t>
      </w:r>
    </w:p>
    <w:p>
      <w:pPr>
        <w:pStyle w:val="ListParagraph"/>
        <w:keepNext w:val="false"/>
        <w:keepLines/>
        <w:numPr>
          <w:ilvl w:val="0"/>
          <w:numId w:val="2"/>
        </w:numPr>
        <w:spacing w:after="20" w:before="20" w:line="300"/>
      </w:pPr>
      <w:r>
        <w:rPr>
          <w:rFonts w:ascii="Calibri" w:eastAsia="Yu Gothic" w:hAnsi="Calibri"/>
        </w:rPr>
        <w:t xml:space="preserve">The course of study and the facts researched are in the study memo “Study of Chapter 12 Interface with Legal” (NRSD's internal record of study, not distributed with this document; the facts underlying the design are written with their sources in each section of this document).</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873"/>
        <w:gridCol w:w="2891"/>
        <w:gridCol w:w="2864"/>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8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8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8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DD-12-1</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Interpretations and sources of law are placed only in the items of the Legal Research, and the design documents refer to them by item number and name. When the Legal Research is revised, the sections of the referring chapters (the “point where covered” in the table of 2) are reviewed (8)</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the same interpretation in several documents leads to inconsistencies. Laws are amended (R-7-3-1“References to each country's laws are accumulated in an “all countries” frame and delivered to Users”)</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summaries of provisions in each chapter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Terms of Use and Privacy Policy, as standard terms, are shown in full on the first-run screen (G-02“Consent”), and the consent operation is recorded on the device. The full text can always be read in G-23“About This App” and on the public page. Changes set an effective date and are announced on the public page and in the app's notifications at least 30 days (initial value) before the effective date (4.3)</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requirements of display, consent, and announcement of changes for making the Terms of Use and Privacy Policy part of the contract follow the arrangement of Legal Research L-25“Terms of Use (standard terms) and disclaimers (Japan)”</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Deeming consent by merely starting the app for the first time (whether the display requirement is met could be disputed)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DD-12-3</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User does not agree to the Terms of Use, or does not re-agree to changes, what is stopped is only obtaining reference information, which is NRSD's service (the bundled package can be used). C2PA signing, editing, export, registration, verification, viewing and extracting records, creating backups, and updates are not stopped. Users who have not agreed are shown entrances where they can agree at any time (G-20“Settings” and G-21“Notifications”)</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System's software is published under Apache-2.0 and is completed within the device. No consent is needed to run software (GPLv3 Section 9, the idea of criterion 10 of the Open Source Definition), and stopping functions completed within the device by consent would have no effect because modified versions could remove it. Similar public desktop software (GIMP, Krita, darktable, Inkscape, Joplin, Audacity) does not stop functions by consent. Joplin requires no terms for the app and applies terms only to Joplin Cloud (the publisher's online service). Firefox's terms also cover the executable, but in a form that deems use as consent, and it does not stop functions for not agreeing. No precedent was found of stopping functions completed within the device by consent (research of 2026-09-30). Stopping updates would prevent Users who have not agreed from receiving vulnerability fixes. Making records unextractable would hold Users' evidence hostage</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Making the app entirely unusable without consent (terms of VOICEVOX and the like impose obligations on Users (prohibiting redistribution, attribution), while this case imposes no obligations on Users). Also stopping new creation of C2PA signatures and registrations (second draft; a gate not in the Design Plan, creating an operator-side restriction from legal research)</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DD-12-4</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Disclaimer clauses do not exempt all liability. Clauses exempting part of it are written to make clear that they apply only to slight negligence, “except in cases of NRSD's intent or gross negligence” (4.2)</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limits of the effect of disclaimer clauses (restrictions that apply to consumer Users even when provided free of charge) follow the arrangement of Legal Research L-25“Terms of Use (standard terms) and disclaimers (Japan)”</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“Bears no liability whatsoever” (void). Relying only on the no-warranty clause of the software license (may be void against consumers)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DD-12-5</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software license (Chapter 11, 9 “NRSD's License (Decision on O-09“NRSD’s license type”)”) is placed as setting the conditions for using the copyright in the source code and program (copying, modification, redistribution). The relationship in which NRSD distributes the official version and delivers reference information and updates is set by the Terms of Use. The Terms of Use state this division explicitly</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How far the license's no-warranty clause works against consumer Users follows the arrangement of Legal Research L-25“Terms of Use (standard terms) and disclaimers (Japan)”. The relationship between those who distribute modified versions and NRSD is separate from the relationship between users of the official version and NRSD (Design Plan D-12-2“The software is published, and its being taken away is not prevented”)</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Setting the usage relationship only by the license. Setting the use of the source code only by the Terms of Use (does not fit the practice of public software)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DD-12-6</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treats itself as a business handling personal information insofar as it receives feedback e-mails, and publishes the matters of Article 32 of the Act on the Protection of Personal Information in the Privacy Policy (5)</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mailbox can be searched by computer and may constitute a personal information database (Legal Research L-11“Personal information protection (User information) (Japan)”). Even if not, publishing does no harm</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only “Information collected: none” (omits receiving e-mail)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DD-12-7</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governing law is Japanese law, with a statement that it does not prevent the application of mandatory rules of the country where the User resides. Jurisdiction is the courts of Japan, with a statement that it does not prevent consumer Users from suing in the courts of the country of their domicile</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Consumer Users abroad retain the mandatory rules of their habitual residence and the courts of their domicile country (Legal Research L-31“Contracts with foreign consumers (governing law and jurisdiction) (Japan)”)</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Exclusive jurisdiction of Japanese courts (not effective against consumers abroad)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DD-12-8</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uses only public standard cryptography and does not implement non-standard cryptography. It publishes the source code and distributes distributables free of charge without restriction. These conditions are checked every time in the release procedure (Chapter 9, 6.3 “Export control of software containing cryptography”)</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treatment under Japanese and U.S. export control of publishing the source code of public standard cryptography and distributing it free of charge follows the arrangement of Legal Research L-14“Export control of software containing cryptography (Japan, US)”</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Sending notification to the United States every time (unnecessary since the 2021 amendment). Making our own cryptography (requires notification and review)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DD-12-9</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Generative AI values are not given to the digital source types of C2PA action records (Chapter 3, 3.4 “Recording of actions”)</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auto-placement model only chooses positions and does not generate pixels. Posting sites might read the metadata and label Users' photos as “made with AI” (Legal Research L-30“Labeling of AI-generated and synthesized content (China)”)</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DD-12-10</w:t>
            </w:r>
          </w:p>
        </w:tc>
        <w:tc>
          <w:tcPr>
            <w:tcW w:type="dxa" w:w="2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wording of Rights Documents (country parts of the Enclosed Document, sample Notice texts) and guidance model texts is distributed only after review by experts versed in that country's law</w:t>
            </w:r>
          </w:p>
        </w:tc>
        <w:tc>
          <w:tcPr>
            <w:tcW w:type="dxa" w:w="2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9.5 “Confirmation by experts is required before finalizing the wording”, I-08“Wording of Rights Documents”</w:t>
            </w:r>
          </w:p>
        </w:tc>
        <w:tc>
          <w:tcPr>
            <w:tcW w:type="dxa" w:w="28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Distributing without review</w:t>
            </w:r>
          </w:p>
        </w:tc>
      </w:tr>
    </w:tbl>
    <w:p>
      <w:pPr>
        <w:spacing w:after="100" w:before="0"/>
      </w:pPr>
    </w:p>
    <w:p>
      <w:pPr>
        <w:pStyle w:val="Heading1"/>
      </w:pPr>
      <w:r>
        <w:rPr>
          <w:rFonts w:ascii="Calibri" w:eastAsia="Yu Gothic" w:hAnsi="Calibri"/>
        </w:rPr>
        <w:t xml:space="preserve">2. List of Laws Covered</w:t>
      </w:r>
    </w:p>
    <w:p>
      <w:pPr>
        <w:pStyle w:val="ListParagraph"/>
        <w:keepNext w:val="false"/>
        <w:keepLines/>
        <w:numPr>
          <w:ilvl w:val="0"/>
          <w:numId w:val="2"/>
        </w:numPr>
        <w:spacing w:after="20" w:before="20" w:line="300"/>
      </w:pPr>
      <w:r>
        <w:rPr>
          <w:rFonts w:ascii="Calibri" w:eastAsia="Yu Gothic" w:hAnsi="Calibri"/>
        </w:rPr>
        <w:t xml:space="preserve">The table “area of law, country, point in the System” in Chapter 12 of the Outline Design Document is made concrete with items of the Legal Research and sections of the basic design. In the country column, “JP” is Japan, “CN” China, “US” the United States, and “EU” the European Union.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2312"/>
        <w:gridCol w:w="1998"/>
        <w:gridCol w:w="2088"/>
      </w:tblGrid>
      <w:tr>
        <w:trPr>
          <w:cantSplit/>
          <w:tblHeader/>
        </w:trPr>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 of law</w:t>
            </w:r>
          </w:p>
        </w:tc>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w:t>
            </w:r>
          </w:p>
        </w:tc>
        <w:tc>
          <w:tcPr>
            <w:tcW w:type="dxa" w:w="23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of the Legal Research</w:t>
            </w:r>
          </w:p>
        </w:tc>
        <w:tc>
          <w:tcPr>
            <w:tcW w:type="dxa" w:w="19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Point where covered (chapter and section of the basic design)</w:t>
            </w:r>
          </w:p>
        </w:tc>
        <w:tc>
          <w:tcPr>
            <w:tcW w:type="dxa" w:w="20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Design response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(Users' photos)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L-32“Copyright infringement and remedies (Japan, China, US)”, L-20“Limitation periods for damages claims (Japan, China, US)”, L-22“Copyright registration (Japan)”, L-23“Work registration (China)”</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6 (keeping evidence), Chapter 7 (contact points), 3 of this chapter</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belong to Users. Evidence is kept unless the User deletes it, and the period for claims is shown before deletion. Registration is optional and guided</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rights management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 international</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L-1“Removal or alteration of rights management information (Japan)”, L-2“Removal or alteration of rights management information (China)”, L-3“Removal or alteration of rights management information (US)”, L-4“Protection of rights management information (treaty) (international)”</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(manifest, invisible watermark, identification number), Chapter 4 (Visible Signature), Chapter 5 (statements in the Enclosed Document), Chapter 6 (matching), Chapter 7 (model texts)</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that is the basis for claims about removal and alteration is put in the C2PA signature, invisible watermark, and Enclosed Document. In Japan, China, and the United States alike, removal for technical reasons and unintentional removal are outside the scope, declared as a gap (Chapter 3 “Signing”, Chapter 13, H-5“Removal of rights management information by format conversion or recompression is excluded in Japan from deemed infringement, excluded in China as technically unavoidable, and in the US requires intent and knowledge of the link to infringement”)</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Portrait rights, publicity rights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L-5“Portrait rights and publicity rights (Japan)”, L-6“Portrait rights (China)”</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(portrait caution in the Enclosed Document), Chapter 7 (priority for commercial use)</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Portrait rights belong to the person depicted; the Enclosed Document only shows a caution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personal information (third parties' information captured in evidence)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(no items in the Legal Research for CN, the EU, or other countries; evidence exists only on the User's device and NRSD does not receive it)</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L-34“Third-party personal information in evidence (Japan)”</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(evidence), Chapter 8 (not leaving the device)</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Third parties' information captured in evidence is kept only on the User's device, and NRSD does not receive it. Whether the User is a business handling personal information depends on the User's circumstances, so no judgment is made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personal information (feedback e-mails NRSD receives)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EU</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L-11“Personal information protection (User information) (Japan)”, L-12“Personal information protection and cross-border transfer (China)”, L-13“Personal information protection (extraterritorial application) (EU)”</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9 “Feedback Channel”, 5 of this chapter</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Publish the matters of Article 32. The laws of Users' countries abroad are operational issues (7)</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Evidential treatment of electronic signatures and timestamps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L-15“Treatment of timestamps as evidence (China)”, L-16“The timestamp system (Japan)”, L-24“Treatment of electronic signatures and electronic data as evidence (Japan, China, US)”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(keys kept in the OS keystore), Chapter 3 (TSA), Chapter 6 (list of SHA-256 of the evidence package)</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Keys are made usable only by the User. The assessment of the evidential treatment of electronic signatures and electronic data follows the Legal Research (guidance does not say “a presumption applies”; 7)</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Copying for evidence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L-21“Copying for evidence (Japan, China, US)”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(fetching one page only)</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explicit exception could be confirmed for China; confirmation by experts is needed</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Procedures for takedown requests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L-7“Takedown request procedures (Japan)”, L-8“Takedown request procedures (China)”, L-9“Takedown request procedures (US)”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(contact points, model texts, guidance on personal information, the complainant's standing)</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Complaints are sent by the User. The complainant's standing (copyright holder, subject, agent) is chosen first</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Disclosure of sender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L-33“Disclosure of sender information (Japan)”</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4 “References to Each Country's Law”</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court procedure; the System does not perform it. References and export are shown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Handling legal services (unauthorized practice of law)</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L-10“Handling of legal business (unauthorized practice of law) (Japan)”</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7 “Where the Line Is Drawn”</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of charge, no leading to paid legal services, only displaying model texts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 (cryptography)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US, others</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L-14“Export control of software containing cryptography (Japan, US)”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6.3 “Export control of software containing cryptography”, Chapter 11 (components)</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DD-12-8“Only public standard cryptography is used, distributed openly and free of charge”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Labeling of AI generation and synthesis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L-30“Labeling of AI-generated and synthesized content (China)”</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3.4 “Recording of actions”</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DD-12-9“No generative-AI values are attached”</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Software and font licenses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L-19“Font licenses”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6 “Fonts and Emoji”, Chapter 10 (screen fonts), Chapter 11, 9 “NRSD's License (Decision on O-09“NRSD’s license type”)”, Chapter 9 (bundling)</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OFL fonts are bundled unmodified. The list of licenses is made automatically</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sales platforms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L-17“Terms of sales platforms”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(Permitted Scope)</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in the Enclosed Document works as the “creator's permission” under Patreon's terms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GitHub's terms of service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L-18“GitHub terms”</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 “Public Repository”</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personal information or repost information is placed in the Public Repository</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Use, Privacy Policy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abroad</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L-25“Terms of Use (standard terms) and disclaimers (Japan)”, L-28“Telecommunications Business Act (notification, external transmission rules) (Japan)”, L-31“Contracts with foreign consumers (governing law and jurisdiction) (Japan)”</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 “Communication with the outside”, Chapter 10 (G-02“Consent”, G-21“Notifications”, G-23“About This App”), 4 and 5 of this chapter</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consent, and announcement as standard terms. Limiting the scope of disclaimers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Commissioning design and characters (if commissioned in the future)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L-29“Commissioning design and characters (Japan)”</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DD-10-2“Design is done and judged by NRSD's Lead Developer”</w:t>
            </w:r>
          </w:p>
        </w:tc>
        <w:tc>
          <w:tcPr>
            <w:tcW w:type="dxa" w:w="20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commissioned now. The contractual issues for commissioning are placed in the Legal Research. Not imitating existing characters</w:t>
            </w:r>
          </w:p>
        </w:tc>
      </w:tr>
    </w:tbl>
    <w:p>
      <w:pPr>
        <w:spacing w:after="100" w:before="0"/>
      </w:pPr>
    </w:p>
    <w:p>
      <w:pPr>
        <w:pStyle w:val="Heading1"/>
      </w:pPr>
      <w:r>
        <w:rPr>
          <w:rFonts w:ascii="Calibri" w:eastAsia="Yu Gothic" w:hAnsi="Calibri"/>
        </w:rPr>
        <w:t xml:space="preserve">3. Declarations and Registrations by Users</w:t>
      </w:r>
    </w:p>
    <w:p>
      <w:pPr>
        <w:pStyle w:val="Heading2"/>
      </w:pPr>
      <w:r>
        <w:rPr>
          <w:rFonts w:ascii="Calibri" w:eastAsia="Yu Gothic" w:hAnsi="Calibri"/>
        </w:rPr>
        <w:t xml:space="preserve">3.1 Required for using NRSD's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7"/>
        <w:gridCol w:w="3215"/>
        <w:gridCol w:w="1020"/>
        <w:gridCol w:w="2166"/>
      </w:tblGrid>
      <w:tr>
        <w:trPr>
          <w:cantSplit/>
          <w:tblHeader/>
        </w:trPr>
        <w:tc>
          <w:tcPr>
            <w:tcW w:type="dxa" w:w="32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32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c>
          <w:tcPr>
            <w:tcW w:type="dxa" w:w="21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32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to the Terms of Use and Privacy Policy (required for obtaining reference information; not needed for other functions; DD-12-3“Consent gates only the fetching of reference information”)</w:t>
            </w:r>
          </w:p>
        </w:tc>
        <w:tc>
          <w:tcPr>
            <w:tcW w:type="dxa" w:w="3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of the full text and a consent operation. The version agreed to and the date/time are recorded on the device (not sent to NRSD)</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w:t>
            </w:r>
          </w:p>
        </w:tc>
        <w:tc>
          <w:tcPr>
            <w:tcW w:type="dxa" w:w="2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L-25“Terms of Use (standard terms) and disclaimers (Japan)”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Posting the Notice (posting the notice code on the Notice account) is not a legal obligation but a premise of the System's effectiveness as a matching clue, and is recommended in G-04“Posting the Notice” (Chapter 2, DD-2-3“The clue to Entitlement is the notice code posted on the Notice account”). The System can be used without posting.</w:t>
      </w:r>
    </w:p>
    <w:p>
      <w:pPr>
        <w:pStyle w:val="ListParagraph"/>
        <w:keepNext w:val="false"/>
        <w:keepLines/>
        <w:numPr>
          <w:ilvl w:val="0"/>
          <w:numId w:val="2"/>
        </w:numPr>
        <w:spacing w:after="20" w:before="20" w:line="300"/>
      </w:pPr>
      <w:r>
        <w:rPr>
          <w:rFonts w:ascii="Calibri" w:eastAsia="Yu Gothic" w:hAnsi="Calibri"/>
        </w:rPr>
        <w:t xml:space="preserve">The input for C2PA signatures (handle name, role, Notice accounts) is used to make certificates on the User's device, and NRSD does not receive it (Chapter 2, DD-2-1“The only inputs for C2PA signing are handle name, role, and Notice accounts”). E-mail, name, address, official ID, age, and country of residence are not asked for.</w:t>
      </w:r>
    </w:p>
    <w:p>
      <w:pPr>
        <w:pStyle w:val="Heading2"/>
      </w:pPr>
      <w:r>
        <w:rPr>
          <w:rFonts w:ascii="Calibri" w:eastAsia="Yu Gothic" w:hAnsi="Calibri"/>
        </w:rPr>
        <w:t xml:space="preserve">3.2 Optional for Users (the System only guides)</w:t>
      </w:r>
    </w:p>
    <w:p>
      <w:pPr>
        <w:pStyle w:val="ListParagraph"/>
        <w:keepNext w:val="false"/>
        <w:keepLines/>
        <w:numPr>
          <w:ilvl w:val="0"/>
          <w:numId w:val="2"/>
        </w:numPr>
        <w:spacing w:after="20" w:before="20" w:line="300"/>
      </w:pPr>
      <w:r>
        <w:rPr>
          <w:rFonts w:ascii="Calibri" w:eastAsia="Yu Gothic" w:hAnsi="Calibri"/>
        </w:rPr>
        <w:t xml:space="preserve">The System does not make the following registrations on the User's behalf. Under “To prepare further” in the action guide (G-17“Action Guide”), summaries of the systems and the official contact points are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1135"/>
        <w:gridCol w:w="2484"/>
        <w:gridCol w:w="2402"/>
        <w:gridCol w:w="2097"/>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w:t>
            </w:r>
          </w:p>
        </w:tc>
        <w:tc>
          <w:tcPr>
            <w:tcW w:type="dxa" w:w="24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Summary given</w:t>
            </w:r>
          </w:p>
        </w:tc>
        <w:tc>
          <w:tcPr>
            <w:tcW w:type="dxa" w:w="24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shown as a caution</w:t>
            </w:r>
          </w:p>
        </w:tc>
        <w:tc>
          <w:tcPr>
            <w:tcW w:type="dxa" w:w="2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of the date of first publication, etc.</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w:t>
            </w:r>
          </w:p>
        </w:tc>
        <w:tc>
          <w:tcPr>
            <w:tcW w:type="dxa" w:w="2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work is presumed to have been first published on the registered date. Registration tax JPY 3,000 per registration</w:t>
            </w:r>
          </w:p>
        </w:tc>
        <w:tc>
          <w:tcPr>
            <w:tcW w:type="dxa" w:w="2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2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L-22“Copyright registration (Japan)”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of the real name</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w:t>
            </w:r>
          </w:p>
        </w:tc>
        <w:tc>
          <w:tcPr>
            <w:tcW w:type="dxa" w:w="2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registrant is presumed to be the author. Registration tax JPY 9,000 per registration</w:t>
            </w:r>
          </w:p>
        </w:tc>
        <w:tc>
          <w:tcPr>
            <w:tcW w:type="dxa" w:w="2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real name goes into the public register and can be searched. Users whose policy is not to reveal their real name should first consider registration of the date of first publication, etc.</w:t>
            </w:r>
          </w:p>
        </w:tc>
        <w:tc>
          <w:tcPr>
            <w:tcW w:type="dxa" w:w="2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L-22“Copyright registration (Japan)”, R-2-5-2“Real names are not unintentionally made public in signatures or on screen”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registration</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CN</w:t>
            </w:r>
          </w:p>
        </w:tc>
        <w:tc>
          <w:tcPr>
            <w:tcW w:type="dxa" w:w="2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It serves as preliminary evidence of the ownership of rights. For foreign authors, it is under the jurisdiction of the National Copyright Administration</w:t>
            </w:r>
          </w:p>
        </w:tc>
        <w:tc>
          <w:tcPr>
            <w:tcW w:type="dxa" w:w="2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How the name is written on the registration certificate</w:t>
            </w:r>
          </w:p>
        </w:tc>
        <w:tc>
          <w:tcPr>
            <w:tcW w:type="dxa" w:w="2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L-23“Work registration (China)”</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registration</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w:t>
            </w:r>
          </w:p>
        </w:tc>
        <w:tc>
          <w:tcPr>
            <w:tcW w:type="dxa" w:w="2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Works from outside the United States do not require registration to sue. Statutory damages require timely registration. Published photos: up to 750 from the same year for USD 55 per registration</w:t>
            </w:r>
          </w:p>
        </w:tc>
        <w:tc>
          <w:tcPr>
            <w:tcW w:type="dxa" w:w="2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are court decisions holding that claims for removal of rights management information (Section 1202) do not require registration</w:t>
            </w:r>
          </w:p>
        </w:tc>
        <w:tc>
          <w:tcPr>
            <w:tcW w:type="dxa" w:w="2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Legal Research, Section 3 “Declarations and Registrations by Users (Whether Required)”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Work registration numbers obtained can be written in the Notice (Chapter 5, 6.1 “Levels of sample text”) and the Visible Signature (Chapter 4, 3.1 “Content and placeholders”).</w:t>
      </w:r>
    </w:p>
    <w:p>
      <w:pPr>
        <w:pStyle w:val="ListParagraph"/>
        <w:keepNext w:val="false"/>
        <w:keepLines/>
        <w:numPr>
          <w:ilvl w:val="0"/>
          <w:numId w:val="2"/>
        </w:numPr>
        <w:spacing w:after="20" w:before="20" w:line="300"/>
      </w:pPr>
      <w:r>
        <w:rPr>
          <w:rFonts w:ascii="Calibri" w:eastAsia="Yu Gothic" w:hAnsi="Calibri"/>
        </w:rPr>
        <w:t xml:space="preserve">The User is told that the System's work data (identification number, date/time of the C2PA signature, timestamp) can be used as clues to “the date of publication” and “identification of the work” when applying for registration. Preparing the application is not assisted (the same line as Chapter 7, DD-7-1“Guidance shows contact points, required items, and model texts”).</w:t>
      </w:r>
    </w:p>
    <w:p>
      <w:pPr>
        <w:pStyle w:val="Heading1"/>
      </w:pPr>
      <w:r>
        <w:rPr>
          <w:rFonts w:ascii="Calibri" w:eastAsia="Yu Gothic" w:hAnsi="Calibri"/>
        </w:rPr>
        <w:t xml:space="preserve">4. Terms of Use</w:t>
      </w:r>
    </w:p>
    <w:p>
      <w:pPr>
        <w:pStyle w:val="ListParagraph"/>
        <w:keepNext w:val="false"/>
        <w:keepLines/>
        <w:numPr>
          <w:ilvl w:val="0"/>
          <w:numId w:val="2"/>
        </w:numPr>
        <w:spacing w:after="20" w:before="20" w:line="300"/>
      </w:pPr>
      <w:r>
        <w:rPr>
          <w:rFonts w:ascii="Calibri" w:eastAsia="Yu Gothic" w:hAnsi="Calibri"/>
        </w:rPr>
        <w:t xml:space="preserve">The text itself is made in the legal documents and finalized after review by experts. This chapter sets the clauses the design requires, the policy on their content, and the chapters that are their basis. The draft wording in 4.2 is a draft showing the design intent, not finalized text.</w:t>
      </w:r>
    </w:p>
    <w:p>
      <w:pPr>
        <w:pStyle w:val="Heading2"/>
      </w:pPr>
      <w:r>
        <w:rPr>
          <w:rFonts w:ascii="Calibri" w:eastAsia="Yu Gothic" w:hAnsi="Calibri"/>
        </w:rPr>
        <w:t xml:space="preserve">4.1 List of clauses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4068"/>
        <w:gridCol w:w="4050"/>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Clause</w:t>
            </w:r>
          </w:p>
        </w:tc>
        <w:tc>
          <w:tcPr>
            <w:tcW w:type="dxa" w:w="40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40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 chapter</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Title and preamble</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These Terms set out the use of the official version of the System distributed by NRSD (the provider's name and address), and the provision of reference information and updates</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DD-12-5“The license and the Terms of Use are written separately”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Definitions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official version, reference information, User, Rights Holder, C2PA signature, Visible Signature, notice code, identification number</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16 “Glossary”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Relationship with the license</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conditions for using the copyright in the source code and program follow the bundled license. These Terms set out the relationship between NRSD and users of the official version. Which prevails if the license and these Terms conflict is set after confirmation by experts</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DD-12-5“The license and the Terms of Use are written separately”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Purpose and scope of the System</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 is a tool to protect the rights to Users' photos and does not handle the rights to the original works. It does not solve legal problems on Users' behalf</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Outline Design Document “What the System protects and does not protect”, Chapter 7, 7 “Where the Line Is Drawn”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to the Terms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on the first-run screen. The treatment of minor Users is NRSD's operational decision (7), and whether to put it in a clause depends on that decision</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DD-12-2“Terms of Use and Privacy Policy are agreed as standard terms”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undertakings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C2PA-sign only photos to which one holds the rights (or has been authorized by the Rights Holder). Do not C2PA-sign by impersonating others. Do not enter others' Notice accounts as one's own</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the services provided</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 provides means of matching but does not match on others' behalf and does not judge. Agreement of matching clues is probabilistic and does not prove that one is the Rights Holder. Reference information (contact points, sample texts, references to each country's law) is general information and not legal advice on individual cases</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 “The Means of Matching and the Clues”, Chapter 6 “Registration and Evidence Preservation”, Chapter 7, 7 “Where the Line Is Drawn”, Design Plan D-5-3“Acts of a person posing as the Rights Holder (signing first, replacing signatures, and reverse complaints) are treated as impossible to prevent; clues for matching are presented. No judgment is made”, D-5-5“The System provides the means of matching but does not perform matching on anyone’s behalf”</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records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are on the User's device and managed by the User. NRSD does not receive them and cannot restore them. Creating backups is recommended</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Disclaimer</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 the policy of the draft wording in 4.2</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DD-12-4“The scope of disclaimers is stated explicitly”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 and termination of services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distribution of reference information and updates ends, it is announced at least 90 days (initial value) before the end date. Even after termination, the records on the device and the app already installed can be used</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18 “Operations”, Chapter 8 “Repository and Data Management”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Changes to the Terms</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 the procedure of 4.3</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DD-12-2“Terms of Use and Privacy Policy are agreed as standard terms”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How to contact</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Feedback e-mail (G-22“Help and Feedback”). Announcements from NRSD are on the public page and in the app's notifications</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9 “Feedback Channel”</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Governing law and jurisdiction</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 the policy of the draft wording in 4.2</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DD-12-7“The governing law is Japanese law without precluding mandatory rules of the User's country”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Language</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Japanese version is authoritative, and Chinese and English are translations. Differences in translation are not interpreted to the User's disadvantage</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clause on handling translations (translations of the Terms are also distributed only after review by experts, as in DD-12-10“The wording of Rights Documents is distributed only after expert review”)</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Effective date and revision history</w:t>
            </w:r>
          </w:p>
        </w:tc>
        <w:tc>
          <w:tcPr>
            <w:tcW w:type="dxa" w:w="4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version, effective date, and history of changes are placed at the end</w:t>
            </w:r>
          </w:p>
        </w:tc>
        <w:tc>
          <w:tcPr>
            <w:tcW w:type="dxa" w:w="4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DD-12-2“Terms of Use and Privacy Policy are agreed as standard terms”</w:t>
            </w:r>
          </w:p>
        </w:tc>
      </w:tr>
    </w:tbl>
    <w:p>
      <w:pPr>
        <w:spacing w:after="100" w:before="0"/>
      </w:pPr>
    </w:p>
    <w:p>
      <w:pPr>
        <w:pStyle w:val="Heading2"/>
      </w:pPr>
      <w:r>
        <w:rPr>
          <w:rFonts w:ascii="Calibri" w:eastAsia="Yu Gothic" w:hAnsi="Calibri"/>
        </w:rPr>
        <w:t xml:space="preserve">4.2 Draft wording of the key clauses (drafts)</w:t>
      </w:r>
    </w:p>
    <w:p>
      <w:pPr>
        <w:pStyle w:val="ListParagraph"/>
        <w:keepNext/>
        <w:keepLines/>
        <w:numPr>
          <w:ilvl w:val="0"/>
          <w:numId w:val="2"/>
        </w:numPr>
        <w:spacing w:after="20" w:before="20" w:line="300"/>
      </w:pPr>
      <w:r>
        <w:rPr>
          <w:rFonts w:ascii="Calibri" w:eastAsia="Yu Gothic" w:hAnsi="Calibri"/>
        </w:rPr>
        <w:t xml:space="preserve">Disclaimer (DD-12-4“The scope of disclaimers is stated explicitly”)</w:t>
      </w:r>
    </w:p>
    <w:p>
      <w:pPr>
        <w:pStyle w:val="ListParagraph"/>
        <w:keepNext/>
        <w:keepLines/>
        <w:numPr>
          <w:ilvl w:val="1"/>
          <w:numId w:val="2"/>
        </w:numPr>
        <w:spacing w:after="20" w:before="20" w:line="300"/>
      </w:pPr>
      <w:r>
        <w:rPr>
          <w:rFonts w:ascii="Calibri" w:eastAsia="Yu Gothic" w:hAnsi="Calibri"/>
        </w:rPr>
        <w:t xml:space="preserve">“NRSD does not warrant that the official version of the System and the reference information are fit for the User's purpose, accurate, complete, or continuous.”</w:t>
      </w:r>
    </w:p>
    <w:p>
      <w:pPr>
        <w:pStyle w:val="ListParagraph"/>
        <w:keepNext/>
        <w:keepLines/>
        <w:numPr>
          <w:ilvl w:val="1"/>
          <w:numId w:val="2"/>
        </w:numPr>
        <w:spacing w:after="20" w:before="20" w:line="300"/>
      </w:pPr>
      <w:r>
        <w:rPr>
          <w:rFonts w:ascii="Calibri" w:eastAsia="Yu Gothic" w:hAnsi="Calibri"/>
        </w:rPr>
        <w:t xml:space="preserve">“Except in cases of NRSD's intent or gross negligence, NRSD is liable for damage arising to the User in connection with the use of the System only to the extent of direct and ordinary damage.”</w:t>
      </w:r>
    </w:p>
    <w:p>
      <w:pPr>
        <w:pStyle w:val="ListParagraph"/>
        <w:keepNext/>
        <w:keepLines/>
        <w:numPr>
          <w:ilvl w:val="1"/>
          <w:numId w:val="2"/>
        </w:numPr>
        <w:spacing w:after="20" w:before="20" w:line="300"/>
      </w:pPr>
      <w:r>
        <w:rPr>
          <w:rFonts w:ascii="Calibri" w:eastAsia="Yu Gothic" w:hAnsi="Calibri"/>
        </w:rPr>
        <w:t xml:space="preserve">Notes on writing: do not write “bears no liability whatsoever”. Do not place a clause that “NRSD decides whether it is liable” (Consumer Contract Act Article 8(1)(i) and (iii)).</w:t>
      </w:r>
    </w:p>
    <w:p>
      <w:pPr>
        <w:pStyle w:val="ListParagraph"/>
        <w:keepNext/>
        <w:keepLines/>
        <w:numPr>
          <w:ilvl w:val="0"/>
          <w:numId w:val="2"/>
        </w:numPr>
        <w:spacing w:after="20" w:before="20" w:line="300"/>
      </w:pPr>
      <w:r>
        <w:rPr>
          <w:rFonts w:ascii="Calibri" w:eastAsia="Yu Gothic" w:hAnsi="Calibri"/>
        </w:rPr>
        <w:t xml:space="preserve">Relationship with the license (DD-12-5“The license and the Terms of Use are written separately”)</w:t>
      </w:r>
    </w:p>
    <w:p>
      <w:pPr>
        <w:pStyle w:val="ListParagraph"/>
        <w:keepNext/>
        <w:keepLines/>
        <w:numPr>
          <w:ilvl w:val="1"/>
          <w:numId w:val="2"/>
        </w:numPr>
        <w:spacing w:after="20" w:before="20" w:line="300"/>
      </w:pPr>
      <w:r>
        <w:rPr>
          <w:rFonts w:ascii="Calibri" w:eastAsia="Yu Gothic" w:hAnsi="Calibri"/>
        </w:rPr>
        <w:t xml:space="preserve">“The conditions for copying, modifying, and redistributing the source code and program of the System follow the license bundled with the System. These Terms set out the use of the official version distributed by NRSD, and the provision of reference information and updates by NRSD.”</w:t>
      </w:r>
    </w:p>
    <w:p>
      <w:pPr>
        <w:pStyle w:val="ListParagraph"/>
        <w:keepNext/>
        <w:keepLines/>
        <w:numPr>
          <w:ilvl w:val="0"/>
          <w:numId w:val="2"/>
        </w:numPr>
        <w:spacing w:after="20" w:before="20" w:line="300"/>
      </w:pPr>
      <w:r>
        <w:rPr>
          <w:rFonts w:ascii="Calibri" w:eastAsia="Yu Gothic" w:hAnsi="Calibri"/>
        </w:rPr>
        <w:t xml:space="preserve">Governing law and jurisdiction (DD-12-7“The governing law is Japanese law without precluding mandatory rules of the User's country”)</w:t>
      </w:r>
    </w:p>
    <w:p>
      <w:pPr>
        <w:pStyle w:val="ListParagraph"/>
        <w:keepNext/>
        <w:keepLines/>
        <w:numPr>
          <w:ilvl w:val="1"/>
          <w:numId w:val="2"/>
        </w:numPr>
        <w:spacing w:after="20" w:before="20" w:line="300"/>
      </w:pPr>
      <w:r>
        <w:rPr>
          <w:rFonts w:ascii="Calibri" w:eastAsia="Yu Gothic" w:hAnsi="Calibri"/>
        </w:rPr>
        <w:t xml:space="preserve">“These Terms are governed by the laws of Japan. However, this does not prevent the application of provisions of the laws of the country where the User resides whose application cannot be excluded by agreement of the parties.”</w:t>
      </w:r>
    </w:p>
    <w:p>
      <w:pPr>
        <w:pStyle w:val="ListParagraph"/>
        <w:keepNext/>
        <w:keepLines/>
        <w:numPr>
          <w:ilvl w:val="1"/>
          <w:numId w:val="2"/>
        </w:numPr>
        <w:spacing w:after="20" w:before="20" w:line="300"/>
      </w:pPr>
      <w:r>
        <w:rPr>
          <w:rFonts w:ascii="Calibri" w:eastAsia="Yu Gothic" w:hAnsi="Calibri"/>
        </w:rPr>
        <w:t xml:space="preserve">“The courts of Japan shall have jurisdiction of first instance over disputes concerning these Terms. However, this does not prevent a User who is a consumer from bringing an action in the courts of the country where the User is domiciled.”</w:t>
      </w:r>
    </w:p>
    <w:p>
      <w:pPr>
        <w:pStyle w:val="ListParagraph"/>
        <w:keepNext/>
        <w:keepLines/>
        <w:numPr>
          <w:ilvl w:val="0"/>
          <w:numId w:val="2"/>
        </w:numPr>
        <w:spacing w:after="20" w:before="20" w:line="300"/>
      </w:pPr>
      <w:r>
        <w:rPr>
          <w:rFonts w:ascii="Calibri" w:eastAsia="Yu Gothic" w:hAnsi="Calibri"/>
        </w:rPr>
        <w:t xml:space="preserve">If not agreed (DD-12-3“Consent gates only the fetching of reference information”)</w:t>
      </w:r>
    </w:p>
    <w:p>
      <w:pPr>
        <w:pStyle w:val="ListParagraph"/>
        <w:keepNext w:val="false"/>
        <w:keepLines/>
        <w:numPr>
          <w:ilvl w:val="1"/>
          <w:numId w:val="2"/>
        </w:numPr>
        <w:spacing w:after="20" w:before="20" w:line="300"/>
      </w:pPr>
      <w:r>
        <w:rPr>
          <w:rFonts w:ascii="Calibri" w:eastAsia="Yu Gothic" w:hAnsi="Calibri"/>
        </w:rPr>
        <w:t xml:space="preserve">“If the User does not agree to these Terms or their changes, NRSD does not provide reference information to that User. The other functions of the System can be used in accordance with the conditions of the bundled license.”</w:t>
      </w:r>
    </w:p>
    <w:p>
      <w:pPr>
        <w:pStyle w:val="Heading2"/>
      </w:pPr>
      <w:r>
        <w:rPr>
          <w:rFonts w:ascii="Calibri" w:eastAsia="Yu Gothic" w:hAnsi="Calibri"/>
        </w:rPr>
        <w:t xml:space="preserve">4.3 Procedure for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6825"/>
        <w:gridCol w:w="2053"/>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68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done</w:t>
            </w:r>
          </w:p>
        </w:tc>
        <w:tc>
          <w:tcPr>
            <w:tcW w:type="dxa" w:w="20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Deadline (initial value)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6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Decide the content of the change and record whether it falls under item 1 (a change conforming to the general interests of users) or item 2 (a change not contrary to the purpose and reasonable) of Article 548-4(1) of the Civil Code</w:t>
            </w:r>
          </w:p>
        </w:tc>
        <w:tc>
          <w:tcPr>
            <w:tcW w:type="dxa" w:w="20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6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Set the effective date</w:t>
            </w:r>
          </w:p>
        </w:tc>
        <w:tc>
          <w:tcPr>
            <w:tcW w:type="dxa" w:w="20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30 days or more after the date of announcement</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6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Publish the full text of the new version and a summary of the changes on the public page and in the reference information (</w:t>
            </w:r>
            <w:r>
              <w:rPr>
                <w:rFonts w:ascii="Consolas" w:eastAsia="Yu Gothic" w:hAnsi="Consolas"/>
                <w:b w:val="false"/>
                <w:bCs w:val="false"/>
                <w:sz w:val="18"/>
                <w:szCs w:val="18"/>
              </w:rPr>
              <w:t xml:space="preserve">reference/&lt;version&gt;/</w:t>
            </w:r>
            <w:r>
              <w:rPr>
                <w:rFonts w:ascii="Calibri" w:eastAsia="Yu Gothic" w:hAnsi="Calibri"/>
                <w:b w:val="false"/>
                <w:bCs w:val="false"/>
                <w:sz w:val="18"/>
                <w:szCs w:val="18"/>
              </w:rPr>
              <w:t xml:space="preserve"> of Chapter 8, 3.1 “Structure”)</w:t>
            </w:r>
          </w:p>
        </w:tc>
        <w:tc>
          <w:tcPr>
            <w:tcW w:type="dxa" w:w="20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30 days before the effective date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6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When the app takes in the reference information, it shows the change in G-21“Notifications”</w:t>
            </w:r>
          </w:p>
        </w:tc>
        <w:tc>
          <w:tcPr>
            <w:tcW w:type="dxa" w:w="20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6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the first start after the effective date, show G-02“Consent” to ask for re-consent. If not re-agreed, as in DD-12-3“Consent gates only the fetching of reference information”</w:t>
            </w:r>
          </w:p>
        </w:tc>
        <w:tc>
          <w:tcPr>
            <w:tcW w:type="dxa" w:w="20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A change under item 2 does not take effect unless announced by the effective date (Legal Research L-25“Terms of Use (standard terms) and disclaimers (Japan)”). Users who do not obtain reference information (Users who keep using it offline) do not receive the announcement within the app. Announcement on the public page is treated as the announcement, and the app shows it at the next connection.</w:t>
      </w:r>
    </w:p>
    <w:p>
      <w:pPr>
        <w:pStyle w:val="ListParagraph"/>
        <w:keepNext w:val="false"/>
        <w:keepLines/>
        <w:numPr>
          <w:ilvl w:val="0"/>
          <w:numId w:val="2"/>
        </w:numPr>
        <w:spacing w:after="20" w:before="20" w:line="300"/>
      </w:pPr>
      <w:r>
        <w:rPr>
          <w:rFonts w:ascii="Calibri" w:eastAsia="Yu Gothic" w:hAnsi="Calibri"/>
        </w:rPr>
        <w:t xml:space="preserve">Requests for display of the full text (Article 548-3 of the Civil Code) are met by always showing the full text in G-23“About This App” and on the public page. Past versions are also kept on the public page.</w:t>
      </w:r>
    </w:p>
    <w:p>
      <w:pPr>
        <w:pStyle w:val="Heading1"/>
      </w:pPr>
      <w:r>
        <w:rPr>
          <w:rFonts w:ascii="Calibri" w:eastAsia="Yu Gothic" w:hAnsi="Calibri"/>
        </w:rPr>
        <w:t xml:space="preserve">5. Privacy Policy</w:t>
      </w:r>
    </w:p>
    <w:p>
      <w:pPr>
        <w:pStyle w:val="Heading2"/>
      </w:pPr>
      <w:r>
        <w:rPr>
          <w:rFonts w:ascii="Calibri" w:eastAsia="Yu Gothic" w:hAnsi="Calibri"/>
        </w:rPr>
        <w:t xml:space="preserve">5.1 List of clauses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4673"/>
        <w:gridCol w:w="3545"/>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Clause</w:t>
            </w:r>
          </w:p>
        </w:tc>
        <w:tc>
          <w:tcPr>
            <w:tcW w:type="dxa" w:w="46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35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Business operator</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name, address, and the name of its representative</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 on the Protection of Personal Information Article 32(1)(i)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the System does not send to NRSD</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for C2PA signatures, signing keys, photos, work data, case records, evidence, app usage records. These are kept only on the User's device</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DD-1-2“NRSD has no servers and receives no User information (except feedback e-mails Users send themselves)”, Chapter 8, 2 “Device Data”</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NRSD receives</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Feedback e-mails the User sends themselves (e-mail address, body, and the app version, OS, and error codes the User attached)</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9 “Feedback Channel”</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Purpose of use</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Replying to feedback, improving the System. Not used for other purposes</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Articles 17, 21, 32(1)(ii)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Provision to third parties</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(except as required by law)</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Article 27</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Retention period</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Deleted one year (initial value) after the reply is completed. For improvement records, only summaries excluding e-mail addresses and names are kept</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Article 22 (effort to erase personal data no longer needed)</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Security measures taken</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Two-factor authentication on the mailbox, limiting those who can view it to NRSD's persons in charge, device encryption</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Enforcement Order Article 10(i)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External environment</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name of the e-mail receiving provider and the name of the country where data is kept (stated when NRSD decides the receiving means)</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Protection Commission guidelines (understanding the external environment), Legal Research L-11“Personal information protection (User information) (Japan)”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 for requests for disclosure, etc.</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Accepted by e-mail. Identity is confirmed by the request e-mail being sent from the same address</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Article 32(1)(iii)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Where to make complaints</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e-mail address</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Enforcement Order Article 10(ii)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Sending outside the device</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list of 5.2</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L-28“Telecommunications Business Act (notification, external transmission rules) (Japan)”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Changes</w:t>
            </w:r>
          </w:p>
        </w:tc>
        <w:tc>
          <w:tcPr>
            <w:tcW w:type="dxa" w:w="46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procedure as 4.3</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DD-12-2“Terms of Use and Privacy Policy are agreed as standard terms”</w:t>
            </w:r>
          </w:p>
        </w:tc>
      </w:tr>
    </w:tbl>
    <w:p>
      <w:pPr>
        <w:spacing w:after="100" w:before="0"/>
      </w:pPr>
    </w:p>
    <w:p>
      <w:pPr>
        <w:pStyle w:val="Heading2"/>
      </w:pPr>
      <w:r>
        <w:rPr>
          <w:rFonts w:ascii="Calibri" w:eastAsia="Yu Gothic" w:hAnsi="Calibri"/>
        </w:rPr>
        <w:t xml:space="preserve">5.2 List of what is sent outside the device</w:t>
      </w:r>
    </w:p>
    <w:p>
      <w:pPr>
        <w:pStyle w:val="ListParagraph"/>
        <w:keepNext w:val="false"/>
        <w:keepLines/>
        <w:numPr>
          <w:ilvl w:val="0"/>
          <w:numId w:val="2"/>
        </w:numPr>
        <w:spacing w:after="20" w:before="20" w:line="300"/>
      </w:pPr>
      <w:r>
        <w:rPr>
          <w:rFonts w:ascii="Calibri" w:eastAsia="Yu Gothic" w:hAnsi="Calibri"/>
        </w:rPr>
        <w:t xml:space="preserve">The table of Chapter 1, 4.2 “Communication with the outside” is published in words for Users. No sending for analytics or advertising.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1958"/>
        <w:gridCol w:w="3283"/>
        <w:gridCol w:w="2762"/>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Destination</w:t>
            </w:r>
          </w:p>
        </w:tc>
        <w:tc>
          <w:tcPr>
            <w:tcW w:type="dxa" w:w="19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Information sent</w:t>
            </w:r>
          </w:p>
        </w:tc>
        <w:tc>
          <w:tcPr>
            <w:tcW w:type="dxa" w:w="32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w:t>
            </w:r>
          </w:p>
        </w:tc>
        <w:tc>
          <w:tcPr>
            <w:tcW w:type="dxa" w:w="27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User information visible to the other party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Repository (GitHub, United States)</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Requests to obtain updates and reference information</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start and every 24 hours while running (Chapter 9, 4 “Updates”)</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 (the request header is the update component's name and version; the app version is not sent; Chapter 9, 4.1 “Flow and states”)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Hong Kong mirror (Alibaba Cloud)</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When the Public Repository cannot be reached</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 providers</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Hashes of photos or of evidence lists (photos themselves are not sent)</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export, at repost registration, when connecting after being offline</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 (and, for paid TSAs set up by the User, the User's account)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RDAP, DNS</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Domain names and IP addresses being looked up</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repost registration</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Reposted pages</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Requests to fetch the page</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registration (default; the User can turn it off for that registration only) and only when the User presses “Check current status”</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 Visible to the operator of the other site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E-mail software</w:t>
            </w:r>
          </w:p>
        </w:tc>
        <w:tc>
          <w:tcPr>
            <w:tcW w:type="dxa" w:w="1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Feedback text</w:t>
            </w:r>
          </w:p>
        </w:tc>
        <w:tc>
          <w:tcPr>
            <w:tcW w:type="dxa" w:w="3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when the User decides to send</w:t>
            </w:r>
          </w:p>
        </w:tc>
        <w:tc>
          <w:tcPr>
            <w:tcW w:type="dxa" w:w="2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whole e-mail the User sends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destination providers handle IP addresses under their own privacy policies. NRSD does not receive Users' information from the destination providers.</w:t>
      </w:r>
    </w:p>
    <w:p>
      <w:pPr>
        <w:pStyle w:val="Heading1"/>
      </w:pPr>
      <w:r>
        <w:rPr>
          <w:rFonts w:ascii="Calibri" w:eastAsia="Yu Gothic" w:hAnsi="Calibri"/>
        </w:rPr>
        <w:t xml:space="preserve">6. What Is Returned to the Screens</w:t>
      </w:r>
    </w:p>
    <w:p>
      <w:pPr>
        <w:pStyle w:val="ListParagraph"/>
        <w:keepNext w:val="false"/>
        <w:keepLines/>
        <w:numPr>
          <w:ilvl w:val="0"/>
          <w:numId w:val="2"/>
        </w:numPr>
        <w:spacing w:after="20" w:before="20" w:line="300"/>
      </w:pPr>
      <w:r>
        <w:rPr>
          <w:rFonts w:ascii="Calibri" w:eastAsia="Yu Gothic" w:hAnsi="Calibri"/>
        </w:rPr>
        <w:t xml:space="preserve">Handed to Chapter 10 “Screens and Design”. Screen numbers follow the list of screens in Chapter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2"/>
        <w:gridCol w:w="1620"/>
        <w:gridCol w:w="3703"/>
        <w:gridCol w:w="2573"/>
      </w:tblGrid>
      <w:tr>
        <w:trPr>
          <w:cantSplit/>
          <w:tblHeader/>
        </w:trPr>
        <w:tc>
          <w:tcPr>
            <w:tcW w:type="dxa" w:w="17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returned</w:t>
            </w:r>
          </w:p>
        </w:tc>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 shown</w:t>
            </w:r>
          </w:p>
        </w:tc>
        <w:tc>
          <w:tcPr>
            <w:tcW w:type="dxa" w:w="37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shown</w:t>
            </w:r>
          </w:p>
        </w:tc>
        <w:tc>
          <w:tcPr>
            <w:tcW w:type="dxa" w:w="25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being involved in the rights of the original works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 (first run), G-23“About This App”, public page</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Shown at first run as one of the key points</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Outline Design Document “What the System protects and does not protect”</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to the Terms of Use and Privacy Policy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 points, full text, version and effective date, consent check. The version agreed to is recorded on the device</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DD-12-2“Terms of Use and Privacy Policy are agreed as standard terms”</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can be done without consent</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you do not agree, NRSD's reference information will not be obtained. Other functions can be used” shown above the consent buttons</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DD-12-3“Consent gates only the fetching of reference information”</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Announcement of changes to the terms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at start</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effective date and a summary of the changes. Re-consent is asked at the first start on or after the effective date</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4.3</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Full text of the terms and policy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full text of the current version, and guidance to past versions on the public page</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 548-3</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being legal advice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 G-16“Case Details”</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Always shown at the bottom of the screen</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7 “Where the Line Is Drawn”</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may be passed on in complaints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confirmation check before displaying model texts</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3.2 “Guidance that personal information is passed to the other party”</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results are probabilistic</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 G-14“Register a Repost”, G-24“Compare Clues”</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Levels of match and “the final judgment is made by the User”</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Cautions on saving reposted pages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risk of saving pages containing illegal content, fetching only the one specified page, the IP address being visible to the other party</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L-21“Copying for evidence (Japan, China, US)”, Chapter 1, 4.2 “Communication with the outside”</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Real-name registration makes the real name public</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 (To prepare further)</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caution box</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 of this chapter</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signatures disappear on social media</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word per destination</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10.3 “Retention on posting sites and in the cloud”</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Licenses of imported fonts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(importing fonts)</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Once at import, that “the conditions for using fonts are for the User to check”</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6.4 “Imported fonts”, L-19“Font licenses”</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Handling of feedback e-mails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G-22“Help and Feedback”</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sending, a sentence on the information NRSD receives and the purpose of use, and guidance to the Privacy Policy</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5.1</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Licenses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w:t>
            </w:r>
          </w:p>
        </w:tc>
        <w:tc>
          <w:tcPr>
            <w:tcW w:type="dxa" w:w="3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System's license and the list of third-party licenses</w:t>
            </w:r>
          </w:p>
        </w:tc>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“Distribution and Updates”, Chapter 11, 9 “NRSD's License (Decision on O-09“NRSD’s license type”)”</w:t>
            </w:r>
          </w:p>
        </w:tc>
      </w:tr>
    </w:tbl>
    <w:p>
      <w:pPr>
        <w:spacing w:after="100" w:before="0"/>
      </w:pPr>
    </w:p>
    <w:p>
      <w:pPr>
        <w:pStyle w:val="Heading1"/>
      </w:pPr>
      <w:r>
        <w:rPr>
          <w:rFonts w:ascii="Calibri" w:eastAsia="Yu Gothic" w:hAnsi="Calibri"/>
        </w:rPr>
        <w:t xml:space="preserve">7. Legal Issues (Placed in the Legal Research as Material for Operational Decisions)</w:t>
      </w:r>
    </w:p>
    <w:p>
      <w:pPr>
        <w:pStyle w:val="ListParagraph"/>
        <w:keepNext w:val="false"/>
        <w:keepLines/>
        <w:numPr>
          <w:ilvl w:val="0"/>
          <w:numId w:val="2"/>
        </w:numPr>
        <w:spacing w:after="20" w:before="20" w:line="300"/>
      </w:pPr>
      <w:r>
        <w:rPr>
          <w:rFonts w:ascii="Calibri" w:eastAsia="Yu Gothic" w:hAnsi="Calibri"/>
        </w:rPr>
        <w:t xml:space="preserve">The following issues are not design decisions but are placed in the Legal Research as material for NRSD's operational decisions. The design does not restrict the range of the System's Users or the publication of functions on account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31"/>
        <w:gridCol w:w="4707"/>
      </w:tblGrid>
      <w:tr>
        <w:trPr>
          <w:cantSplit/>
          <w:tblHeader/>
        </w:trPr>
        <w:tc>
          <w:tcPr>
            <w:tcW w:type="dxa" w:w="49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Issue</w:t>
            </w:r>
          </w:p>
        </w:tc>
        <w:tc>
          <w:tcPr>
            <w:tcW w:type="dxa" w:w="47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of the Legal Research</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arrangement that the guidance does not constitute unauthorized practice of law (NRSD's interpretation based on the Ministry of Justice's guidelines)</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L-10“Handling of legal business (unauthorized practice of law) (Japan)”</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the presumption of Article 3 of the Electronic Signatures Act applies (guidance does not say “a presumption applies”)</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L-24“Treatment of electronic signatures and electronic data as evidence (Japan, China, US)”</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Copying for evidence in China</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L-21“Copying for evidence (Japan, China, US)”</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the System constitutes a telecommunications business</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L-28“Telecommunications Business Act (notification, external transmission rules) (Japan)”</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Regarding feedback e-mails, whether a domestic representative in China (Personal Information Protection Law Article 53) or a representative in the EU and UK (GDPR Article 27) is needed</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L-12“Personal information protection and cross-border transfer (China)”, L-13“Personal information protection (extraterritorial application) (EU)”, L-27“Representatives of foreign businesses and applicability thresholds (EU, UK, US)”</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Treatment of minor Users</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L-26“Minor Users (Japan, China, US)”</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precedence between the software license and the Terms of Use, and the wording of disclaimers</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L-25“Terms of Use (standard terms) and disclaimers (Japan)”</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Confirming that it does not fall under the scope of China's App filing</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addendum to L-30“Labeling of AI-generated and synthesized content (China)”</w:t>
            </w:r>
          </w:p>
        </w:tc>
      </w:tr>
      <w:tr>
        <w:trPr>
          <w:cantSplit/>
          <w:tblHeader w:val="off"/>
        </w:trPr>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donations or support are accepted, whether this touches the premise that the guidance is free (the arrangement that it does not constitute unauthorized practice of law) (not accepted as of 2026-09-30)</w:t>
            </w:r>
          </w:p>
        </w:tc>
        <w:tc>
          <w:tcPr>
            <w:tcW w:type="dxa" w:w="4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L-10“Handling of legal business (unauthorized practice of law) (Japan)”</w:t>
            </w:r>
          </w:p>
        </w:tc>
      </w:tr>
    </w:tbl>
    <w:p>
      <w:pPr>
        <w:spacing w:after="100" w:before="0"/>
      </w:pPr>
    </w:p>
    <w:p>
      <w:pPr>
        <w:pStyle w:val="Heading1"/>
      </w:pPr>
      <w:r>
        <w:rPr>
          <w:rFonts w:ascii="Calibri" w:eastAsia="Yu Gothic" w:hAnsi="Calibri"/>
        </w:rPr>
        <w:t xml:space="preserve">8. Reviewing the Legal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0"/>
        <w:gridCol w:w="4256"/>
        <w:gridCol w:w="2652"/>
      </w:tblGrid>
      <w:tr>
        <w:trPr>
          <w:cantSplit/>
          <w:tblHeader/>
        </w:trPr>
        <w:tc>
          <w:tcPr>
            <w:tcW w:type="dxa" w:w="2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Trigger</w:t>
            </w:r>
          </w:p>
        </w:tc>
        <w:tc>
          <w:tcPr>
            <w:tcW w:type="dxa" w:w="42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done</w:t>
            </w:r>
          </w:p>
        </w:tc>
        <w:tc>
          <w:tcPr>
            <w:tcW w:type="dxa" w:w="2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Parts of the design reviewed</w:t>
            </w:r>
          </w:p>
        </w:tc>
      </w:tr>
      <w:tr>
        <w:trPr>
          <w:cantSplit/>
          <w:tblHeader w:val="off"/>
        </w:trPr>
        <w:tc>
          <w:tcPr>
            <w:tcW w:type="dxa" w:w="2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Quarterly check of reference information (Chapter 7, 2.2 “Keeping up to date”)</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amendments to the laws and terms that are sources of each item of the Legal Research</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“point where covered” in the table of 2</w:t>
            </w:r>
          </w:p>
        </w:tc>
      </w:tr>
      <w:tr>
        <w:trPr>
          <w:cantSplit/>
          <w:tblHeader w:val="off"/>
        </w:trPr>
        <w:tc>
          <w:tcPr>
            <w:tcW w:type="dxa" w:w="2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of revisions to the terms of posting sites and sales venues</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Revise L-17“Terms of sales platforms” and L-18“GitHub terms”</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 Chapter 8</w:t>
            </w:r>
          </w:p>
        </w:tc>
      </w:tr>
      <w:tr>
        <w:trPr>
          <w:cantSplit/>
          <w:tblHeader w:val="off"/>
        </w:trPr>
        <w:tc>
          <w:tcPr>
            <w:tcW w:type="dxa" w:w="2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Before release</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the conditions of L-14“Export control of software containing cryptography (Japan, US)” (standard cryptography only, published, free of charge)</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6.3 “Export control of software containing cryptography”</w:t>
            </w:r>
          </w:p>
        </w:tc>
      </w:tr>
      <w:tr>
        <w:trPr>
          <w:cantSplit/>
          <w:tblHeader w:val="off"/>
        </w:trPr>
        <w:tc>
          <w:tcPr>
            <w:tcW w:type="dxa" w:w="2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Changes to the Terms of Use and Privacy Policy</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procedure of 4.3</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G-02“Consent”, G-21“Notifications”, G-23“About This App”</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version of the Legal Research and the date of revision are stated at the top of the Legal Research.</w:t>
      </w:r>
    </w:p>
    <w:p>
      <w:pPr>
        <w:pStyle w:val="Heading1"/>
      </w:pPr>
      <w:r>
        <w:rPr>
          <w:rFonts w:ascii="Calibri" w:eastAsia="Yu Gothic" w:hAnsi="Calibri"/>
        </w:rPr>
        <w:t xml:space="preserve">9.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5769"/>
        <w:gridCol w:w="2234"/>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57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22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R-12-1-1</w:t>
            </w:r>
          </w:p>
        </w:tc>
        <w:tc>
          <w:tcPr>
            <w:tcW w:type="dxa" w:w="5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laws covered are listed along the three axes of area of law, country, and point in the System, and each row links to the legal documents</w:t>
            </w:r>
          </w:p>
        </w:tc>
        <w:tc>
          <w:tcPr>
            <w:tcW w:type="dxa" w:w="22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“List of Laws Covered”</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R-12-1-2</w:t>
            </w:r>
          </w:p>
        </w:tc>
        <w:tc>
          <w:tcPr>
            <w:tcW w:type="dxa" w:w="5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declarations and registrations by Users are required is determined</w:t>
            </w:r>
          </w:p>
        </w:tc>
        <w:tc>
          <w:tcPr>
            <w:tcW w:type="dxa" w:w="22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“Declarations and Registrations by Users”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R-12-1-3</w:t>
            </w:r>
          </w:p>
        </w:tc>
        <w:tc>
          <w:tcPr>
            <w:tcW w:type="dxa" w:w="57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is returned to the screens (consent, disclaimers, rights of the original works, passing on personal information) is handed to Chapter 10</w:t>
            </w:r>
          </w:p>
        </w:tc>
        <w:tc>
          <w:tcPr>
            <w:tcW w:type="dxa" w:w="22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“What Is Returned to the Screens”</w:t>
            </w:r>
          </w:p>
        </w:tc>
      </w:tr>
    </w:tbl>
    <w:p>
      <w:pPr>
        <w:spacing w:after="100" w:before="0"/>
      </w:pPr>
    </w:p>
    <w:p>
      <w:pPr>
        <w:pStyle w:val="Heading1"/>
      </w:pPr>
      <w:r>
        <w:rPr>
          <w:rFonts w:ascii="Calibri" w:eastAsia="Yu Gothic" w:hAnsi="Calibri"/>
        </w:rPr>
        <w:t xml:space="preserve">10. Gaps Declared in This Chapter</w:t>
      </w:r>
    </w:p>
    <w:p>
      <w:pPr>
        <w:pStyle w:val="ListParagraph"/>
        <w:keepNext/>
        <w:keepLines/>
        <w:numPr>
          <w:ilvl w:val="0"/>
          <w:numId w:val="2"/>
        </w:numPr>
        <w:spacing w:after="20" w:before="20" w:line="300"/>
      </w:pPr>
      <w:r>
        <w:rPr>
          <w:rFonts w:ascii="Calibri" w:eastAsia="Yu Gothic" w:hAnsi="Calibri"/>
        </w:rPr>
        <w:t xml:space="preserve">Each country's laws are amended. The Legal Research is reviewed quarterly (8), but amendments in between are reflected late.</w:t>
      </w:r>
    </w:p>
    <w:p>
      <w:pPr>
        <w:pStyle w:val="ListParagraph"/>
        <w:keepNext/>
        <w:keepLines/>
        <w:numPr>
          <w:ilvl w:val="0"/>
          <w:numId w:val="2"/>
        </w:numPr>
        <w:spacing w:after="20" w:before="20" w:line="300"/>
      </w:pPr>
      <w:r>
        <w:rPr>
          <w:rFonts w:ascii="Calibri" w:eastAsia="Yu Gothic" w:hAnsi="Calibri"/>
        </w:rPr>
        <w:t xml:space="preserve">For the issues of 7, the design does not guarantee that legal requirements are met. They are left to operational decisions.</w:t>
      </w:r>
    </w:p>
    <w:p>
      <w:pPr>
        <w:pStyle w:val="ListParagraph"/>
        <w:keepNext/>
        <w:keepLines/>
        <w:numPr>
          <w:ilvl w:val="0"/>
          <w:numId w:val="2"/>
        </w:numPr>
        <w:spacing w:after="20" w:before="20" w:line="300"/>
      </w:pPr>
      <w:r>
        <w:rPr>
          <w:rFonts w:ascii="Calibri" w:eastAsia="Yu Gothic" w:hAnsi="Calibri"/>
        </w:rPr>
        <w:t xml:space="preserve">Announcements of changes to the Terms of Use do not reach the apps of Users who keep using it offline (4.3). Whether announcement on the public page suffices requires confirmation by experts.</w:t>
      </w:r>
    </w:p>
    <w:p>
      <w:pPr>
        <w:pStyle w:val="ListParagraph"/>
        <w:keepNext w:val="false"/>
        <w:keepLines/>
        <w:numPr>
          <w:ilvl w:val="0"/>
          <w:numId w:val="2"/>
        </w:numPr>
        <w:spacing w:after="20" w:before="20" w:line="300"/>
      </w:pPr>
      <w:r>
        <w:rPr>
          <w:rFonts w:ascii="Calibri" w:eastAsia="Yu Gothic" w:hAnsi="Calibri"/>
        </w:rPr>
        <w:t xml:space="preserve">The texts of the Terms of Use and Privacy Policy are before review by experts, and 4.2 is a draft.</w:t>
      </w:r>
    </w:p>
    <w:p>
      <w:pPr>
        <w:pStyle w:val="Heading1"/>
      </w:pPr>
      <w:r>
        <w:rPr>
          <w:rFonts w:ascii="Calibri" w:eastAsia="Yu Gothic" w:hAnsi="Calibri"/>
        </w:rPr>
        <w:t xml:space="preserve">11.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In “Declarations and Registrations by Users” of Chapter 12 of the Outline Design Document, merge the duplicated “posting of the Notice” into one, and add “the System does not collect Users' information and does not ask for registration”.</w:t>
      </w:r>
    </w:p>
    <w:p>
      <w:pPr>
        <w:pStyle w:val="ListParagraph"/>
        <w:keepNext/>
        <w:keepLines/>
        <w:numPr>
          <w:ilvl w:val="0"/>
          <w:numId w:val="2"/>
        </w:numPr>
        <w:spacing w:after="20" w:before="20" w:line="300"/>
      </w:pPr>
      <w:r>
        <w:rPr>
          <w:rFonts w:ascii="Calibri" w:eastAsia="Yu Gothic" w:hAnsi="Calibri"/>
        </w:rPr>
        <w:t xml:space="preserve">In the table of areas of law in Chapter 12 of the Outline Design Document, set the countries of “Export control (cryptography)” to “JP, US, others”, and add “Labeling of AI generation and synthesis (CN)”.</w:t>
      </w:r>
    </w:p>
    <w:p>
      <w:pPr>
        <w:pStyle w:val="ListParagraph"/>
        <w:keepNext/>
        <w:keepLines/>
        <w:numPr>
          <w:ilvl w:val="0"/>
          <w:numId w:val="2"/>
        </w:numPr>
        <w:spacing w:after="20" w:before="20" w:line="300"/>
      </w:pPr>
      <w:r>
        <w:rPr>
          <w:rFonts w:ascii="Calibri" w:eastAsia="Yu Gothic" w:hAnsi="Calibri"/>
        </w:rPr>
        <w:t xml:space="preserve">Revise “no legal issues concerning Users' personal information arise” in “Decisions in the basic design (summary)” of Chapter 12 of the Outline Design Document to “All NRSD receives is feedback e-mails Users send themselves, and their handling is published in the Privacy Policy”.</w:t>
      </w:r>
    </w:p>
    <w:p>
      <w:pPr>
        <w:pStyle w:val="ListParagraph"/>
        <w:keepNext/>
        <w:keepLines/>
        <w:numPr>
          <w:ilvl w:val="0"/>
          <w:numId w:val="2"/>
        </w:numPr>
        <w:spacing w:after="20" w:before="20" w:line="300"/>
      </w:pPr>
      <w:r>
        <w:rPr>
          <w:rFonts w:ascii="Calibri" w:eastAsia="Yu Gothic" w:hAnsi="Calibri"/>
        </w:rPr>
        <w:t xml:space="preserve">The [To be confirmed] on the digital source type in Chapter 3, 3.4 “Recording of actions” was decided as </w:t>
      </w:r>
      <w:r>
        <w:rPr>
          <w:rFonts w:ascii="Consolas" w:eastAsia="Yu Gothic" w:hAnsi="Consolas"/>
        </w:rPr>
        <w:t xml:space="preserve">humanEdits</w:t>
      </w:r>
      <w:r>
        <w:rPr>
          <w:rFonts w:ascii="Calibri" w:eastAsia="Yu Gothic" w:hAnsi="Calibri"/>
        </w:rPr>
        <w:t xml:space="preserve"> (DD-12-9“No generative-AI values are attached”).</w:t>
      </w:r>
    </w:p>
    <w:p>
      <w:pPr>
        <w:pStyle w:val="ListParagraph"/>
        <w:keepNext/>
        <w:keepLines/>
        <w:numPr>
          <w:ilvl w:val="0"/>
          <w:numId w:val="2"/>
        </w:numPr>
        <w:spacing w:after="20" w:before="20" w:line="300"/>
      </w:pPr>
      <w:r>
        <w:rPr>
          <w:rFonts w:ascii="Calibri" w:eastAsia="Yu Gothic" w:hAnsi="Calibri"/>
        </w:rPr>
        <w:t xml:space="preserve">Add to Chapter 10, G-02“Consent” what can be done without consent (DD-12-3“Consent gates only the fetching of reference information”). Add to G-22“Help and Feedback” a sentence on the purpose of use before sending.</w:t>
      </w:r>
    </w:p>
    <w:p>
      <w:pPr>
        <w:pStyle w:val="ListParagraph"/>
        <w:keepNext w:val="false"/>
        <w:keepLines/>
        <w:numPr>
          <w:ilvl w:val="0"/>
          <w:numId w:val="2"/>
        </w:numPr>
        <w:spacing w:after="20" w:before="20" w:line="300"/>
      </w:pPr>
      <w:r>
        <w:rPr>
          <w:rFonts w:ascii="Calibri" w:eastAsia="Yu Gothic" w:hAnsi="Calibri"/>
        </w:rPr>
        <w:t xml:space="preserve">Descriptions in which the premises of Edition 1 of the Legal Research (accepting Users, e-mail registration, NRSD's private certificate authority, user repositories, shared ledgers) remained were revised to fit Edition 2 (L-11“Personal information protection (User information) (Japan)”, L-12“Personal information protection and cross-border transfer (China)”, L-14“Export control of software containing cryptography (Japan, US)”, L-18“GitHub terms”, L-24“Treatment of electronic signatures and electronic data as evidence (Japan, China, US)”, L-25“Terms of Use (standard terms) and disclaimers (Japan)”, L-28“Telecommunications Business Act (notification, external transmission rules) (Japan)”, Section 3 “Declarations and Registrations by Users (Whether Required)”).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12: Interface with Legal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12: Interface with Legal</dc:title>
  <dc:creator>Ishikawa Sou</dc:creator>
  <cp:lastModifiedBy>Un-named</cp:lastModifiedBy>
  <cp:revision>1</cp:revision>
  <dcterms:created xsi:type="dcterms:W3CDTF">2026-09-30T00:15:32.490Z</dcterms:created>
  <dcterms:modified xsi:type="dcterms:W3CDTF">2026-09-30T00:15:32.490Z</dcterms:modified>
</cp:coreProperties>
</file>

<file path=docProps/custom.xml><?xml version="1.0" encoding="utf-8"?>
<Properties xmlns="http://schemas.openxmlformats.org/officeDocument/2006/custom-properties" xmlns:vt="http://schemas.openxmlformats.org/officeDocument/2006/docPropsVTypes"/>
</file>