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Calibri" w:cs="Calibri" w:eastAsia="Calibri" w:hAnsi="Calibri"/>
          <w:color w:val="404040"/>
          <w:sz w:val="26"/>
          <w:szCs w:val="26"/>
        </w:rPr>
        <w:t xml:space="preserve">Anti-Repost Tool for Cosplay Photos</w:t>
      </w:r>
    </w:p>
    <w:p>
      <w:pPr>
        <w:spacing w:after="300"/>
        <w:jc w:val="center"/>
      </w:pPr>
      <w:r>
        <w:rPr>
          <w:rFonts w:ascii="Calibri" w:cs="Calibri" w:eastAsia="Calibri" w:hAnsi="Calibri"/>
          <w:b/>
          <w:bCs/>
          <w:color w:val="345A8A"/>
          <w:sz w:val="40"/>
          <w:szCs w:val="40"/>
        </w:rPr>
        <w:t xml:space="preserve">Basic Design Document Chapter 13: Design Verification</w:t>
      </w:r>
    </w:p>
    <w:p>
      <w:pPr>
        <w:spacing w:after="1600"/>
        <w:jc w:val="center"/>
      </w:pPr>
      <w:r>
        <w:rPr>
          <w:rFonts w:ascii="Calibri" w:cs="Calibri" w:eastAsia="Calibri" w:hAnsi="Calibri"/>
          <w:sz w:val="24"/>
          <w:szCs w:val="24"/>
        </w:rPr>
        <w:t xml:space="preserve">Edition 1 (Draft)  2026-09-29 · Ishikawa Sou</w:t>
      </w:r>
    </w:p>
    <w:p>
      <w:pPr>
        <w:spacing w:after="120"/>
        <w:jc w:val="center"/>
      </w:pPr>
      <w:r>
        <w:rPr>
          <w:rFonts w:ascii="Calibri" w:cs="Calibri" w:eastAsia="Calibri" w:hAnsi="Calibri"/>
          <w:sz w:val="24"/>
          <w:szCs w:val="24"/>
        </w:rPr>
        <w:t xml:space="preserve">Nagareyama Software Development Co., Ltd. (NRSD)</w:t>
      </w:r>
    </w:p>
    <w:p>
      <w:pPr>
        <w:spacing w:before="2400" w:line="300"/>
      </w:pPr>
      <w:r>
        <w:rPr>
          <w:rFonts w:ascii="Calibri" w:cs="Calibri" w:eastAsia="Calibri" w:hAnsi="Calibri"/>
          <w:color w:val="404040"/>
          <w:sz w:val="18"/>
          <w:szCs w:val="18"/>
        </w:rPr>
        <w:t xml:space="preserve">© 2026 Nagareyama Software Development Co., Ltd. (NRSD), Lead Developer: Ishikawa Sou (石川宗). Copyright in this document belongs to Nagareyama Software Development Co., Ltd. (NRSD). Rights in the third-party standards, software, commentaries on laws, and other materials referred to in this document belong to their respective holders. This is a translation of the Japanese original; where they differ, the Japanese original prevails.</w:t>
      </w:r>
    </w:p>
    <w:p>
      <w:pPr>
        <w:pageBreakBefore/>
        <w:spacing w:after="240"/>
      </w:pPr>
      <w:r>
        <w:rPr>
          <w:rFonts w:ascii="Calibri" w:cs="Calibri" w:eastAsia="Calibri" w:hAnsi="Calibri"/>
          <w:b/>
          <w:bCs/>
          <w:color w:val="345A8A"/>
          <w:sz w:val="30"/>
          <w:szCs w:val="30"/>
        </w:rPr>
        <w:t xml:space="preserve">Contents</w:t>
      </w:r>
    </w:p>
    <w:p>
      <w:pPr>
        <w:spacing w:after="40" w:before="40"/>
        <w:ind w:left="240"/>
      </w:pPr>
      <w:r>
        <w:rPr>
          <w:rFonts w:ascii="Calibri" w:cs="Calibri" w:eastAsia="Calibri" w:hAnsi="Calibri"/>
          <w:sz w:val="22"/>
          <w:szCs w:val="22"/>
        </w:rPr>
        <w:t xml:space="preserve">Position of This Document</w:t>
      </w:r>
    </w:p>
    <w:p>
      <w:pPr>
        <w:spacing w:after="40" w:before="40"/>
        <w:ind w:left="240"/>
      </w:pPr>
      <w:r>
        <w:rPr>
          <w:rFonts w:ascii="Calibri" w:cs="Calibri" w:eastAsia="Calibri" w:hAnsi="Calibri"/>
          <w:sz w:val="22"/>
          <w:szCs w:val="22"/>
        </w:rPr>
        <w:t xml:space="preserve">1. Completeness (13-1)</w:t>
      </w:r>
    </w:p>
    <w:p>
      <w:pPr>
        <w:spacing w:after="40" w:before="40"/>
        <w:ind w:left="240"/>
      </w:pPr>
      <w:r>
        <w:rPr>
          <w:rFonts w:ascii="Calibri" w:cs="Calibri" w:eastAsia="Calibri" w:hAnsi="Calibri"/>
          <w:sz w:val="22"/>
          <w:szCs w:val="22"/>
        </w:rPr>
        <w:t xml:space="preserve">2. Reaching the Purpose (13-2)</w:t>
      </w:r>
    </w:p>
    <w:p>
      <w:pPr>
        <w:spacing w:after="40" w:before="40"/>
        <w:ind w:left="240"/>
      </w:pPr>
      <w:r>
        <w:rPr>
          <w:rFonts w:ascii="Calibri" w:cs="Calibri" w:eastAsia="Calibri" w:hAnsi="Calibri"/>
          <w:sz w:val="22"/>
          <w:szCs w:val="22"/>
        </w:rPr>
        <w:t xml:space="preserve">3. Consistency (13-3)</w:t>
      </w:r>
    </w:p>
    <w:p>
      <w:pPr>
        <w:spacing w:after="40" w:before="40"/>
        <w:ind w:left="240"/>
      </w:pPr>
      <w:r>
        <w:rPr>
          <w:rFonts w:ascii="Calibri" w:cs="Calibri" w:eastAsia="Calibri" w:hAnsi="Calibri"/>
          <w:sz w:val="22"/>
          <w:szCs w:val="22"/>
        </w:rPr>
        <w:t xml:space="preserve">4. Declaration of Gaps (13-4)</w:t>
      </w:r>
    </w:p>
    <w:p>
      <w:pPr>
        <w:spacing w:after="40" w:before="40"/>
        <w:ind w:left="240"/>
      </w:pPr>
      <w:r>
        <w:rPr>
          <w:rFonts w:ascii="Calibri" w:cs="Calibri" w:eastAsia="Calibri" w:hAnsi="Calibri"/>
          <w:sz w:val="22"/>
          <w:szCs w:val="22"/>
        </w:rPr>
        <w:t xml:space="preserve">5. List of Measurements and Checks</w:t>
      </w:r>
    </w:p>
    <w:p>
      <w:pPr>
        <w:spacing w:after="40" w:before="40"/>
        <w:ind w:left="240"/>
      </w:pPr>
      <w:r>
        <w:rPr>
          <w:rFonts w:ascii="Calibri" w:cs="Calibri" w:eastAsia="Calibri" w:hAnsi="Calibri"/>
          <w:sz w:val="22"/>
          <w:szCs w:val="22"/>
        </w:rPr>
        <w:t xml:space="preserve">6. Matters NRSD Checks and Decides [NRSD to confirm]</w:t>
      </w:r>
    </w:p>
    <w:p>
      <w:pPr>
        <w:spacing w:after="40" w:before="40"/>
        <w:ind w:left="240"/>
      </w:pPr>
      <w:r>
        <w:rPr>
          <w:rFonts w:ascii="Calibri" w:cs="Calibri" w:eastAsia="Calibri" w:hAnsi="Calibri"/>
          <w:sz w:val="22"/>
          <w:szCs w:val="22"/>
        </w:rPr>
        <w:t xml:space="preserve">7. Corrections to the Outline Design Document</w:t>
      </w:r>
    </w:p>
    <w:p>
      <w:r>
        <w:br w:type="page"/>
      </w:r>
    </w:p>
    <w:p>
      <w:pPr>
        <w:pStyle w:val="Heading1"/>
      </w:pPr>
      <w:r>
        <w:rPr>
          <w:rFonts w:ascii="Calibri" w:eastAsia="Yu Gothic" w:hAnsi="Calibri"/>
        </w:rPr>
        <w:t xml:space="preserve">Position of This Document</w:t>
      </w:r>
    </w:p>
    <w:p>
      <w:pPr>
        <w:pStyle w:val="ListParagraph"/>
        <w:keepNext/>
        <w:keepLines/>
        <w:numPr>
          <w:ilvl w:val="0"/>
          <w:numId w:val="2"/>
        </w:numPr>
        <w:spacing w:after="20" w:before="20" w:line="300"/>
      </w:pPr>
      <w:r>
        <w:rPr>
          <w:rFonts w:ascii="Calibri" w:eastAsia="Yu Gothic" w:hAnsi="Calibri"/>
        </w:rPr>
        <w:t xml:space="preserve">Performs Chapter 13 of the Outline Design Document (13-1 to 13-4) on Chapters 1 to 12 of the basic design. It argues that this design achieves the purpose (protecting Users' photo rights and deterring), and declares the known gaps.</w:t>
      </w:r>
    </w:p>
    <w:p>
      <w:pPr>
        <w:pStyle w:val="ListParagraph"/>
        <w:keepNext w:val="false"/>
        <w:keepLines/>
        <w:numPr>
          <w:ilvl w:val="0"/>
          <w:numId w:val="2"/>
        </w:numPr>
        <w:spacing w:after="20" w:before="20" w:line="300"/>
      </w:pPr>
      <w:r>
        <w:rPr>
          <w:rFonts w:ascii="Calibri" w:eastAsia="Yu Gothic" w:hAnsi="Calibri"/>
        </w:rPr>
        <w:t xml:space="preserve">The decisions received are as in the following table (the decisions, items to be investigated, and open items of Design Plan Edition 2, and omissions found in the item breakdown).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0"/>
        <w:gridCol w:w="1256"/>
        <w:gridCol w:w="7262"/>
      </w:tblGrid>
      <w:tr>
        <w:trPr>
          <w:cantSplit/>
          <w:tblHeader/>
        </w:trPr>
        <w:tc>
          <w:tcPr>
            <w:tcW w:type="dxa" w:w="11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Number</w:t>
            </w:r>
          </w:p>
        </w:tc>
        <w:tc>
          <w:tcPr>
            <w:tcW w:type="dxa" w:w="125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Type</w:t>
            </w:r>
          </w:p>
        </w:tc>
        <w:tc>
          <w:tcPr>
            <w:tcW w:type="dxa" w:w="726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Content</w:t>
            </w:r>
          </w:p>
        </w:tc>
      </w:tr>
      <w:tr>
        <w:trPr>
          <w:cantSplit/>
          <w:tblHeader w:val="off"/>
        </w:trPr>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D-2-3</w:t>
            </w:r>
          </w:p>
        </w:tc>
        <w:tc>
          <w:tcPr>
            <w:tcW w:type="dxa" w:w="12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Decision</w:t>
            </w:r>
          </w:p>
        </w:tc>
        <w:tc>
          <w:tcPr>
            <w:tcW w:type="dxa" w:w="72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greatest value of the System shall be deterrence (there is no corresponding requirement; it is the purpose of the System, and how each chapter works toward it is argued in 2.2 “How it works toward deterrence”)</w:t>
            </w:r>
          </w:p>
        </w:tc>
      </w:tr>
      <w:tr>
        <w:trPr>
          <w:cantSplit/>
          <w:tblHeader w:val="off"/>
        </w:trPr>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A-10</w:t>
            </w:r>
          </w:p>
        </w:tc>
        <w:tc>
          <w:tcPr>
            <w:tcW w:type="dxa" w:w="12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Omission found in the item breakdown</w:t>
            </w:r>
          </w:p>
        </w:tc>
        <w:tc>
          <w:tcPr>
            <w:tcW w:type="dxa" w:w="72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Mapping from Design Plan decisions to the design</w:t>
            </w:r>
          </w:p>
        </w:tc>
      </w:tr>
      <w:tr>
        <w:trPr>
          <w:cantSplit/>
          <w:tblHeader w:val="off"/>
        </w:trPr>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All chapters</w:t>
            </w:r>
          </w:p>
        </w:tc>
        <w:tc>
          <w:tcPr>
            <w:tcW w:type="dxa" w:w="12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c>
          <w:tcPr>
            <w:tcW w:type="dxa" w:w="72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This document takes the design of all chapters as the object of verification</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Method of verification: correspondences of numbers (requirements, decisions, destination table) were checked by mechanically extracting numbers from the documents and comparing them. Scenarios, threats, and gaps were checked by following the text of each chapter.</w:t>
      </w:r>
    </w:p>
    <w:p>
      <w:pPr>
        <w:pStyle w:val="ListParagraph"/>
        <w:keepNext/>
        <w:keepLines/>
        <w:numPr>
          <w:ilvl w:val="0"/>
          <w:numId w:val="2"/>
        </w:numPr>
        <w:spacing w:after="20" w:before="20" w:line="300"/>
      </w:pPr>
      <w:r>
        <w:rPr>
          <w:rFonts w:ascii="Calibri" w:eastAsia="Yu Gothic" w:hAnsi="Calibri"/>
        </w:rPr>
        <w:t xml:space="preserve">It reflects the revision of Design Plan Edition 2 (2026-09-29): the System does not collect Users' information and is completed within the Client App. Certificates for C2PA signatures are made on the device and require no certificate authority. Persons posing as the Rights Holder cannot be excluded, and matching clues are shown. No private repository is set up.</w:t>
      </w:r>
    </w:p>
    <w:p>
      <w:pPr>
        <w:pStyle w:val="ListParagraph"/>
        <w:keepNext w:val="false"/>
        <w:keepLines/>
        <w:numPr>
          <w:ilvl w:val="0"/>
          <w:numId w:val="2"/>
        </w:numPr>
        <w:spacing w:after="20" w:before="20" w:line="300"/>
      </w:pPr>
      <w:r>
        <w:rPr>
          <w:rFonts w:ascii="Calibri" w:eastAsia="Yu Gothic" w:hAnsi="Calibri"/>
        </w:rPr>
        <w:t xml:space="preserve">Notation: “[NRSD to confirm]” marks matters NRSD checks and decides (listed in 6).</w:t>
      </w:r>
    </w:p>
    <w:p>
      <w:pPr>
        <w:pStyle w:val="Heading1"/>
      </w:pPr>
      <w:r>
        <w:rPr>
          <w:rFonts w:ascii="Calibri" w:eastAsia="Yu Gothic" w:hAnsi="Calibri"/>
        </w:rPr>
        <w:t xml:space="preserve">1. Completeness (13-1)</w:t>
      </w:r>
    </w:p>
    <w:p>
      <w:pPr>
        <w:pStyle w:val="Heading2"/>
      </w:pPr>
      <w:r>
        <w:rPr>
          <w:rFonts w:ascii="Calibri" w:eastAsia="Yu Gothic" w:hAnsi="Calibri"/>
        </w:rPr>
        <w:t xml:space="preserve">1.1 Mapping from requirements to sections of the basic design</w:t>
      </w:r>
    </w:p>
    <w:p>
      <w:pPr>
        <w:pStyle w:val="ListParagraph"/>
        <w:keepNext/>
        <w:keepLines/>
        <w:numPr>
          <w:ilvl w:val="0"/>
          <w:numId w:val="2"/>
        </w:numPr>
        <w:spacing w:after="20" w:before="20" w:line="300"/>
      </w:pPr>
      <w:r>
        <w:rPr>
          <w:rFonts w:ascii="Calibri" w:eastAsia="Yu Gothic" w:hAnsi="Calibri"/>
        </w:rPr>
        <w:t xml:space="preserve">All 150 requirements of the Outline Design Document (in Edition 2, four requirements on the private repository and accepting Users were deleted) appear in the “Mapping to Requirements” table of some chapter (0 missing, 0 nonexistent numbers).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1"/>
        <w:gridCol w:w="2887"/>
        <w:gridCol w:w="3950"/>
      </w:tblGrid>
      <w:tr>
        <w:trPr>
          <w:cantSplit/>
          <w:tblHeader/>
        </w:trPr>
        <w:tc>
          <w:tcPr>
            <w:tcW w:type="dxa" w:w="280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Chapter</w:t>
            </w:r>
          </w:p>
        </w:tc>
        <w:tc>
          <w:tcPr>
            <w:tcW w:type="dxa" w:w="288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Number of requirements</w:t>
            </w:r>
          </w:p>
        </w:tc>
        <w:tc>
          <w:tcPr>
            <w:tcW w:type="dxa" w:w="395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Number of design decisions (DD)</w:t>
            </w:r>
          </w:p>
        </w:tc>
      </w:tr>
      <w:tr>
        <w:trPr>
          <w:cantSplit/>
          <w:tblHeader w:val="off"/>
        </w:trPr>
        <w:tc>
          <w:tcPr>
            <w:tcW w:type="dxa" w:w="28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 Overall Architecture</w:t>
            </w:r>
          </w:p>
        </w:tc>
        <w:tc>
          <w:tcPr>
            <w:tcW w:type="dxa" w:w="28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25</w:t>
            </w:r>
          </w:p>
        </w:tc>
        <w:tc>
          <w:tcPr>
            <w:tcW w:type="dxa" w:w="39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11</w:t>
            </w:r>
          </w:p>
        </w:tc>
      </w:tr>
      <w:tr>
        <w:trPr>
          <w:cantSplit/>
          <w:tblHeader w:val="off"/>
        </w:trPr>
        <w:tc>
          <w:tcPr>
            <w:tcW w:type="dxa" w:w="28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2 Signing Information and Matching</w:t>
            </w:r>
          </w:p>
        </w:tc>
        <w:tc>
          <w:tcPr>
            <w:tcW w:type="dxa" w:w="28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17</w:t>
            </w:r>
          </w:p>
        </w:tc>
        <w:tc>
          <w:tcPr>
            <w:tcW w:type="dxa" w:w="39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11</w:t>
            </w:r>
          </w:p>
        </w:tc>
      </w:tr>
      <w:tr>
        <w:trPr>
          <w:cantSplit/>
          <w:tblHeader w:val="off"/>
        </w:trPr>
        <w:tc>
          <w:tcPr>
            <w:tcW w:type="dxa" w:w="28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3 Signing</w:t>
            </w:r>
          </w:p>
        </w:tc>
        <w:tc>
          <w:tcPr>
            <w:tcW w:type="dxa" w:w="28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22</w:t>
            </w:r>
          </w:p>
        </w:tc>
        <w:tc>
          <w:tcPr>
            <w:tcW w:type="dxa" w:w="39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8</w:t>
            </w:r>
          </w:p>
        </w:tc>
      </w:tr>
      <w:tr>
        <w:trPr>
          <w:cantSplit/>
          <w:tblHeader w:val="off"/>
        </w:trPr>
        <w:tc>
          <w:tcPr>
            <w:tcW w:type="dxa" w:w="28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4 Image Editing and Batch Application</w:t>
            </w:r>
          </w:p>
        </w:tc>
        <w:tc>
          <w:tcPr>
            <w:tcW w:type="dxa" w:w="28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14</w:t>
            </w:r>
          </w:p>
        </w:tc>
        <w:tc>
          <w:tcPr>
            <w:tcW w:type="dxa" w:w="39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14</w:t>
            </w:r>
          </w:p>
        </w:tc>
      </w:tr>
      <w:tr>
        <w:trPr>
          <w:cantSplit/>
          <w:tblHeader w:val="off"/>
        </w:trPr>
        <w:tc>
          <w:tcPr>
            <w:tcW w:type="dxa" w:w="28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5 Rights Documents</w:t>
            </w:r>
          </w:p>
        </w:tc>
        <w:tc>
          <w:tcPr>
            <w:tcW w:type="dxa" w:w="28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10</w:t>
            </w:r>
          </w:p>
        </w:tc>
        <w:tc>
          <w:tcPr>
            <w:tcW w:type="dxa" w:w="39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7</w:t>
            </w:r>
          </w:p>
        </w:tc>
      </w:tr>
      <w:tr>
        <w:trPr>
          <w:cantSplit/>
          <w:tblHeader w:val="off"/>
        </w:trPr>
        <w:tc>
          <w:tcPr>
            <w:tcW w:type="dxa" w:w="28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6 Registration and Evidence Preservation</w:t>
            </w:r>
          </w:p>
        </w:tc>
        <w:tc>
          <w:tcPr>
            <w:tcW w:type="dxa" w:w="28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14</w:t>
            </w:r>
          </w:p>
        </w:tc>
        <w:tc>
          <w:tcPr>
            <w:tcW w:type="dxa" w:w="39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8</w:t>
            </w:r>
          </w:p>
        </w:tc>
      </w:tr>
      <w:tr>
        <w:trPr>
          <w:cantSplit/>
          <w:tblHeader w:val="off"/>
        </w:trPr>
        <w:tc>
          <w:tcPr>
            <w:tcW w:type="dxa" w:w="28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7 Legal Action Guidance</w:t>
            </w:r>
          </w:p>
        </w:tc>
        <w:tc>
          <w:tcPr>
            <w:tcW w:type="dxa" w:w="28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10</w:t>
            </w:r>
          </w:p>
        </w:tc>
        <w:tc>
          <w:tcPr>
            <w:tcW w:type="dxa" w:w="39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6</w:t>
            </w:r>
          </w:p>
        </w:tc>
      </w:tr>
      <w:tr>
        <w:trPr>
          <w:cantSplit/>
          <w:tblHeader w:val="off"/>
        </w:trPr>
        <w:tc>
          <w:tcPr>
            <w:tcW w:type="dxa" w:w="28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8 Repository and Data Management</w:t>
            </w:r>
          </w:p>
        </w:tc>
        <w:tc>
          <w:tcPr>
            <w:tcW w:type="dxa" w:w="28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8</w:t>
            </w:r>
          </w:p>
        </w:tc>
        <w:tc>
          <w:tcPr>
            <w:tcW w:type="dxa" w:w="39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10</w:t>
            </w:r>
          </w:p>
        </w:tc>
      </w:tr>
      <w:tr>
        <w:trPr>
          <w:cantSplit/>
          <w:tblHeader w:val="off"/>
        </w:trPr>
        <w:tc>
          <w:tcPr>
            <w:tcW w:type="dxa" w:w="28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9 Distribution and Updates</w:t>
            </w:r>
          </w:p>
        </w:tc>
        <w:tc>
          <w:tcPr>
            <w:tcW w:type="dxa" w:w="28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9</w:t>
            </w:r>
          </w:p>
        </w:tc>
        <w:tc>
          <w:tcPr>
            <w:tcW w:type="dxa" w:w="39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8</w:t>
            </w:r>
          </w:p>
        </w:tc>
      </w:tr>
      <w:tr>
        <w:trPr>
          <w:cantSplit/>
          <w:tblHeader w:val="off"/>
        </w:trPr>
        <w:tc>
          <w:tcPr>
            <w:tcW w:type="dxa" w:w="28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10 Screens and Design</w:t>
            </w:r>
          </w:p>
        </w:tc>
        <w:tc>
          <w:tcPr>
            <w:tcW w:type="dxa" w:w="28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12</w:t>
            </w:r>
          </w:p>
        </w:tc>
        <w:tc>
          <w:tcPr>
            <w:tcW w:type="dxa" w:w="39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8</w:t>
            </w:r>
          </w:p>
        </w:tc>
      </w:tr>
      <w:tr>
        <w:trPr>
          <w:cantSplit/>
          <w:tblHeader w:val="off"/>
        </w:trPr>
        <w:tc>
          <w:tcPr>
            <w:tcW w:type="dxa" w:w="28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11 Development Base</w:t>
            </w:r>
          </w:p>
        </w:tc>
        <w:tc>
          <w:tcPr>
            <w:tcW w:type="dxa" w:w="28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6</w:t>
            </w:r>
          </w:p>
        </w:tc>
        <w:tc>
          <w:tcPr>
            <w:tcW w:type="dxa" w:w="39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15</w:t>
            </w:r>
          </w:p>
        </w:tc>
      </w:tr>
      <w:tr>
        <w:trPr>
          <w:cantSplit/>
          <w:tblHeader w:val="off"/>
        </w:trPr>
        <w:tc>
          <w:tcPr>
            <w:tcW w:type="dxa" w:w="28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12 Interface with Legal</w:t>
            </w:r>
          </w:p>
        </w:tc>
        <w:tc>
          <w:tcPr>
            <w:tcW w:type="dxa" w:w="28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3</w:t>
            </w:r>
          </w:p>
        </w:tc>
        <w:tc>
          <w:tcPr>
            <w:tcW w:type="dxa" w:w="39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10</w:t>
            </w:r>
          </w:p>
        </w:tc>
      </w:tr>
      <w:tr>
        <w:trPr>
          <w:cantSplit/>
          <w:tblHeader w:val="off"/>
        </w:trPr>
        <w:tc>
          <w:tcPr>
            <w:tcW w:type="dxa" w:w="28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Total</w:t>
            </w:r>
          </w:p>
        </w:tc>
        <w:tc>
          <w:tcPr>
            <w:tcW w:type="dxa" w:w="28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150</w:t>
            </w:r>
          </w:p>
        </w:tc>
        <w:tc>
          <w:tcPr>
            <w:tcW w:type="dxa" w:w="39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116</w:t>
            </w:r>
          </w:p>
        </w:tc>
      </w:tr>
    </w:tbl>
    <w:p>
      <w:pPr>
        <w:spacing w:after="100" w:before="0"/>
      </w:pPr>
    </w:p>
    <w:p>
      <w:pPr>
        <w:pStyle w:val="ListParagraph"/>
        <w:keepNext w:val="false"/>
        <w:keepLines/>
        <w:numPr>
          <w:ilvl w:val="0"/>
          <w:numId w:val="2"/>
        </w:numPr>
        <w:spacing w:after="20" w:before="20" w:line="300"/>
      </w:pPr>
      <w:r>
        <w:rPr>
          <w:rFonts w:ascii="Calibri" w:eastAsia="Yu Gothic" w:hAnsi="Calibri"/>
        </w:rPr>
        <w:t xml:space="preserve">The correspondence of the 104 requirements of Chapters 2 to 9 (of which 91 involve User operations) with screens follows the table of Chapter 10, 4 “Mapping of Requirements to Screens” (91 have screens, and 13 are internal processing, NRSD's work, or README).</w:t>
      </w:r>
    </w:p>
    <w:p>
      <w:pPr>
        <w:pStyle w:val="Heading2"/>
      </w:pPr>
      <w:r>
        <w:rPr>
          <w:rFonts w:ascii="Calibri" w:eastAsia="Yu Gothic" w:hAnsi="Calibri"/>
        </w:rPr>
        <w:t xml:space="preserve">1.2 Mapping from Design Plan decisions to the Outline Design Document and basic design</w:t>
      </w:r>
    </w:p>
    <w:p>
      <w:pPr>
        <w:pStyle w:val="ListParagraph"/>
        <w:keepNext/>
        <w:keepLines/>
        <w:numPr>
          <w:ilvl w:val="0"/>
          <w:numId w:val="2"/>
        </w:numPr>
        <w:spacing w:after="20" w:before="20" w:line="300"/>
      </w:pPr>
      <w:r>
        <w:rPr>
          <w:rFonts w:ascii="Calibri" w:eastAsia="Yu Gothic" w:hAnsi="Calibri"/>
        </w:rPr>
        <w:t xml:space="preserve">For the 63 decisions of Design Plan Edition 2 (D-5-5“The System provides the means of matching but does not perform matching on anyone’s behalf”, D-7-7“Identification numbers are issued by the Client App and recorded automatically in the C2PA manifest. Whether they are appended to file names is chosen by the User when saving”, and D-13-3“Registration of contact details for notifying authors is dealt with in the Phase 2 design plan” were added in Edition 2), the receiving requirements (Outline Design Document) and receiving sections (basic design) are shown in the following table (Outline Design Document R-1-9-2“There is a mapping table from Design Plan decision numbers to this document's requirement numbers”, the item breakdown omission A-10“Mapping from Design Plan decisions to the design”). All 63 have receiving sections. 61 have receiving requirements; the two that are not requirements, the purpose (D-2-3“The greatest value of the System shall be deterrence”) and a scope line (D-6-2“The System shall not be built as a website”), are dealt with in 2.2 and 3.4 of Chapter 13.</w:t>
      </w:r>
    </w:p>
    <w:p>
      <w:pPr>
        <w:pStyle w:val="ListParagraph"/>
        <w:keepNext w:val="false"/>
        <w:keepLines/>
        <w:numPr>
          <w:ilvl w:val="0"/>
          <w:numId w:val="2"/>
        </w:numPr>
        <w:spacing w:after="20" w:before="20" w:line="300"/>
      </w:pPr>
      <w:r>
        <w:rPr>
          <w:rFonts w:ascii="Calibri" w:eastAsia="Yu Gothic" w:hAnsi="Calibri"/>
        </w:rPr>
        <w:t xml:space="preserve">The premise decisions (D-3-4“The System is built on the premise that delivery, Visible Signatures, and the rights relationship with the photographer are understood by the cosplayer personally”, D-3-5“No interviews are conducted; improvement is made based on comments after the System becomes usable”) are received in the “Premises” of the Outline Design Document, and the handling when they break is shown in 4.2.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60"/>
        <w:gridCol w:w="3042"/>
        <w:gridCol w:w="3051"/>
        <w:gridCol w:w="2285"/>
      </w:tblGrid>
      <w:tr>
        <w:trPr>
          <w:cantSplit/>
          <w:tblHeader/>
        </w:trPr>
        <w:tc>
          <w:tcPr>
            <w:tcW w:type="dxa" w:w="126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Decision</w:t>
            </w:r>
          </w:p>
        </w:tc>
        <w:tc>
          <w:tcPr>
            <w:tcW w:type="dxa" w:w="304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Content of the decision</w:t>
            </w:r>
          </w:p>
        </w:tc>
        <w:tc>
          <w:tcPr>
            <w:tcW w:type="dxa" w:w="305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Receiving requirements</w:t>
            </w:r>
          </w:p>
        </w:tc>
        <w:tc>
          <w:tcPr>
            <w:tcW w:type="dxa" w:w="228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Receiving sections (basic design)</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D-2-1</w:t>
            </w:r>
          </w:p>
        </w:tc>
        <w:tc>
          <w:tcPr>
            <w:tcW w:type="dxa" w:w="3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What the System protects shall be the rights (copyright and portrait rights) that the Rights Holders have in their own photographs</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R-1-1-2“It is stated explicitly that Phase 2, sales management, rights in source works, and collection of User information are outside the boundary”</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 4.1 “Components”, Chapter 1, 2.1 “Purpose”</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D-2-2</w:t>
            </w:r>
          </w:p>
        </w:tc>
        <w:tc>
          <w:tcPr>
            <w:tcW w:type="dxa" w:w="3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scope of the System shall be the application of licenses</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R-1-1-2“It is stated explicitly that Phase 2, sales management, rights in source works, and collection of User information are outside the boundary”</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 4.1 “Components”, Chapter 4, 2 “Scope of the Visible Signature”</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D-2-3</w:t>
            </w:r>
          </w:p>
        </w:tc>
        <w:tc>
          <w:tcPr>
            <w:tcW w:type="dxa" w:w="3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greatest value of the System shall be deterrence</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 corresponding requirement (it is the purpose of the System, argued in Chapter 13, 2.2 “How it works toward deterrence”)</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 2.1 “Purpose”, Chapter 13, 2.2 “How it works toward deterrence”</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D-2-4</w:t>
            </w:r>
          </w:p>
        </w:tc>
        <w:tc>
          <w:tcPr>
            <w:tcW w:type="dxa" w:w="3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Automated detection shall be a separate design plan</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R-1-1-2“It is stated explicitly that Phase 2, sales management, rights in source works, and collection of User information are outside the boundary”, R-6-1-4“There is room to accept Registrations from Phase 2”</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 4.1 “Components”, Chapter 6, 2.6 “Intake from Phase 2”</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D-2-5</w:t>
            </w:r>
          </w:p>
        </w:tc>
        <w:tc>
          <w:tcPr>
            <w:tcW w:type="dxa" w:w="3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Sales management is not handled. Anyone who needs it shall fork and modify the System, and NRSD takes no part in the results</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R-1-1-2“It is stated explicitly that Phase 2, sales management, rights in source works, and collection of User information are outside the boundary”</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 4.1 “Components”, Chapter 11, 9 “NRSD's License (Decision on O-09“NRSD’s license type”)”</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D-2-6</w:t>
            </w:r>
          </w:p>
        </w:tc>
        <w:tc>
          <w:tcPr>
            <w:tcW w:type="dxa" w:w="3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Representation in legal proceedings and legal judgment are not performed</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R-1-1-2“It is stated explicitly that Phase 2, sales management, rights in source works, and collection of User information are outside the boundary”, R-7-6-1“It is stated explicitly that this is not legal advice, and the sources of information are stated”</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 3 “Constraints”, Chapter 7, 7 “Where the Line Is Drawn”</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D-3-1</w:t>
            </w:r>
          </w:p>
        </w:tc>
        <w:tc>
          <w:tcPr>
            <w:tcW w:type="dxa" w:w="3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Users shall be the Rights Holders of the images (cosplayers and photographers) and those authorized by either of them</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R-2-4-2“Authorizations can be granted, scoped, time-limited, and revoked”, R-2-4-3“A photographer and a cosplayer can handle the same photograph”</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2, 5 “Authorizations and Joint Rights”, Chapter 7, 3.4 “Standing of the complainant”</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D-3-2</w:t>
            </w:r>
          </w:p>
        </w:tc>
        <w:tc>
          <w:tcPr>
            <w:tcW w:type="dxa" w:w="3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Viewers and the Operator are not defined within the System</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R-1-1-1“What each component holds and does not hold is uniquely determined”</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 2.2 “Stakeholders”, Chapter 1, 4.1 “Components”</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D-3-3</w:t>
            </w:r>
          </w:p>
        </w:tc>
        <w:tc>
          <w:tcPr>
            <w:tcW w:type="dxa" w:w="3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Users shall be able to use the System without looking at GitHub</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R-9-4-1“It can be obtained from the README without confusion, including from mainland China”, R-10-7-1“Problems can be reported without looking at GitHub (the receiver is the operator functions; 1-10)”</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9, 5 “Download Routes”, Chapter 10, 9 “Feedback Channel”</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D-3-4</w:t>
            </w:r>
          </w:p>
        </w:tc>
        <w:tc>
          <w:tcPr>
            <w:tcW w:type="dxa" w:w="3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System is built on the premise that delivery, Visible Signatures, and the rights relationship with the photographer are understood by the cosplayer personally</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R-2-4-3“A photographer and a cosplayer can handle the same photograph”</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2, 5.2 “Joint rights (photographer and cosplayer)”, Chapter 13, 4.2 “When premises (Outline Design Document “Premises”) break”</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D-3-5</w:t>
            </w:r>
          </w:p>
        </w:tc>
        <w:tc>
          <w:tcPr>
            <w:tcW w:type="dxa" w:w="3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 interviews are conducted; improvement is made based on comments after the System becomes usable</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R-10-7-1“Problems can be reported without looking at GitHub (the receiver is the operator functions; 1-10)”, R-1-10-1“NRSD can make releases, maintain reference information, and receive feedback”</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10, 2.4 “Judgment”, Chapter 13, 4.2 “When premises (Outline Design Document “Premises”) break”</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D-3-6</w:t>
            </w:r>
          </w:p>
        </w:tc>
        <w:tc>
          <w:tcPr>
            <w:tcW w:type="dxa" w:w="3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On the premise that a person posing as the Rights Holder cannot be excluded, how matching is handled is set out in Chapter 5</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R-2-3-1“When prior signing, replacement of signatures, or counter-complaints occur, matching clues can be laid out side by side (without judgment)”</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2, 4.4 “Clues when a person posing as the Rights Holder appears”</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D-5-1</w:t>
            </w:r>
          </w:p>
        </w:tc>
        <w:tc>
          <w:tcPr>
            <w:tcW w:type="dxa" w:w="3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System does not confirm Users and collects no User information. No registration is required in order to use the System</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R-1-1-2“It is stated explicitly that Phase 2, sales management, rights in source works, and collection of User information are outside the boundary”, R-8-2-2“It is guaranteed that they do not leave the device (except when the User exports them)”</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 3 “Constraints”, Chapter 2, 2 “Input of Information for C2PA Signatures”, Chapter 8, 2.2 “Not leaving the device”</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D-5-2</w:t>
            </w:r>
          </w:p>
        </w:tc>
        <w:tc>
          <w:tcPr>
            <w:tcW w:type="dxa" w:w="3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certificate for C2PA signatures is created inside the Client App from information entered by the User. No certificate authority is required</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R-2-1-1“The signer (the information placed in the certificate) can be confirmed from an image's C2PA signature”, R-2-1-2“There are provisions for certificate expiry and renewal and for input errors”</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2, 3 “Certificates”</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D-5-3</w:t>
            </w:r>
          </w:p>
        </w:tc>
        <w:tc>
          <w:tcPr>
            <w:tcW w:type="dxa" w:w="3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Acts of a person posing as the Rights Holder (signing first, replacing signatures, and reverse complaints) are treated as impossible to prevent; clues for matching are presented. No judgment is made</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R-2-3-1“When prior signing, replacement of signatures, or counter-complaints occur, matching clues can be laid out side by side (without judgment)”, R-2-3-3“From the clues, the true Rights Holder can see what actions are possible (Chapter 7)”</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2, 4.4 “Clues when a person posing as the Rights Holder appears”, Chapter 7, 3.2.1 “Liability for mistaken or false complaints”</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D-5-4</w:t>
            </w:r>
          </w:p>
        </w:tc>
        <w:tc>
          <w:tcPr>
            <w:tcW w:type="dxa" w:w="3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Identity and entitlement are treated separately</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R-2-1-1“The signer (the information placed in the certificate) can be confirmed from an image's C2PA signature”, R-2-2-1“There is a means by which anyone can confirm the link between the signer and the Rights Holder of the photograph by matching with the Notice account”</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2, 4 “The Means of Matching and the Clues”</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D-5-5</w:t>
            </w:r>
          </w:p>
        </w:tc>
        <w:tc>
          <w:tcPr>
            <w:tcW w:type="dxa" w:w="3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System provides the means of matching but does not perform matching on anyone’s behalf</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R-2-2-1“There is a means by which anyone can confirm the link between the signer and the Rights Holder of the photograph by matching with the Notice account”, R-2-3-1“When prior signing, replacement of signatures, or counter-complaints occur, matching clues can be laid out side by side (without judgment)”</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2, 4.1 “Matching with the Notice account”, Chapter 2, 4.4 “Clues when a person posing as the Rights Holder appears”</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D-6-1</w:t>
            </w:r>
          </w:p>
        </w:tc>
        <w:tc>
          <w:tcPr>
            <w:tcW w:type="dxa" w:w="3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Client App shall be a desktop application running on Windows, macOS, and Linux</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R-9-1-1“Non-technical people can install it on the three OSes”, R-11-1-1“The conditions of Design Plan 6.2 are met”</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9, 2.1 “Distributables per OS”, Chapter 11, 3.1 “Minimum supported OS versions”</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D-6-2</w:t>
            </w:r>
          </w:p>
        </w:tc>
        <w:tc>
          <w:tcPr>
            <w:tcW w:type="dxa" w:w="3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System shall not be built as a website</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 corresponding requirement (a scope line; checked in Chapter 13, 3.4 “Scope lines” that it is not crossed)</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 3 “Constraints”, Chapter 1, 4.1 “Components”</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D-6-3</w:t>
            </w:r>
          </w:p>
        </w:tc>
        <w:tc>
          <w:tcPr>
            <w:tcW w:type="dxa" w:w="3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development base is not fixed to any specific library in this document. The statement on c2pa-python in Section 6 of the Draft Project Proposal is not carried over</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R-11-1-1“The conditions of Design Plan 6.2 are met”</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11, 1 “List of Design Decisions”, Chapter 11, 2 “Basis for Selection (Conditions of Design Plan 6.2)”</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D-6-4</w:t>
            </w:r>
          </w:p>
        </w:tc>
        <w:tc>
          <w:tcPr>
            <w:tcW w:type="dxa" w:w="3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development base shall be selected in the design document from among those meeting the conditions in Section 6.2</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R-11-1-1“The conditions of Design Plan 6.2 are met”</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11, 2 “Basis for Selection (Conditions of Design Plan 6.2)”</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D-7-1</w:t>
            </w:r>
          </w:p>
        </w:tc>
        <w:tc>
          <w:tcPr>
            <w:tcW w:type="dxa" w:w="3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 C2PA signature is attached to every image output</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R-3-2-1“The items recorded and the items not recorded (personal information) are determined”, R-3-7-1“Processing runs in an order that does not break the signature”</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3, 3 “C2PA Manifest”, Chapter 3, 8.1 “Order”</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D-7-2</w:t>
            </w:r>
          </w:p>
        </w:tc>
        <w:tc>
          <w:tcPr>
            <w:tcW w:type="dxa" w:w="3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three layers of Section 4 of the Draft Project Proposal (C2PA signature, invisible watermark, matching hashes) are carried over</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R-3-2-1“The items recorded and the items not recorded (personal information) are determined”, R-3-4-1“The information embedded and the strength are determined”, R-3-5-1“What they are computed on and where they are recorded are determined”</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3, 3 “C2PA Manifest”, Chapter 3, 5 “Invisible Watermark”, Chapter 3, 6 “Matching Hash”</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D-7-3</w:t>
            </w:r>
          </w:p>
        </w:tc>
        <w:tc>
          <w:tcPr>
            <w:tcW w:type="dxa" w:w="3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Two streams are provided: (1) delivery and (2) social media</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R-3-7-2“The differences between delivery and social media are determined”</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3, 8.2 “Differences between streams”</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D-7-4</w:t>
            </w:r>
          </w:p>
        </w:tc>
        <w:tc>
          <w:tcPr>
            <w:tcW w:type="dxa" w:w="3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Matching Data is attached to Delivery Images, and Enclosed Documents are enclosed with them</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R-3-7-2“The differences between delivery and social media are determined”, R-5-2-1“They include the matters of Design Plan 9.2”</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3, 8.2 “Differences between streams”, Chapter 5, 3 “Enclosed Document”</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D-7-5</w:t>
            </w:r>
          </w:p>
        </w:tc>
        <w:tc>
          <w:tcPr>
            <w:tcW w:type="dxa" w:w="3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 Visible Signature in a design chosen by the Rights Holder is added to Social Media Images</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R-4-1-1“Name, account name, date, overlay image, and license statement can be placed”, R-4-6-1“Images can be output in the size, compression, and color space for social media”</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4, 2 “Scope of the Visible Signature”, Chapter 4, 14 “Export”</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D-7-6</w:t>
            </w:r>
          </w:p>
        </w:tc>
        <w:tc>
          <w:tcPr>
            <w:tcW w:type="dxa" w:w="3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 missing signature is treated as something that can be concluded to be intentional removal by the recipient</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R-3-9-3“Whether C2PA signatures remain on posting sites and Cloud is known, and the handling when they do not is determined (by NRSD's decision Cloud is also investigated)”</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3, 10.3 “Retention on posting sites and in the cloud”, Chapter 3, 13 “Gaps Declared in This Chapter”</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D-7-7</w:t>
            </w:r>
          </w:p>
        </w:tc>
        <w:tc>
          <w:tcPr>
            <w:tcW w:type="dxa" w:w="3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Identification numbers are issued by the Client App and recorded automatically in the C2PA manifest. Whether they are appended to file names is chosen by the User when saving</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R-3-6-1“Numbers are issued uniquely and can be written in file names and captions”</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3, 7.1 “Identification number”, Chapter 1, 8.2 “Identifier scheme”</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D-8-1</w:t>
            </w:r>
          </w:p>
        </w:tc>
        <w:tc>
          <w:tcPr>
            <w:tcW w:type="dxa" w:w="3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Client App shall have an appealing appearance. Appearance is treated as a requirement directly tied to the effectiveness of the System</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R-10-1-1“The design policy (cute, a character) is set, and who judges it is determined”</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10, 2 “Design”</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D-8-2</w:t>
            </w:r>
          </w:p>
        </w:tc>
        <w:tc>
          <w:tcPr>
            <w:tcW w:type="dxa" w:w="3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image editing screen, batch application, and the Rights Document creation screen are provided. The organization of other screens is decided in the design document</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R-10-2-1“The User operations of the requirements of all chapters (Chapters 2 to 9) exist on some screen”</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10, 3.1 “List of screens”</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D-8-3</w:t>
            </w:r>
          </w:p>
        </w:tc>
        <w:tc>
          <w:tcPr>
            <w:tcW w:type="dxa" w:w="3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 design created on the editing screen becomes a template that can be applied to single images or by folder</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R-4-2-1“Designs can be saved and reused, and used on multiple devices”, R-4-5-1“Signatures can be applied to a folder in one batch and adjusted per photograph”</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4, 8 “Templates”, Chapter 4, 12 “Batch Application”</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D-8-4</w:t>
            </w:r>
          </w:p>
        </w:tc>
        <w:tc>
          <w:tcPr>
            <w:tcW w:type="dxa" w:w="3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Even in batch application, placement, orientation, and color can be adjusted for each photograph</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R-4-5-1“Signatures can be applied to a folder in one batch and adjusted per photograph”, R-4-1-2“Orientation (vertical writing, rotation) and color can be changed”</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4, 12.3 “Adjusting together”, Chapter 4, 4.3 “Group operations”</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D-8-5</w:t>
            </w:r>
          </w:p>
        </w:tc>
        <w:tc>
          <w:tcPr>
            <w:tcW w:type="dxa" w:w="3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details of the screens are decided in the design document</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R-10-2-1“The User operations of the requirements of all chapters (Chapters 2 to 9) exist on some screen”</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10, 3.5 “Specifications per screen”</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D-9-1</w:t>
            </w:r>
          </w:p>
        </w:tc>
        <w:tc>
          <w:tcPr>
            <w:tcW w:type="dxa" w:w="3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Rights Holder chooses, at the time of sale, how far rights are granted</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R-5-1-1“A non-technical person can understand the meaning and choose (the criterion is set in the basic design)”</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5, 2.1 “Options (decision on O-04“Options for the Permitted Scope”)”</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D-9-2</w:t>
            </w:r>
          </w:p>
        </w:tc>
        <w:tc>
          <w:tcPr>
            <w:tcW w:type="dxa" w:w="3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Permitted Scope chosen at the time of sale is the criterion for judging what a repost infringes</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R-5-1-2“Which Permitted Scope was chosen for which image is recorded”, R-6-4-1“The degree of match and what is violated can be shown”</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5, 2.3 “Linking to images”, Chapter 6, 4.2 “What is violated”</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D-9-3</w:t>
            </w:r>
          </w:p>
        </w:tc>
        <w:tc>
          <w:tcPr>
            <w:tcW w:type="dxa" w:w="3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Delivery Images are accompanied by an Enclosed Document stating the matters in Section 9.2</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R-5-2-1“They include the matters of Design Plan 9.2”</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5, 3 “Enclosed Document”</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D-9-4</w:t>
            </w:r>
          </w:p>
        </w:tc>
        <w:tc>
          <w:tcPr>
            <w:tcW w:type="dxa" w:w="3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Enclosed Document includes a sentence stating that the images must not be passed to others without permission. Its loss is not due to the fault of the Rights Holder</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R-5-2-1“They include the matters of Design Plan 9.2”</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5, 3.2 “Outline of the common part”</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D-9-5</w:t>
            </w:r>
          </w:p>
        </w:tc>
        <w:tc>
          <w:tcPr>
            <w:tcW w:type="dxa" w:w="3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Information covering all countries is published as a link destination, and text versions are enclosed only for the nationalities common among purchasers</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R-5-4-1“There is a link covering all countries and a way to decide the nationalities enclosed”</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5, 5 “Countries”</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D-9-6</w:t>
            </w:r>
          </w:p>
        </w:tc>
        <w:tc>
          <w:tcPr>
            <w:tcW w:type="dxa" w:w="3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party pursued is the Infringer, regardless of whether it is a purchaser</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R-7-5-1“The flow of complaining with the evidence package, the Permitted Scope, and the Enclosed Document attached can be understood”</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7, 6 “Flow of Complaints”</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D-9-7</w:t>
            </w:r>
          </w:p>
        </w:tc>
        <w:tc>
          <w:tcPr>
            <w:tcW w:type="dxa" w:w="3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location of the server is taken to be ascertainable by investigation; if it cannot be ascertained, action is abandoned</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R-7-4-1“The procedure can be shown”, R-7-4-2“It is shown that action is abandoned when the location cannot be determined even after investigation (declared as a gap in Chapter 13)”</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7, 5 “Identifying the Operator”</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D-9-8</w:t>
            </w:r>
          </w:p>
        </w:tc>
        <w:tc>
          <w:tcPr>
            <w:tcW w:type="dxa" w:w="3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display languages are Japanese, Chinese, and English, with others added on request</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R-10-3-1“It can be used in Japanese, Chinese, and English”</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10, 5 “Languages”</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D-10-1</w:t>
            </w:r>
          </w:p>
        </w:tc>
        <w:tc>
          <w:tcPr>
            <w:tcW w:type="dxa" w:w="3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Registration of reposts by Users themselves is included within the scope of this document</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R-6-1-1“Registration can be done with one button”</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6, 2 “Registration”</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D-10-2</w:t>
            </w:r>
          </w:p>
        </w:tc>
        <w:tc>
          <w:tcPr>
            <w:tcW w:type="dxa" w:w="3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Registration is done from the Client App with a single button, and evidence is preserved at the same time</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R-6-1-1“Registration can be done with one button”, R-6-2-1“The matters to be shown later (Design Plan 10.3) can be kept”</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6, 2.1 “Procedure”, Chapter 6, 3 “Evidence Preservation”</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D-10-3</w:t>
            </w:r>
          </w:p>
        </w:tc>
        <w:tc>
          <w:tcPr>
            <w:tcW w:type="dxa" w:w="3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Pages requiring login are obtained by the User personally logging in</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R-6-1-2“For pages that require login, what the User obtained themselves can be imported”</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6, 2.2 “Fetching without running scripts”</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D-10-4</w:t>
            </w:r>
          </w:p>
        </w:tc>
        <w:tc>
          <w:tcPr>
            <w:tcW w:type="dxa" w:w="3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Input fields indicating evidence that should be kept are provided</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R-6-2-1“The matters to be shown later (Design Plan 10.3) can be kept”</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6, 2.3 “Input fields for evidence that should be kept”</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D-10-5</w:t>
            </w:r>
          </w:p>
        </w:tc>
        <w:tc>
          <w:tcPr>
            <w:tcW w:type="dxa" w:w="3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specific items to be obtained are decided in the design document</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R-6-2-1“The matters to be shown later (Design Plan 10.3) can be kept”</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6, 2.4 “Fields of registration data”, Chapter 6, 3.1 “Correspondence with the items to be shown later (Design Plan 10.3)”</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D-10-6</w:t>
            </w:r>
          </w:p>
        </w:tc>
        <w:tc>
          <w:tcPr>
            <w:tcW w:type="dxa" w:w="3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judgment on matching and the responsibility for Registration are borne by the User who registered</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R-6-6-2“The handling of registering a repost that is not the User's own work is determined”</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6, 7 “Corrections”, Chapter 7, 3.2.1 “Liability for mistaken or false complaints”</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D-10-7</w:t>
            </w:r>
          </w:p>
        </w:tc>
        <w:tc>
          <w:tcPr>
            <w:tcW w:type="dxa" w:w="3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Evidence is stored on the User’s device and not published. The System does not collect evidence</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R-8-2-1“The placement of Rights Holder Information, ledgers, evidence, and work data is determined”, R-8-2-2“It is guaranteed that they do not leave the device (except when the User exports them)”</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6, 3 “Evidence Preservation”, Chapter 8, 2 “Device Data”</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D-10-8</w:t>
            </w:r>
          </w:p>
        </w:tc>
        <w:tc>
          <w:tcPr>
            <w:tcW w:type="dxa" w:w="3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status of registered reposts can always be seen in the Client App</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R-6-5-1“The User can see what happened to registered reposts afterward”</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6, 6 “Status Checking”</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D-10-9</w:t>
            </w:r>
          </w:p>
        </w:tc>
        <w:tc>
          <w:tcPr>
            <w:tcW w:type="dxa" w:w="3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Information on registered reposts is listed on the User’s device, and the options for action are presented. No sharing among Users takes place (dealt with in Phase 2)</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R-6-7-1“Registered reposts can be gathered into a list and possible actions presented (not shared among Users)”</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6, 8 “List and Means”</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D-11-1</w:t>
            </w:r>
          </w:p>
        </w:tc>
        <w:tc>
          <w:tcPr>
            <w:tcW w:type="dxa" w:w="3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How to pursue infringement is not judged</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R-7-6-1“It is stated explicitly that this is not legal advice, and the sources of information are stated”</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7, 7 “Where the Line Is Drawn”</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D-11-2</w:t>
            </w:r>
          </w:p>
        </w:tc>
        <w:tc>
          <w:tcPr>
            <w:tcW w:type="dxa" w:w="3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Contact points, sample texts, and references to the laws of each country are presented as guidance</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R-7-1-1“Contact points per posting site and provider can be known”, R-7-2-1“They can be shown per country and language”, R-7-3-1“References to each country's laws are accumulated in an “all countries” frame and delivered to Users”</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7, 2 “Contact Points”, Chapter 7, 3 “Model Texts”, Chapter 7, 4 “References to Each Country's Law”</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D-11-3</w:t>
            </w:r>
          </w:p>
        </w:tc>
        <w:tc>
          <w:tcPr>
            <w:tcW w:type="dxa" w:w="3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laws of each country are accumulated as references within an “all countries” framework and added with each implementation</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R-7-3-1“References to each country's laws are accumulated in an “all countries” frame and delivered to Users”</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7, 4 “References to Each Country's Law”</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D-12-1</w:t>
            </w:r>
          </w:p>
        </w:tc>
        <w:tc>
          <w:tcPr>
            <w:tcW w:type="dxa" w:w="3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Public Repository is provided. No Private Repository is provided</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R-8-1-1“It holds the software, the public page, and reference information, and no personal information”</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8, 3 “Public Repository”</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D-12-2</w:t>
            </w:r>
          </w:p>
        </w:tc>
        <w:tc>
          <w:tcPr>
            <w:tcW w:type="dxa" w:w="3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software is published, and its being taken away is not prevented</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R-8-1-2“Reference information and updates of modified versions can be distinguished from official ones”</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8, 3.2 “Distinguishing modified versions”, Chapter 11, 9 “NRSD's License (Decision on O-09“NRSD’s license type”)”</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D-12-3</w:t>
            </w:r>
          </w:p>
        </w:tc>
        <w:tc>
          <w:tcPr>
            <w:tcW w:type="dxa" w:w="3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Rights Holder Information, the signing key, work data, the ledger, and evidence are kept on the User’s device; NRSD does not collect them</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R-8-2-1“The placement of Rights Holder Information, ledgers, evidence, and work data is determined”, R-8-2-2“It is guaranteed that they do not leave the device (except when the User exports them)”</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8, 2 “Device Data”</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D-12-4</w:t>
            </w:r>
          </w:p>
        </w:tc>
        <w:tc>
          <w:tcPr>
            <w:tcW w:type="dxa" w:w="3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public page is viewable and not editable, and information that could be used for impersonation is not posted on it</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R-8-1-1“It holds the software, the public page, and reference information, and no personal information”</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8, 3.3 “Public page (decision on O-05“Content of the public page”)”</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D-12-5</w:t>
            </w:r>
          </w:p>
        </w:tc>
        <w:tc>
          <w:tcPr>
            <w:tcW w:type="dxa" w:w="3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Fork operation by Users themselves is not presupposed</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R-8-1-2“Reference information and updates of modified versions can be distinguished from official ones”</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8, 3.2 “Distinguishing modified versions”</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D-12-6</w:t>
            </w:r>
          </w:p>
        </w:tc>
        <w:tc>
          <w:tcPr>
            <w:tcW w:type="dxa" w:w="3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Distribution is from a GitHub link, with an easy-to-understand README</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R-9-4-1“It can be obtained from the README without confusion, including from mainland China”</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9, 5 “Download Routes”</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D-12-7</w:t>
            </w:r>
          </w:p>
        </w:tc>
        <w:tc>
          <w:tcPr>
            <w:tcW w:type="dxa" w:w="3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Client App receives binaries from the Public Repository and updates itself</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R-9-3-1“It is updated without User operation, and what is received is verified”</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9, 4 “Updates”</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D-13-1</w:t>
            </w:r>
          </w:p>
        </w:tc>
        <w:tc>
          <w:tcPr>
            <w:tcW w:type="dxa" w:w="3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Phase 2 shall be a separate design plan</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R-1-1-2“It is stated explicitly that Phase 2, sales management, rights in source works, and collection of User information are outside the boundary”, R-6-1-4“There is room to accept Registrations from Phase 2”</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 4.1 “Components”, Chapter 6, 2.6 “Intake from Phase 2”</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D-13-2</w:t>
            </w:r>
          </w:p>
        </w:tc>
        <w:tc>
          <w:tcPr>
            <w:tcW w:type="dxa" w:w="3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Registration mechanism shall be designed so as to leave room to accept Registration from automated detection later</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R-6-1-4“There is room to accept Registrations from Phase 2”</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6, 2.6 “Intake from Phase 2”</w:t>
            </w:r>
          </w:p>
        </w:tc>
      </w:tr>
      <w:tr>
        <w:trPr>
          <w:cantSplit/>
          <w:tblHeader w:val="off"/>
        </w:trPr>
        <w:tc>
          <w:tcPr>
            <w:tcW w:type="dxa" w:w="12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D-13-3</w:t>
            </w:r>
          </w:p>
        </w:tc>
        <w:tc>
          <w:tcPr>
            <w:tcW w:type="dxa" w:w="3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Registration of contact details for notifying authors is dealt with in the Phase 2 design plan</w:t>
            </w:r>
          </w:p>
        </w:tc>
        <w:tc>
          <w:tcPr>
            <w:tcW w:type="dxa" w:w="30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R-1-1-2“It is stated explicitly that Phase 2, sales management, rights in source works, and collection of User information are outside the boundary”</w:t>
            </w:r>
          </w:p>
        </w:tc>
        <w:tc>
          <w:tcPr>
            <w:tcW w:type="dxa" w:w="2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 4.1 “Components”, Chapter 6, 8 “List and Means”</w:t>
            </w:r>
          </w:p>
        </w:tc>
      </w:tr>
    </w:tbl>
    <w:p>
      <w:pPr>
        <w:spacing w:after="100" w:before="0"/>
      </w:pPr>
    </w:p>
    <w:p>
      <w:pPr>
        <w:pStyle w:val="Heading2"/>
      </w:pPr>
      <w:r>
        <w:rPr>
          <w:rFonts w:ascii="Calibri" w:eastAsia="Yu Gothic" w:hAnsi="Calibri"/>
        </w:rPr>
        <w:t xml:space="preserve">1.3 Destination table (Outline Design Document “Destination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10"/>
        <w:gridCol w:w="1863"/>
        <w:gridCol w:w="3815"/>
        <w:gridCol w:w="2950"/>
      </w:tblGrid>
      <w:tr>
        <w:trPr>
          <w:cantSplit/>
          <w:tblHeader/>
        </w:trPr>
        <w:tc>
          <w:tcPr>
            <w:tcW w:type="dxa" w:w="101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Number</w:t>
            </w:r>
          </w:p>
        </w:tc>
        <w:tc>
          <w:tcPr>
            <w:tcW w:type="dxa" w:w="186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Content</w:t>
            </w:r>
          </w:p>
        </w:tc>
        <w:tc>
          <w:tcPr>
            <w:tcW w:type="dxa" w:w="381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Result</w:t>
            </w:r>
          </w:p>
        </w:tc>
        <w:tc>
          <w:tcPr>
            <w:tcW w:type="dxa" w:w="295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Section where resolved</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I-01</w:t>
            </w:r>
          </w:p>
        </w:tc>
        <w:tc>
          <w:tcPr>
            <w:tcW w:type="dxa" w:w="18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C2PA certificates (Edition 2: requirements for certificates made on the device)</w:t>
            </w:r>
          </w:p>
        </w:tc>
        <w:tc>
          <w:tcPr>
            <w:tcW w:type="dxa" w:w="38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Resolved</w:t>
            </w:r>
          </w:p>
        </w:tc>
        <w:tc>
          <w:tcPr>
            <w:tcW w:type="dxa" w:w="29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2, 3 “Certificates”</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I-02</w:t>
            </w:r>
          </w:p>
        </w:tc>
        <w:tc>
          <w:tcPr>
            <w:tcW w:type="dxa" w:w="18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Matching with the Notice account</w:t>
            </w:r>
          </w:p>
        </w:tc>
        <w:tc>
          <w:tcPr>
            <w:tcW w:type="dxa" w:w="38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Resolved (Weibo's limit is [To be measured])</w:t>
            </w:r>
          </w:p>
        </w:tc>
        <w:tc>
          <w:tcPr>
            <w:tcW w:type="dxa" w:w="29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2, 2.2 “Limits of the places where notice codes are posted”, 4.1 “Matching with the Notice account”</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I-03</w:t>
            </w:r>
          </w:p>
        </w:tc>
        <w:tc>
          <w:tcPr>
            <w:tcW w:type="dxa" w:w="18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Retention of C2PA on posting sites</w:t>
            </w:r>
          </w:p>
        </w:tc>
        <w:tc>
          <w:tcPr>
            <w:tcW w:type="dxa" w:w="38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Resolved (partly [To be measured])</w:t>
            </w:r>
          </w:p>
        </w:tc>
        <w:tc>
          <w:tcPr>
            <w:tcW w:type="dxa" w:w="29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3, 10.3 “Retention on posting sites and in the cloud”</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I-04</w:t>
            </w:r>
          </w:p>
        </w:tc>
        <w:tc>
          <w:tcPr>
            <w:tcW w:type="dxa" w:w="18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Connection to GitHub from mainland China (Edition 2: distribution and updates)</w:t>
            </w:r>
          </w:p>
        </w:tc>
        <w:tc>
          <w:tcPr>
            <w:tcW w:type="dxa" w:w="38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Resolved (reachability is [To be measured])</w:t>
            </w:r>
          </w:p>
        </w:tc>
        <w:tc>
          <w:tcPr>
            <w:tcW w:type="dxa" w:w="29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8, 6.2 “Mainland China”, Chapter 9, 5 “Download Routes”</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I-05</w:t>
            </w:r>
          </w:p>
        </w:tc>
        <w:tc>
          <w:tcPr>
            <w:tcW w:type="dxa" w:w="18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Code signing</w:t>
            </w:r>
          </w:p>
        </w:tc>
        <w:tc>
          <w:tcPr>
            <w:tcW w:type="dxa" w:w="38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Resolved</w:t>
            </w:r>
          </w:p>
        </w:tc>
        <w:tc>
          <w:tcPr>
            <w:tcW w:type="dxa" w:w="29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9, DD-9-1“One distribution per OS, code-signed”</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I-06</w:t>
            </w:r>
          </w:p>
        </w:tc>
        <w:tc>
          <w:tcPr>
            <w:tcW w:type="dxa" w:w="18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Differences in rights by country</w:t>
            </w:r>
          </w:p>
        </w:tc>
        <w:tc>
          <w:tcPr>
            <w:tcW w:type="dxa" w:w="38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Resolved</w:t>
            </w:r>
          </w:p>
        </w:tc>
        <w:tc>
          <w:tcPr>
            <w:tcW w:type="dxa" w:w="29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12, 2 “List of Laws Covered”, all items of the Legal Research (34)</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I-07</w:t>
            </w:r>
          </w:p>
        </w:tc>
        <w:tc>
          <w:tcPr>
            <w:tcW w:type="dxa" w:w="18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Knowing the purchasers' countries</w:t>
            </w:r>
          </w:p>
        </w:tc>
        <w:tc>
          <w:tcPr>
            <w:tcW w:type="dxa" w:w="38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Resolved (purchasers' countries cannot be narrowed down; with a VPN the country is unknown and cannot be determined; the design does not depend on the purchaser's country)</w:t>
            </w:r>
          </w:p>
        </w:tc>
        <w:tc>
          <w:tcPr>
            <w:tcW w:type="dxa" w:w="29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5, 5 “Countries”</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I-08</w:t>
            </w:r>
          </w:p>
        </w:tc>
        <w:tc>
          <w:tcPr>
            <w:tcW w:type="dxa" w:w="18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Expert review of the wording of Rights Documents</w:t>
            </w:r>
          </w:p>
        </w:tc>
        <w:tc>
          <w:tcPr>
            <w:tcW w:type="dxa" w:w="38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Resolved (distributed only after review)</w:t>
            </w:r>
          </w:p>
        </w:tc>
        <w:tc>
          <w:tcPr>
            <w:tcW w:type="dxa" w:w="29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12, DD-12-10“The wording of Rights Documents is distributed only after expert review”, Chapter 5, 4 “Management of the Wording”</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O-01</w:t>
            </w:r>
          </w:p>
        </w:tc>
        <w:tc>
          <w:tcPr>
            <w:tcW w:type="dxa" w:w="18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How matching clues are shown (retitled in Edition 2)</w:t>
            </w:r>
          </w:p>
        </w:tc>
        <w:tc>
          <w:tcPr>
            <w:tcW w:type="dxa" w:w="38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Resolved</w:t>
            </w:r>
          </w:p>
        </w:tc>
        <w:tc>
          <w:tcPr>
            <w:tcW w:type="dxa" w:w="29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2, 4 “The Means of Matching and the Clues”</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O-02</w:t>
            </w:r>
          </w:p>
        </w:tc>
        <w:tc>
          <w:tcPr>
            <w:tcW w:type="dxa" w:w="18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Development base</w:t>
            </w:r>
          </w:p>
        </w:tc>
        <w:tc>
          <w:tcPr>
            <w:tcW w:type="dxa" w:w="38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Resolved</w:t>
            </w:r>
          </w:p>
        </w:tc>
        <w:tc>
          <w:tcPr>
            <w:tcW w:type="dxa" w:w="29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All design decisions of Chapter 11 “Development Base”</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O-03</w:t>
            </w:r>
          </w:p>
        </w:tc>
        <w:tc>
          <w:tcPr>
            <w:tcW w:type="dxa" w:w="18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Approach to the governing law</w:t>
            </w:r>
          </w:p>
        </w:tc>
        <w:tc>
          <w:tcPr>
            <w:tcW w:type="dxa" w:w="38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 proposal is placed (adoption depends on confirmation by experts; not written in the Enclosed Document until confirmed; Chapter 12, DD-12-10“The wording of Rights Documents is distributed only after expert review”)</w:t>
            </w:r>
          </w:p>
        </w:tc>
        <w:tc>
          <w:tcPr>
            <w:tcW w:type="dxa" w:w="29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5, 3.5 “Legal position (handled in legal)”, 5 “Countries”</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O-04</w:t>
            </w:r>
          </w:p>
        </w:tc>
        <w:tc>
          <w:tcPr>
            <w:tcW w:type="dxa" w:w="18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Options of the Permitted Scope</w:t>
            </w:r>
          </w:p>
        </w:tc>
        <w:tc>
          <w:tcPr>
            <w:tcW w:type="dxa" w:w="38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Resolved</w:t>
            </w:r>
          </w:p>
        </w:tc>
        <w:tc>
          <w:tcPr>
            <w:tcW w:type="dxa" w:w="29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5, 2.1 “Options (decision on O-04“Options for the Permitted Scope”)”</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O-05</w:t>
            </w:r>
          </w:p>
        </w:tc>
        <w:tc>
          <w:tcPr>
            <w:tcW w:type="dxa" w:w="18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Content of the public page</w:t>
            </w:r>
          </w:p>
        </w:tc>
        <w:tc>
          <w:tcPr>
            <w:tcW w:type="dxa" w:w="38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Resolved</w:t>
            </w:r>
          </w:p>
        </w:tc>
        <w:tc>
          <w:tcPr>
            <w:tcW w:type="dxa" w:w="29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8, 3.3 “Public page (decision on O-05“Content of the public page”)”</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O-06</w:t>
            </w:r>
          </w:p>
        </w:tc>
        <w:tc>
          <w:tcPr>
            <w:tcW w:type="dxa" w:w="18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Sharing information on reposting sites</w:t>
            </w:r>
          </w:p>
        </w:tc>
        <w:tc>
          <w:tcPr>
            <w:tcW w:type="dxa" w:w="38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Deleted in Edition 2 (not shared; D-10-9“Information on registered reposts is listed on the User’s device, and the options for action are presented. No sharing among Users takes place (dealt with in Phase 2)”)</w:t>
            </w:r>
          </w:p>
        </w:tc>
        <w:tc>
          <w:tcPr>
            <w:tcW w:type="dxa" w:w="29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6, 8 “List and Means”</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O-07</w:t>
            </w:r>
          </w:p>
        </w:tc>
        <w:tc>
          <w:tcPr>
            <w:tcW w:type="dxa" w:w="18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OS integration</w:t>
            </w:r>
          </w:p>
        </w:tc>
        <w:tc>
          <w:tcPr>
            <w:tcW w:type="dxa" w:w="38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Resolved (not provided)</w:t>
            </w:r>
          </w:p>
        </w:tc>
        <w:tc>
          <w:tcPr>
            <w:tcW w:type="dxa" w:w="29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10, DD-10-5“No OS integration; drag and drop is used instead”</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O-08</w:t>
            </w:r>
          </w:p>
        </w:tc>
        <w:tc>
          <w:tcPr>
            <w:tcW w:type="dxa" w:w="18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Issuer of identification numbers</w:t>
            </w:r>
          </w:p>
        </w:tc>
        <w:tc>
          <w:tcPr>
            <w:tcW w:type="dxa" w:w="38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Decided in Design Plan Edition 2 (D-7-7“Identification numbers are issued by the Client App and recorded automatically in the C2PA manifest. Whether they are appended to file names is chosen by the User when saving”; issued by the Client App; the same value as the matching number and work number)</w:t>
            </w:r>
          </w:p>
        </w:tc>
        <w:tc>
          <w:tcPr>
            <w:tcW w:type="dxa" w:w="29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3, 7.1 “Identification number”, Chapter 1, 8.2 “Identifier scheme”</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O-09</w:t>
            </w:r>
          </w:p>
        </w:tc>
        <w:tc>
          <w:tcPr>
            <w:tcW w:type="dxa" w:w="18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NRSD's license</w:t>
            </w:r>
          </w:p>
        </w:tc>
        <w:tc>
          <w:tcPr>
            <w:tcW w:type="dxa" w:w="38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Resolved (Apache-2.0; NRSD's decision of 2026-09-30)</w:t>
            </w:r>
          </w:p>
        </w:tc>
        <w:tc>
          <w:tcPr>
            <w:tcW w:type="dxa" w:w="29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11, 9 “NRSD's License (Decision on O-09“NRSD’s license type”)”</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O-10</w:t>
            </w:r>
          </w:p>
        </w:tc>
        <w:tc>
          <w:tcPr>
            <w:tcW w:type="dxa" w:w="18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Format of work data records (retitled in Edition 2; recorded on the User's device)</w:t>
            </w:r>
          </w:p>
        </w:tc>
        <w:tc>
          <w:tcPr>
            <w:tcW w:type="dxa" w:w="38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Resolved</w:t>
            </w:r>
          </w:p>
        </w:tc>
        <w:tc>
          <w:tcPr>
            <w:tcW w:type="dxa" w:w="29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3, 7.2 “Work data fields (decision on O-10“Recording format of work data”)”, Chapter 8, 2.1 “Arrangement”</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O-11</w:t>
            </w:r>
          </w:p>
        </w:tc>
        <w:tc>
          <w:tcPr>
            <w:tcW w:type="dxa" w:w="18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Visible Signature on Delivery Images</w:t>
            </w:r>
          </w:p>
        </w:tc>
        <w:tc>
          <w:tcPr>
            <w:tcW w:type="dxa" w:w="38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Resolved (decided per template)</w:t>
            </w:r>
          </w:p>
        </w:tc>
        <w:tc>
          <w:tcPr>
            <w:tcW w:type="dxa" w:w="29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3, DD-3-6“Visible Signatures on Delivery Images are decided per template”</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B-2</w:t>
            </w:r>
          </w:p>
        </w:tc>
        <w:tc>
          <w:tcPr>
            <w:tcW w:type="dxa" w:w="18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Include the cloud in the scope of I-03“Retention of C2PA signatures on posting sites and Cloud”</w:t>
            </w:r>
          </w:p>
        </w:tc>
        <w:tc>
          <w:tcPr>
            <w:tcW w:type="dxa" w:w="38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Resolved (Drive is [To be measured])</w:t>
            </w:r>
          </w:p>
        </w:tc>
        <w:tc>
          <w:tcPr>
            <w:tcW w:type="dxa" w:w="29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3, 10.3 “Retention on posting sites and in the cloud”</w:t>
            </w:r>
          </w:p>
        </w:tc>
      </w:tr>
    </w:tbl>
    <w:p>
      <w:pPr>
        <w:spacing w:after="100" w:before="0"/>
      </w:pPr>
    </w:p>
    <w:p>
      <w:pPr>
        <w:pStyle w:val="Heading1"/>
      </w:pPr>
      <w:r>
        <w:rPr>
          <w:rFonts w:ascii="Calibri" w:eastAsia="Yu Gothic" w:hAnsi="Calibri"/>
        </w:rPr>
        <w:t xml:space="preserve">2. Reaching the Purpose (13-2)</w:t>
      </w:r>
    </w:p>
    <w:p>
      <w:pPr>
        <w:pStyle w:val="Heading2"/>
      </w:pPr>
      <w:r>
        <w:rPr>
          <w:rFonts w:ascii="Calibri" w:eastAsia="Yu Gothic" w:hAnsi="Calibri"/>
        </w:rPr>
        <w:t xml:space="preserve">2.1 Paths per usage scenario (Design Plan 4.3)</w:t>
      </w:r>
    </w:p>
    <w:p>
      <w:pPr>
        <w:pStyle w:val="ListParagraph"/>
        <w:keepNext/>
        <w:keepLines/>
        <w:numPr>
          <w:ilvl w:val="0"/>
          <w:numId w:val="2"/>
        </w:numPr>
        <w:spacing w:after="20" w:before="20" w:line="300"/>
      </w:pPr>
      <w:r>
        <w:rPr>
          <w:rFonts w:ascii="Calibri" w:eastAsia="Yu Gothic" w:hAnsi="Calibri"/>
        </w:rPr>
        <w:t xml:space="preserve">Each scenario is traced from start to end through screens, requirements, and sections of the basic design. There are no breaks. None of the scenarios goes through NRSD.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0"/>
        <w:gridCol w:w="2044"/>
        <w:gridCol w:w="2062"/>
        <w:gridCol w:w="2044"/>
        <w:gridCol w:w="1968"/>
      </w:tblGrid>
      <w:tr>
        <w:trPr>
          <w:cantSplit/>
          <w:tblHeader/>
        </w:trPr>
        <w:tc>
          <w:tcPr>
            <w:tcW w:type="dxa" w:w="15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Scenario</w:t>
            </w:r>
          </w:p>
        </w:tc>
        <w:tc>
          <w:tcPr>
            <w:tcW w:type="dxa" w:w="204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Path (screens and processing in order)</w:t>
            </w:r>
          </w:p>
        </w:tc>
        <w:tc>
          <w:tcPr>
            <w:tcW w:type="dxa" w:w="206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Requirements</w:t>
            </w:r>
          </w:p>
        </w:tc>
        <w:tc>
          <w:tcPr>
            <w:tcW w:type="dxa" w:w="204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Sections of the basic design</w:t>
            </w:r>
          </w:p>
        </w:tc>
        <w:tc>
          <w:tcPr>
            <w:tcW w:type="dxa" w:w="196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End</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Preparation</w:t>
            </w:r>
          </w:p>
        </w:tc>
        <w:tc>
          <w:tcPr>
            <w:tcW w:type="dxa" w:w="20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G-01“Welcome”, then G-02“Consent”, then G-03“Signing Information” (input of signing information; keys, certificates, and notice code made on the device), then G-04“Posting the Notice”, then (optional) G-05“Create Backup”, then create a Visible Signature template in G-25“Image Editing”</w:t>
            </w:r>
          </w:p>
        </w:tc>
        <w:tc>
          <w:tcPr>
            <w:tcW w:type="dxa" w:w="20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R-2-4-1“A non-technical person can complete the input of information for C2PA signatures (the criterion is set in the basic design)”, R-2-6-1“They are stored safely and protected during processing”, R-4-2-1“Designs can be saved and reused, and used on multiple devices”, R-12-1-2“Whether Users need to declare or register anything is determined”</w:t>
            </w:r>
          </w:p>
        </w:tc>
        <w:tc>
          <w:tcPr>
            <w:tcW w:type="dxa" w:w="20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2, 2 “Input of Information for C2PA Signatures”, 3 “Certificates”, Chapter 8, 5 “Backup Files”, Chapter 4, 8 “Templates”</w:t>
            </w:r>
          </w:p>
        </w:tc>
        <w:tc>
          <w:tcPr>
            <w:tcW w:type="dxa" w:w="19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Ready to C2PA-sign. All records are on the device</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Notice</w:t>
            </w:r>
          </w:p>
        </w:tc>
        <w:tc>
          <w:tcPr>
            <w:tcW w:type="dxa" w:w="20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G-04“Posting the Notice” (copy the notice code and sample texts), then post on each site's profile</w:t>
            </w:r>
          </w:p>
        </w:tc>
        <w:tc>
          <w:tcPr>
            <w:tcW w:type="dxa" w:w="20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R-2-2-1“There is a means by which anyone can confirm the link between the signer and the Rights Holder of the photograph by matching with the Notice account”, R-5-5-1“Example Notice texts (three languages) can be shown”, R-5-5-2“The information needed for Entitlement matching can be included in the Notice”</w:t>
            </w:r>
          </w:p>
        </w:tc>
        <w:tc>
          <w:tcPr>
            <w:tcW w:type="dxa" w:w="20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2, 2 “Input of Information for C2PA Signatures”, Chapter 5, 6 “Support for Notices”</w:t>
            </w:r>
          </w:p>
        </w:tc>
        <w:tc>
          <w:tcPr>
            <w:tcW w:type="dxa" w:w="19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notice code is on the Notice account, and anyone can match by following from the image's certificate</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Sale</w:t>
            </w:r>
          </w:p>
        </w:tc>
        <w:tc>
          <w:tcPr>
            <w:tcW w:type="dxa" w:w="20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G-08“Export: Photos and Purpose” (delivery), then G-09“Export: Batch Application” (Visible Signature by template), then G-10“Export: Permitted Scope” (Permitted Scope, countries of the Enclosed Document), then G-11“Export: Run and Results” (batch processing: invisible watermark, PDQ, manifest, C2PA signature, timestamp), then the output folder to the cloud (outside the System)</w:t>
            </w:r>
          </w:p>
        </w:tc>
        <w:tc>
          <w:tcPr>
            <w:tcW w:type="dxa" w:w="20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All requirements of Chapter 3 “Signing”, requirement groups 5-1 “Permitted Scope”, 5-2 “Enclosed Documents”, 5-3 “Wording”, 5-4 “Countries”</w:t>
            </w:r>
          </w:p>
        </w:tc>
        <w:tc>
          <w:tcPr>
            <w:tcW w:type="dxa" w:w="20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3, 8 “Processing Order and Streams” to 10, Chapter 5, 2 “Permitted Scope” to 5, Chapter 4, 12 “Batch Application”</w:t>
            </w:r>
          </w:p>
        </w:tc>
        <w:tc>
          <w:tcPr>
            <w:tcW w:type="dxa" w:w="19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 folder with the Enclosed Document. Work data on the device</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Posting</w:t>
            </w:r>
          </w:p>
        </w:tc>
        <w:tc>
          <w:tcPr>
            <w:tcW w:type="dxa" w:w="20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G-08“Export: Photos and Purpose” (social media), then G-09“Export: Batch Application” (Visible Signature, per-photo adjustment), then G-11“Export: Run and Results”, then posting (outside the System). Whether to write the identification number in the caption is up to the User (optional; Chapter 3, 7.1 “Identification number”)</w:t>
            </w:r>
          </w:p>
        </w:tc>
        <w:tc>
          <w:tcPr>
            <w:tcW w:type="dxa" w:w="20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All requirements of Chapter 4 “Image Editing and Batch Application”, R-3-6-1“Numbers are issued uniquely and can be written in file names and captions”, R-3-7-2“The differences between delivery and social media are determined”, R-3-9-3“Whether C2PA signatures remain on posting sites and Cloud is known, and the handling when they do not is determined (by NRSD's decision Cloud is also investigated)”</w:t>
            </w:r>
          </w:p>
        </w:tc>
        <w:tc>
          <w:tcPr>
            <w:tcW w:type="dxa" w:w="20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4 “Image Editing and Batch Application”, Chapter 3, 7.1 “Identification number”, 8.2 “Differences between streams”</w:t>
            </w:r>
          </w:p>
        </w:tc>
        <w:tc>
          <w:tcPr>
            <w:tcW w:type="dxa" w:w="19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Images with the Visible Signature, invisible watermark, and identification number. The User knows that C2PA signatures disappear on social media</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Registration</w:t>
            </w:r>
          </w:p>
        </w:tc>
        <w:tc>
          <w:tcPr>
            <w:tcW w:type="dxa" w:w="20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G-15“Reposts (Case List)”, then G-14“Register a Repost” (URL, reposted image, screenshot, evidence fields), then matching (watermark, then PDQ), then “Register”, then evidence preservation and timestamp, then saving on the device</w:t>
            </w:r>
          </w:p>
        </w:tc>
        <w:tc>
          <w:tcPr>
            <w:tcW w:type="dxa" w:w="20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Requirement groups 6-1 “Registration”, 6-2 “Obtaining evidence”, 6-3 “Preserving evidence”, 6-4 “Matching”</w:t>
            </w:r>
          </w:p>
        </w:tc>
        <w:tc>
          <w:tcPr>
            <w:tcW w:type="dxa" w:w="20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6, 2 “Registration” to 4</w:t>
            </w:r>
          </w:p>
        </w:tc>
        <w:tc>
          <w:tcPr>
            <w:tcW w:type="dxa" w:w="19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 case record (with record signature and timestamp) and evidence are on the device</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Checking</w:t>
            </w:r>
          </w:p>
        </w:tc>
        <w:tc>
          <w:tcPr>
            <w:tcW w:type="dxa" w:w="20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G-15“Reposts (Case List)” (list per reposting site), then G-16“Case Details”, then “Check current status” (fetched only when pressed)</w:t>
            </w:r>
          </w:p>
        </w:tc>
        <w:tc>
          <w:tcPr>
            <w:tcW w:type="dxa" w:w="20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R-6-5-1“The User can see what happened to registered reposts afterward”, R-6-5-2“It is linked to the record of complaints”, R-6-7-1“Registered reposts can be gathered into a list and possible actions presented (not shared among Users)”</w:t>
            </w:r>
          </w:p>
        </w:tc>
        <w:tc>
          <w:tcPr>
            <w:tcW w:type="dxa" w:w="20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6, 6 “Status Checking”, 8 “List and Means”</w:t>
            </w:r>
          </w:p>
        </w:tc>
        <w:tc>
          <w:tcPr>
            <w:tcW w:type="dxa" w:w="19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status history is appended with timestamps. Possible actions are shown</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Taking action</w:t>
            </w:r>
          </w:p>
        </w:tc>
        <w:tc>
          <w:tcPr>
            <w:tcW w:type="dxa" w:w="20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G-16“Case Details”, then “Take action”, then G-17“Action Guide” (contact points, required items, confirming personal information, model texts), then the User sends, then recording “complaint made”, then (if needed) “Extract evidence package”</w:t>
            </w:r>
          </w:p>
        </w:tc>
        <w:tc>
          <w:tcPr>
            <w:tcW w:type="dxa" w:w="20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All requirements of Chapter 7 “Legal Action Guidance”, R-6-3-2“Evidence can be exported in a form that can be handed to experts”, R-12-1-3“What returns to the screens (consent, disclaimers, rights in source works, passing on personal information) has been handed to Chapter 10”</w:t>
            </w:r>
          </w:p>
        </w:tc>
        <w:tc>
          <w:tcPr>
            <w:tcW w:type="dxa" w:w="20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7, 2 “Contact Points” to 7, Chapter 6, 3.4 “Export”</w:t>
            </w:r>
          </w:p>
        </w:tc>
        <w:tc>
          <w:tcPr>
            <w:tcW w:type="dxa" w:w="19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 complaint by the User. An evidence package that can be given to experts (with verification instructions)</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Matching (when a person posing as the Rights Holder appears)</w:t>
            </w:r>
          </w:p>
        </w:tc>
        <w:tc>
          <w:tcPr>
            <w:tcW w:type="dxa" w:w="20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G-13“Verify” (put in the image), then G-24“Compare Clues” (lay out the clues), then G-17“Action Guide” (possible actions)</w:t>
            </w:r>
          </w:p>
        </w:tc>
        <w:tc>
          <w:tcPr>
            <w:tcW w:type="dxa" w:w="20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R-2-3-1“When prior signing, replacement of signatures, or counter-complaints occur, matching clues can be laid out side by side (without judgment)”, R-2-3-2“For photographs published before adoption, the clues that can be shown and the range that cannot are stated (what cannot be shown is declared in Chapter 13)”, R-2-3-3“From the clues, the true Rights Holder can see what actions are possible (Chapter 7)”, R-2-2-1“There is a means by which anyone can confirm the link between the signer and the Rights Holder of the photograph by matching with the Notice account”</w:t>
            </w:r>
          </w:p>
        </w:tc>
        <w:tc>
          <w:tcPr>
            <w:tcW w:type="dxa" w:w="20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2, 4 “The Means of Matching and the Clues”, Design Plan 5.5 “Handling of Matching When a Signature Has Been Overwritten”</w:t>
            </w:r>
          </w:p>
        </w:tc>
        <w:tc>
          <w:tcPr>
            <w:tcW w:type="dxa" w:w="19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 judgment is made; clues and means are shown to the User</w:t>
            </w:r>
          </w:p>
        </w:tc>
      </w:tr>
    </w:tbl>
    <w:p>
      <w:pPr>
        <w:spacing w:after="100" w:before="0"/>
      </w:pPr>
    </w:p>
    <w:p>
      <w:pPr>
        <w:pStyle w:val="ListParagraph"/>
        <w:keepNext w:val="false"/>
        <w:keepLines/>
        <w:numPr>
          <w:ilvl w:val="0"/>
          <w:numId w:val="2"/>
        </w:numPr>
        <w:spacing w:after="20" w:before="20" w:line="300"/>
      </w:pPr>
      <w:r>
        <w:rPr>
          <w:rFonts w:ascii="Calibri" w:eastAsia="Yu Gothic" w:hAnsi="Calibri"/>
        </w:rPr>
        <w:t xml:space="preserve">“Immediate action not required” in Section 5 of the Draft Project Proposal is met by separating registration (evidence preservation) and taking action (complaints) into different scenarios and screens, and by showing the “last checked date” in the case list (G-15“Reposts (Case List)”).</w:t>
      </w:r>
    </w:p>
    <w:p>
      <w:pPr>
        <w:pStyle w:val="Heading2"/>
      </w:pPr>
      <w:r>
        <w:rPr>
          <w:rFonts w:ascii="Calibri" w:eastAsia="Yu Gothic" w:hAnsi="Calibri"/>
        </w:rPr>
        <w:t xml:space="preserve">2.2 How it works toward deterrence</w:t>
      </w:r>
    </w:p>
    <w:p>
      <w:pPr>
        <w:pStyle w:val="ListParagraph"/>
        <w:keepNext/>
        <w:keepLines/>
        <w:numPr>
          <w:ilvl w:val="0"/>
          <w:numId w:val="2"/>
        </w:numPr>
        <w:spacing w:after="20" w:before="20" w:line="300"/>
      </w:pPr>
      <w:r>
        <w:rPr>
          <w:rFonts w:ascii="Calibri" w:eastAsia="Yu Gothic" w:hAnsi="Calibri"/>
        </w:rPr>
        <w:t xml:space="preserve">Deterrence works when those who repost know that “if I repost, who the Rights Holder is can be known, evidence remains, and complaints can be made to contact points”. The contributions of each chapter are as follows.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5"/>
        <w:gridCol w:w="4757"/>
        <w:gridCol w:w="2996"/>
      </w:tblGrid>
      <w:tr>
        <w:trPr>
          <w:cantSplit/>
          <w:tblHeader/>
        </w:trPr>
        <w:tc>
          <w:tcPr>
            <w:tcW w:type="dxa" w:w="188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What is made known</w:t>
            </w:r>
          </w:p>
        </w:tc>
        <w:tc>
          <w:tcPr>
            <w:tcW w:type="dxa" w:w="475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Mechanism responsible</w:t>
            </w:r>
          </w:p>
        </w:tc>
        <w:tc>
          <w:tcPr>
            <w:tcW w:type="dxa" w:w="299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Chapter</w:t>
            </w:r>
          </w:p>
        </w:tc>
      </w:tr>
      <w:tr>
        <w:trPr>
          <w:cantSplit/>
          <w:tblHeader w:val="off"/>
        </w:trPr>
        <w:tc>
          <w:tcPr>
            <w:tcW w:type="dxa" w:w="1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Who the Rights Holder is</w:t>
            </w:r>
          </w:p>
        </w:tc>
        <w:tc>
          <w:tcPr>
            <w:tcW w:type="dxa" w:w="47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Visible Signature (name, identification number), the signer of the C2PA signature, the notice code on the Notice account</w:t>
            </w:r>
          </w:p>
        </w:tc>
        <w:tc>
          <w:tcPr>
            <w:tcW w:type="dxa" w:w="29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4 “Image Editing and Batch Application”, Chapter 3 “Signing”, Chapter 2 “Signing Information and Matching”</w:t>
            </w:r>
          </w:p>
        </w:tc>
      </w:tr>
      <w:tr>
        <w:trPr>
          <w:cantSplit/>
          <w:tblHeader w:val="off"/>
        </w:trPr>
        <w:tc>
          <w:tcPr>
            <w:tcW w:type="dxa" w:w="1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That unauthorized use is not permitted</w:t>
            </w:r>
          </w:p>
        </w:tc>
        <w:tc>
          <w:tcPr>
            <w:tcW w:type="dxa" w:w="47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Enclosed Document (the opening sentence, D-9-4“The Enclosed Document includes a sentence stating that the images must not be passed to others without permission. Its loss is not due to the fault of the Rights Holder”), the terms of use in the manifest (cawg.metadata), AI training not allowed (cawg.training-mining), the Notice (including the explanation of the meaning of the C2PA mark)</w:t>
            </w:r>
          </w:p>
        </w:tc>
        <w:tc>
          <w:tcPr>
            <w:tcW w:type="dxa" w:w="29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5 “Rights Documents”, Chapter 3 “Signing”</w:t>
            </w:r>
          </w:p>
        </w:tc>
      </w:tr>
      <w:tr>
        <w:trPr>
          <w:cantSplit/>
          <w:tblHeader w:val="off"/>
        </w:trPr>
        <w:tc>
          <w:tcPr>
            <w:tcW w:type="dxa" w:w="1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That it can be traced even if removed</w:t>
            </w:r>
          </w:p>
        </w:tc>
        <w:tc>
          <w:tcPr>
            <w:tcW w:type="dxa" w:w="47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invisible watermark (identification number), the matching hash</w:t>
            </w:r>
          </w:p>
        </w:tc>
        <w:tc>
          <w:tcPr>
            <w:tcW w:type="dxa" w:w="29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3 “Signing”</w:t>
            </w:r>
          </w:p>
        </w:tc>
      </w:tr>
      <w:tr>
        <w:trPr>
          <w:cantSplit/>
          <w:tblHeader w:val="off"/>
        </w:trPr>
        <w:tc>
          <w:tcPr>
            <w:tcW w:type="dxa" w:w="1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That evidence remains</w:t>
            </w:r>
          </w:p>
        </w:tc>
        <w:tc>
          <w:tcPr>
            <w:tcW w:type="dxa" w:w="47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Preservation and timestamps at registration</w:t>
            </w:r>
          </w:p>
        </w:tc>
        <w:tc>
          <w:tcPr>
            <w:tcW w:type="dxa" w:w="29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6 “Registration and Evidence Preservation”</w:t>
            </w:r>
          </w:p>
        </w:tc>
      </w:tr>
      <w:tr>
        <w:trPr>
          <w:cantSplit/>
          <w:tblHeader w:val="off"/>
        </w:trPr>
        <w:tc>
          <w:tcPr>
            <w:tcW w:type="dxa" w:w="1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That complaints can be made</w:t>
            </w:r>
          </w:p>
        </w:tc>
        <w:tc>
          <w:tcPr>
            <w:tcW w:type="dxa" w:w="47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Contact points and model texts, guidance on the public page</w:t>
            </w:r>
          </w:p>
        </w:tc>
        <w:tc>
          <w:tcPr>
            <w:tcW w:type="dxa" w:w="29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7 “Legal Action Guidance”, Chapter 8 “Repository and Data Management”</w:t>
            </w:r>
          </w:p>
        </w:tc>
      </w:tr>
      <w:tr>
        <w:trPr>
          <w:cantSplit/>
          <w:tblHeader w:val="off"/>
        </w:trPr>
        <w:tc>
          <w:tcPr>
            <w:tcW w:type="dxa" w:w="1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That Users increase thanks to a good look (a premise of deterrence)</w:t>
            </w:r>
          </w:p>
        </w:tc>
        <w:tc>
          <w:tcPr>
            <w:tcW w:type="dxa" w:w="47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Screens and design</w:t>
            </w:r>
          </w:p>
        </w:tc>
        <w:tc>
          <w:tcPr>
            <w:tcW w:type="dxa" w:w="29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10 “Screens and Design”</w:t>
            </w:r>
          </w:p>
        </w:tc>
      </w:tr>
    </w:tbl>
    <w:p>
      <w:pPr>
        <w:spacing w:after="100" w:before="0"/>
      </w:pPr>
    </w:p>
    <w:p>
      <w:pPr>
        <w:pStyle w:val="ListParagraph"/>
        <w:keepNext w:val="false"/>
        <w:keepLines/>
        <w:numPr>
          <w:ilvl w:val="0"/>
          <w:numId w:val="2"/>
        </w:numPr>
        <w:spacing w:after="20" w:before="20" w:line="300"/>
      </w:pPr>
      <w:r>
        <w:rPr>
          <w:rFonts w:ascii="Calibri" w:eastAsia="Yu Gothic" w:hAnsi="Calibri"/>
        </w:rPr>
        <w:t xml:space="preserve">Limits of deterrence: on social media where C2PA signatures disappear (Chapter 3, 10.3 “Retention on posting sites and in the cloud”) and for reposts whose location is unknown (Chapter 7, 5 “Identifying the Operator”), deterrence depends on the Visible Signature and invisible watermark. This is declared as a gap in 4.</w:t>
      </w:r>
    </w:p>
    <w:p>
      <w:pPr>
        <w:pStyle w:val="Heading1"/>
      </w:pPr>
      <w:r>
        <w:rPr>
          <w:rFonts w:ascii="Calibri" w:eastAsia="Yu Gothic" w:hAnsi="Calibri"/>
        </w:rPr>
        <w:t xml:space="preserve">3. Consistency (13-3)</w:t>
      </w:r>
    </w:p>
    <w:p>
      <w:pPr>
        <w:pStyle w:val="Heading2"/>
      </w:pPr>
      <w:r>
        <w:rPr>
          <w:rFonts w:ascii="Calibri" w:eastAsia="Yu Gothic" w:hAnsi="Calibri"/>
        </w:rPr>
        <w:t xml:space="preserve">3.1 Threats and countermeasures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96"/>
        <w:gridCol w:w="2580"/>
        <w:gridCol w:w="2580"/>
        <w:gridCol w:w="2582"/>
      </w:tblGrid>
      <w:tr>
        <w:trPr>
          <w:cantSplit/>
          <w:tblHeader/>
        </w:trPr>
        <w:tc>
          <w:tcPr>
            <w:tcW w:type="dxa" w:w="189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Threat</w:t>
            </w:r>
          </w:p>
        </w:tc>
        <w:tc>
          <w:tcPr>
            <w:tcW w:type="dxa" w:w="258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Countermeasure requirements</w:t>
            </w:r>
          </w:p>
        </w:tc>
        <w:tc>
          <w:tcPr>
            <w:tcW w:type="dxa" w:w="258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Countermeasure sections</w:t>
            </w:r>
          </w:p>
        </w:tc>
        <w:tc>
          <w:tcPr>
            <w:tcW w:type="dxa" w:w="258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What remains (numbers of 4)</w:t>
            </w:r>
          </w:p>
        </w:tc>
      </w:tr>
      <w:tr>
        <w:trPr>
          <w:cantSplit/>
          <w:tblHeader w:val="off"/>
        </w:trPr>
        <w:tc>
          <w:tcPr>
            <w:tcW w:type="dxa" w:w="18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T-1“Posing as the Rights Holder to C2PA-sign first or replace the C2PA signature”</w:t>
            </w:r>
          </w:p>
        </w:tc>
        <w:tc>
          <w:tcPr>
            <w:tcW w:type="dxa" w:w="25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R-2-3-1“When prior signing, replacement of signatures, or counter-complaints occur, matching clues can be laid out side by side (without judgment)”, R-2-2-2“Possession of the Original can be used as a clue”</w:t>
            </w:r>
          </w:p>
        </w:tc>
        <w:tc>
          <w:tcPr>
            <w:tcW w:type="dxa" w:w="25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2, 4.4 (clues) and 4.6 (the app does not overwrite others' C2PA signatures)</w:t>
            </w:r>
          </w:p>
        </w:tc>
        <w:tc>
          <w:tcPr>
            <w:tcW w:type="dxa" w:w="25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H-1“Prior C2PA signing, replacement, and counter-complaints by persons posing as the Rights Holder cannot be prevented”</w:t>
            </w:r>
          </w:p>
        </w:tc>
      </w:tr>
      <w:tr>
        <w:trPr>
          <w:cantSplit/>
          <w:tblHeader w:val="off"/>
        </w:trPr>
        <w:tc>
          <w:tcPr>
            <w:tcW w:type="dxa" w:w="18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T-2“Treating the true Rights Holder's post as a repost and complaining to the provider”</w:t>
            </w:r>
          </w:p>
        </w:tc>
        <w:tc>
          <w:tcPr>
            <w:tcW w:type="dxa" w:w="25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R-2-3-3“From the clues, the true Rights Holder can see what actions are possible (Chapter 7)”, R-6-6-2“The handling of registering a repost that is not the User's own work is determined”</w:t>
            </w:r>
          </w:p>
        </w:tc>
        <w:tc>
          <w:tcPr>
            <w:tcW w:type="dxa" w:w="25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2, 4.4 “Clues when a person posing as the Rights Holder appears”, Chapter 7 “Legal Action Guidance”</w:t>
            </w:r>
          </w:p>
        </w:tc>
        <w:tc>
          <w:tcPr>
            <w:tcW w:type="dxa" w:w="25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H-1“Prior C2PA signing, replacement, and counter-complaints by persons posing as the Rights Holder cannot be prevented”</w:t>
            </w:r>
          </w:p>
        </w:tc>
      </w:tr>
      <w:tr>
        <w:trPr>
          <w:cantSplit/>
          <w:tblHeader w:val="off"/>
        </w:trPr>
        <w:tc>
          <w:tcPr>
            <w:tcW w:type="dxa" w:w="18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T-3“Distributing a fake app”</w:t>
            </w:r>
          </w:p>
        </w:tc>
        <w:tc>
          <w:tcPr>
            <w:tcW w:type="dxa" w:w="25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R-9-2-1“It can be distinguished from fake apps”</w:t>
            </w:r>
          </w:p>
        </w:tc>
        <w:tc>
          <w:tcPr>
            <w:tcW w:type="dxa" w:w="25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9, DD-9-3“Official builds are identified by the code-signing publisher and SHA-256”, 3 “Proof of the Official Version”, Chapter 10, G-23“About This App”</w:t>
            </w:r>
          </w:p>
        </w:tc>
        <w:tc>
          <w:tcPr>
            <w:tcW w:type="dxa" w:w="25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H-15“Fake apps obtained outside the README cannot be prevented; SmartScreen may warn early even for code-signed builds”</w:t>
            </w:r>
          </w:p>
        </w:tc>
      </w:tr>
      <w:tr>
        <w:trPr>
          <w:cantSplit/>
          <w:tblHeader w:val="off"/>
        </w:trPr>
        <w:tc>
          <w:tcPr>
            <w:tcW w:type="dxa" w:w="18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T-4“Stealing a User's signing key to C2PA-sign”</w:t>
            </w:r>
          </w:p>
        </w:tc>
        <w:tc>
          <w:tcPr>
            <w:tcW w:type="dxa" w:w="25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R-2-6-1“They are stored safely and protected during processing”, R-2-6-2“On loss or leak, the key can be remade and the Notice re-posted, and the handling of past signatures is determined”</w:t>
            </w:r>
          </w:p>
        </w:tc>
        <w:tc>
          <w:tcPr>
            <w:tcW w:type="dxa" w:w="25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2, 7 “Signing Keys”</w:t>
            </w:r>
          </w:p>
        </w:tc>
        <w:tc>
          <w:tcPr>
            <w:tcW w:type="dxa" w:w="25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H-13“If the device is fully compromised, C2PA signing until the key is remade cannot be prevented; signatures with a leaked key are shown valid until the old personal root expires (up to 40 years)”</w:t>
            </w:r>
          </w:p>
        </w:tc>
      </w:tr>
      <w:tr>
        <w:trPr>
          <w:cantSplit/>
          <w:tblHeader w:val="off"/>
        </w:trPr>
        <w:tc>
          <w:tcPr>
            <w:tcW w:type="dxa" w:w="18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T-5“Stealing and reading a backup file”</w:t>
            </w:r>
          </w:p>
        </w:tc>
        <w:tc>
          <w:tcPr>
            <w:tcW w:type="dxa" w:w="25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R-8-4-1“Tampering can be detected, history remains, and recovery from exports is possible”</w:t>
            </w:r>
          </w:p>
        </w:tc>
        <w:tc>
          <w:tcPr>
            <w:tcW w:type="dxa" w:w="25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8, 5 (encryption with a passphrase)</w:t>
            </w:r>
          </w:p>
        </w:tc>
        <w:tc>
          <w:tcPr>
            <w:tcW w:type="dxa" w:w="25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H-14“Records, evidence, and signing keys exist only on the User's device; losing the device without a backup loses them; weak backup passphrases can be stolen; a forgotten passphrase cannot be recovered”</w:t>
            </w:r>
          </w:p>
        </w:tc>
      </w:tr>
      <w:tr>
        <w:trPr>
          <w:cantSplit/>
          <w:tblHeader w:val="off"/>
        </w:trPr>
        <w:tc>
          <w:tcPr>
            <w:tcW w:type="dxa" w:w="18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T-6“Rewriting records on the device”</w:t>
            </w:r>
          </w:p>
        </w:tc>
        <w:tc>
          <w:tcPr>
            <w:tcW w:type="dxa" w:w="25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R-8-4-1“Tampering can be detected, history remains, and recovery from exports is possible”</w:t>
            </w:r>
          </w:p>
        </w:tc>
        <w:tc>
          <w:tcPr>
            <w:tcW w:type="dxa" w:w="25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 DD-1-5“Device records carry record signatures and are verified”, Chapter 8, 4 “Integrity”</w:t>
            </w:r>
          </w:p>
        </w:tc>
        <w:tc>
          <w:tcPr>
            <w:tcW w:type="dxa" w:w="25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H-13“If the device is fully compromised, C2PA signing until the key is remade cannot be prevented; signatures with a leaked key are shown valid until the old personal root expires (up to 40 years)” (if the signing key is taken too, rewriting of records cannot be told apart either)</w:t>
            </w:r>
          </w:p>
        </w:tc>
      </w:tr>
      <w:tr>
        <w:trPr>
          <w:cantSplit/>
          <w:tblHeader w:val="off"/>
        </w:trPr>
        <w:tc>
          <w:tcPr>
            <w:tcW w:type="dxa" w:w="18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T-7“Distributing fake reference information or updates”</w:t>
            </w:r>
          </w:p>
        </w:tc>
        <w:tc>
          <w:tcPr>
            <w:tcW w:type="dxa" w:w="25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R-9-3-3“There is a provision for when the update route is taken over”, R-5-3-2“Updates can be delivered to Users (distribution of reference information; 1-3)”, R-7-1-2“Changes in contact points can be followed (distribution of reference information; 1-3)”, R-8-1-2“Reference information and updates of modified versions can be distinguished from official ones”</w:t>
            </w:r>
          </w:p>
        </w:tc>
        <w:tc>
          <w:tcPr>
            <w:tcW w:type="dxa" w:w="25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9, DD-9-4“The update signing key stays outside CI; code-signing credentials are CI secrets”, 4 “Declaration of Gaps (13-4)”, Chapter 1, DD-1-6“NRSD signs reference information and places it in the Public Repository and the mirror”</w:t>
            </w:r>
          </w:p>
        </w:tc>
        <w:tc>
          <w:tcPr>
            <w:tcW w:type="dxa" w:w="25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H-16“If the update signing key leaks, existing Users reinstall by hand”</w:t>
            </w:r>
          </w:p>
        </w:tc>
      </w:tr>
      <w:tr>
        <w:trPr>
          <w:cantSplit/>
          <w:tblHeader w:val="off"/>
        </w:trPr>
        <w:tc>
          <w:tcPr>
            <w:tcW w:type="dxa" w:w="18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T-8“Stealing NRSD's keys”</w:t>
            </w:r>
          </w:p>
        </w:tc>
        <w:tc>
          <w:tcPr>
            <w:tcW w:type="dxa" w:w="25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R-1-10-2“The operator functions themselves do not become a path for fake updates or fake reference information”</w:t>
            </w:r>
          </w:p>
        </w:tc>
        <w:tc>
          <w:tcPr>
            <w:tcW w:type="dxa" w:w="25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 19 “Operator Tool”, Chapter 9, DD-9-4“The update signing key stays outside CI; code-signing credentials are CI secrets”</w:t>
            </w:r>
          </w:p>
        </w:tc>
        <w:tc>
          <w:tcPr>
            <w:tcW w:type="dxa" w:w="25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H-22“If NRSD's keys (update, reference information) are stolen, fake updates or reference information may be distributed”</w:t>
            </w:r>
          </w:p>
        </w:tc>
      </w:tr>
      <w:tr>
        <w:trPr>
          <w:cantSplit/>
          <w:tblHeader w:val="off"/>
        </w:trPr>
        <w:tc>
          <w:tcPr>
            <w:tcW w:type="dxa" w:w="18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T-9“Touching malicious content when fetching repost pages”</w:t>
            </w:r>
          </w:p>
        </w:tc>
        <w:tc>
          <w:tcPr>
            <w:tcW w:type="dxa" w:w="25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R-6-2-2“There are provisions for failures to obtain and for malicious sites”</w:t>
            </w:r>
          </w:p>
        </w:tc>
        <w:tc>
          <w:tcPr>
            <w:tcW w:type="dxa" w:w="25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6, DD-6-1“Repost pages are fetched without running scripts”, 2.2 “Fetching without running scripts”</w:t>
            </w:r>
          </w:p>
        </w:tc>
        <w:tc>
          <w:tcPr>
            <w:tcW w:type="dxa" w:w="25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H-33“Unknown vulnerabilities in components cannot be prevented until disclosed” (the danger when Users view reposted pages in their own browsers is outside the System)</w:t>
            </w:r>
          </w:p>
        </w:tc>
      </w:tr>
      <w:tr>
        <w:trPr>
          <w:cantSplit/>
          <w:tblHeader w:val="off"/>
        </w:trPr>
        <w:tc>
          <w:tcPr>
            <w:tcW w:type="dxa" w:w="18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T-10“Fake timestamp responses”</w:t>
            </w:r>
          </w:p>
        </w:tc>
        <w:tc>
          <w:tcPr>
            <w:tcW w:type="dxa" w:w="25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R-3-3-1“The TSA (considering TSAs in China as well) is determined”</w:t>
            </w:r>
          </w:p>
        </w:tc>
        <w:tc>
          <w:tcPr>
            <w:tcW w:type="dxa" w:w="25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3, 4 “Trusted Timestamps” (verification of the certificate chain)</w:t>
            </w:r>
          </w:p>
        </w:tc>
        <w:tc>
          <w:tcPr>
            <w:tcW w:type="dxa" w:w="25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18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T-11“Tampering with imported templates or backup files”</w:t>
            </w:r>
          </w:p>
        </w:tc>
        <w:tc>
          <w:tcPr>
            <w:tcW w:type="dxa" w:w="25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R-4-1-4“Imported assets are handled safely”, R-8-4-1“Tampering can be detected, history remains, and recovery from exports is possible”</w:t>
            </w:r>
          </w:p>
        </w:tc>
        <w:tc>
          <w:tcPr>
            <w:tcW w:type="dxa" w:w="25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4, 8.3 “Passing on (export and import)”, Chapter 8, 5.3 “How it is restored (import)”, Chapter 1, 10.6 “Validation of inputs from outside”</w:t>
            </w:r>
          </w:p>
        </w:tc>
        <w:tc>
          <w:tcPr>
            <w:tcW w:type="dxa" w:w="25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18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T-12“NRSD later denying the content of reference information it distributed”</w:t>
            </w:r>
          </w:p>
        </w:tc>
        <w:tc>
          <w:tcPr>
            <w:tcW w:type="dxa" w:w="25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R-5-3-1“Who wrote it, who checked it, and which version it is can be known”</w:t>
            </w:r>
          </w:p>
        </w:tc>
        <w:tc>
          <w:tcPr>
            <w:tcW w:type="dxa" w:w="25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 7.5 “Fetching reference information” (versions and record signatures are kept on the device)</w:t>
            </w:r>
          </w:p>
        </w:tc>
        <w:tc>
          <w:tcPr>
            <w:tcW w:type="dxa" w:w="25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18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T-13“Fetching repost pages shows the User's IP address to the other site”</w:t>
            </w:r>
          </w:p>
        </w:tc>
        <w:tc>
          <w:tcPr>
            <w:tcW w:type="dxa" w:w="25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R-6-2-2“There are provisions for failures to obtain and for malicious sites”</w:t>
            </w:r>
          </w:p>
        </w:tc>
        <w:tc>
          <w:tcPr>
            <w:tcW w:type="dxa" w:w="25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 4.2 “Communication with the outside”, Chapter 10, 3.6 “List of confirmation dialogs”</w:t>
            </w:r>
          </w:p>
        </w:tc>
        <w:tc>
          <w:tcPr>
            <w:tcW w:type="dxa" w:w="25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H-26“Taking a record of the repost page (the Registration default) shows the User's IP address to the other site”</w:t>
            </w:r>
          </w:p>
        </w:tc>
      </w:tr>
      <w:tr>
        <w:trPr>
          <w:cantSplit/>
          <w:tblHeader w:val="off"/>
        </w:trPr>
        <w:tc>
          <w:tcPr>
            <w:tcW w:type="dxa" w:w="18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T-14“Keys, evidence, or personal information appearing in the operation log”</w:t>
            </w:r>
          </w:p>
        </w:tc>
        <w:tc>
          <w:tcPr>
            <w:tcW w:type="dxa" w:w="25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R-1-7-1“Scale and performance targets, handling of failures, records (operation logs), version compatibility, and handling of time are common to all chapters” (a requirement to make the handling of records common; the Outline Design Document has no requirement aimed at this threat)</w:t>
            </w:r>
          </w:p>
        </w:tc>
        <w:tc>
          <w:tcPr>
            <w:tcW w:type="dxa" w:w="25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 10.4 “Operation log”</w:t>
            </w:r>
          </w:p>
        </w:tc>
        <w:tc>
          <w:tcPr>
            <w:tcW w:type="dxa" w:w="25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18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T-15“Huge images and decompression bombs (images, templates, backup ZIPs)”</w:t>
            </w:r>
          </w:p>
        </w:tc>
        <w:tc>
          <w:tcPr>
            <w:tcW w:type="dxa" w:w="25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R-3-1-2“Broken images, huge images, and images that already have a signature can be handled safely”</w:t>
            </w:r>
          </w:p>
        </w:tc>
        <w:tc>
          <w:tcPr>
            <w:tcW w:type="dxa" w:w="25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 10.6 “Validation of inputs from outside”, Chapter 8, 5.3 “How it is restored (import)”</w:t>
            </w:r>
          </w:p>
        </w:tc>
        <w:tc>
          <w:tcPr>
            <w:tcW w:type="dxa" w:w="25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18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T-16“Huge responses, repeated redirects, and delayed responses from repost pages”</w:t>
            </w:r>
          </w:p>
        </w:tc>
        <w:tc>
          <w:tcPr>
            <w:tcW w:type="dxa" w:w="25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R-6-2-2“There are provisions for failures to obtain and for malicious sites”</w:t>
            </w:r>
          </w:p>
        </w:tc>
        <w:tc>
          <w:tcPr>
            <w:tcW w:type="dxa" w:w="25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 4.2 “Communication with the outside” (timeouts and limits)</w:t>
            </w:r>
          </w:p>
        </w:tc>
        <w:tc>
          <w:tcPr>
            <w:tcW w:type="dxa" w:w="25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18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T-17“External text displayed on screen triggering screen commands”</w:t>
            </w:r>
          </w:p>
        </w:tc>
        <w:tc>
          <w:tcPr>
            <w:tcW w:type="dxa" w:w="25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Outline Design Document has no requirement aimed at this threat. It is listed in the list of threats (R-1-4-2“There is a list of threats (impersonation, fake apps, key theft, tampering)”), and countermeasures were set in the basic design</w:t>
            </w:r>
          </w:p>
        </w:tc>
        <w:tc>
          <w:tcPr>
            <w:tcW w:type="dxa" w:w="25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 6.2 “Between the screen and the core”</w:t>
            </w:r>
          </w:p>
        </w:tc>
        <w:tc>
          <w:tcPr>
            <w:tcW w:type="dxa" w:w="25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18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T-18“Calling commands from the screen that read or write arbitrary files”</w:t>
            </w:r>
          </w:p>
        </w:tc>
        <w:tc>
          <w:tcPr>
            <w:tcW w:type="dxa" w:w="25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Outline Design Document has no requirement aimed at this threat. It is listed in the list of threats (R-1-4-2“There is a list of threats (impersonation, fake apps, key theft, tampering)”), and countermeasures were set in the basic design</w:t>
            </w:r>
          </w:p>
        </w:tc>
        <w:tc>
          <w:tcPr>
            <w:tcW w:type="dxa" w:w="25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 6.2 “Between the screen and the core” (permission of commands, range of files)</w:t>
            </w:r>
          </w:p>
        </w:tc>
        <w:tc>
          <w:tcPr>
            <w:tcW w:type="dxa" w:w="25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18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T-19“Exploiting vulnerabilities in the app core with malicious fonts or images”</w:t>
            </w:r>
          </w:p>
        </w:tc>
        <w:tc>
          <w:tcPr>
            <w:tcW w:type="dxa" w:w="25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R-4-1-4“Imported assets are handled safely”</w:t>
            </w:r>
          </w:p>
        </w:tc>
        <w:tc>
          <w:tcPr>
            <w:tcW w:type="dxa" w:w="25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 10.6 “Validation of inputs from outside”, Chapter 4, 5 “Image Layers”, 6.4 “Imported fonts”</w:t>
            </w:r>
          </w:p>
        </w:tc>
        <w:tc>
          <w:tcPr>
            <w:tcW w:type="dxa" w:w="25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H-33“Unknown vulnerabilities in components cannot be prevented until disclosed”</w:t>
            </w:r>
          </w:p>
        </w:tc>
      </w:tr>
      <w:tr>
        <w:trPr>
          <w:cantSplit/>
          <w:tblHeader w:val="off"/>
        </w:trPr>
        <w:tc>
          <w:tcPr>
            <w:tcW w:type="dxa" w:w="18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T-20“Keep returning old valid reference packages or rolling back versions (freeze, rollback)”</w:t>
            </w:r>
          </w:p>
        </w:tc>
        <w:tc>
          <w:tcPr>
            <w:tcW w:type="dxa" w:w="25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R-8-1-2“Reference information and updates of modified versions can be distinguished from official ones”</w:t>
            </w:r>
          </w:p>
        </w:tc>
        <w:tc>
          <w:tcPr>
            <w:tcW w:type="dxa" w:w="25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8, 3.4 “Reference information package”</w:t>
            </w:r>
          </w:p>
        </w:tc>
        <w:tc>
          <w:tcPr>
            <w:tcW w:type="dxa" w:w="25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H-39“If distribution of reference information is stopped (frozen), new contact points do not arrive”</w:t>
            </w:r>
          </w:p>
        </w:tc>
      </w:tr>
      <w:tr>
        <w:trPr>
          <w:cantSplit/>
          <w:tblHeader w:val="off"/>
        </w:trPr>
        <w:tc>
          <w:tcPr>
            <w:tcW w:type="dxa" w:w="18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T-21“Fetch requests for repost pages reveal to the Reposter that evidence is being collected”</w:t>
            </w:r>
          </w:p>
        </w:tc>
        <w:tc>
          <w:tcPr>
            <w:tcW w:type="dxa" w:w="25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R-6-2-2“There are provisions for failures to obtain and for malicious sites”</w:t>
            </w:r>
          </w:p>
        </w:tc>
        <w:tc>
          <w:tcPr>
            <w:tcW w:type="dxa" w:w="25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6, 2.2 “Fetching without running scripts”</w:t>
            </w:r>
          </w:p>
        </w:tc>
        <w:tc>
          <w:tcPr>
            <w:tcW w:type="dxa" w:w="25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H-26“Taking a record of the repost page (the Registration default) shows the User's IP address to the other site”</w:t>
            </w:r>
          </w:p>
        </w:tc>
      </w:tr>
      <w:tr>
        <w:trPr>
          <w:cantSplit/>
          <w:tblHeader w:val="off"/>
        </w:trPr>
        <w:tc>
          <w:tcPr>
            <w:tcW w:type="dxa" w:w="18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T-22“Taking over CI or the GitHub organization to place correctly code-signed fake builds in official releases”</w:t>
            </w:r>
          </w:p>
        </w:tc>
        <w:tc>
          <w:tcPr>
            <w:tcW w:type="dxa" w:w="25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R-9-2-1“It can be distinguished from fake apps”, R-9-2-2“The keys used for releases are protected”</w:t>
            </w:r>
          </w:p>
        </w:tc>
        <w:tc>
          <w:tcPr>
            <w:tcW w:type="dxa" w:w="25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 8.5 “List of secrets”, Chapter 8, 3.5 “Protection of the GitHub account and repository”, Chapter 11, 8.3 “Handling of secrets”</w:t>
            </w:r>
          </w:p>
        </w:tc>
        <w:tc>
          <w:tcPr>
            <w:tcW w:type="dxa" w:w="25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H-44“If CI or the GitHub organization is taken over, correctly code-signed fake builds may be placed in official releases”</w:t>
            </w:r>
          </w:p>
        </w:tc>
      </w:tr>
      <w:tr>
        <w:trPr>
          <w:cantSplit/>
          <w:tblHeader w:val="off"/>
        </w:trPr>
        <w:tc>
          <w:tcPr>
            <w:tcW w:type="dxa" w:w="18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T-23“Rewriting the public page's “Check notice code” page to show a fake notice code”</w:t>
            </w:r>
          </w:p>
        </w:tc>
        <w:tc>
          <w:tcPr>
            <w:tcW w:type="dxa" w:w="25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R-2-2-1“There is a means by which anyone can confirm the link between the signer and the Rights Holder of the photograph by matching with the Notice account”</w:t>
            </w:r>
          </w:p>
        </w:tc>
        <w:tc>
          <w:tcPr>
            <w:tcW w:type="dxa" w:w="25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8, 3.3 “Public page (decision on O-05“Content of the public page”)”, 3.5 “Protection of the GitHub account and repository”. The same computation can also be done in the app's G-13“Verify”, and the method of computing the notice code is public (Chapter 2, 2.4 “How the notice code is made”), so viewers can check by other means</w:t>
            </w:r>
          </w:p>
        </w:tc>
        <w:tc>
          <w:tcPr>
            <w:tcW w:type="dxa" w:w="25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H-44“If CI or the GitHub organization is taken over, correctly code-signed fake builds may be placed in official releases” (the public page is also inside the same organization)</w:t>
            </w:r>
          </w:p>
        </w:tc>
      </w:tr>
    </w:tbl>
    <w:p>
      <w:pPr>
        <w:spacing w:after="100" w:before="0"/>
      </w:pPr>
    </w:p>
    <w:p>
      <w:pPr>
        <w:pStyle w:val="Heading2"/>
      </w:pPr>
      <w:r>
        <w:rPr>
          <w:rFonts w:ascii="Calibri" w:eastAsia="Yu Gothic" w:hAnsi="Calibri"/>
        </w:rPr>
        <w:t xml:space="preserve">3.2 Dependency table</w:t>
      </w:r>
    </w:p>
    <w:p>
      <w:pPr>
        <w:pStyle w:val="ListParagraph"/>
        <w:keepNext/>
        <w:keepLines/>
        <w:numPr>
          <w:ilvl w:val="0"/>
          <w:numId w:val="2"/>
        </w:numPr>
        <w:spacing w:after="20" w:before="20" w:line="300"/>
      </w:pPr>
      <w:r>
        <w:rPr>
          <w:rFonts w:ascii="Calibri" w:eastAsia="Yu Gothic" w:hAnsi="Calibri"/>
        </w:rPr>
        <w:t xml:space="preserve">There are 15 pairs that the dependency table of the Outline Design Document 1-9 lists as “mutually dependent”. The handling of each pair is as follows, and in every pair both chapters refer to each other.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76"/>
        <w:gridCol w:w="7562"/>
      </w:tblGrid>
      <w:tr>
        <w:trPr>
          <w:cantSplit/>
          <w:tblHeader/>
        </w:trPr>
        <w:tc>
          <w:tcPr>
            <w:tcW w:type="dxa" w:w="207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Pair</w:t>
            </w:r>
          </w:p>
        </w:tc>
        <w:tc>
          <w:tcPr>
            <w:tcW w:type="dxa" w:w="756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Handling</w:t>
            </w:r>
          </w:p>
        </w:tc>
      </w:tr>
      <w:tr>
        <w:trPr>
          <w:cantSplit/>
          <w:tblHeader w:val="off"/>
        </w:trPr>
        <w:tc>
          <w:tcPr>
            <w:tcW w:type="dxa" w:w="20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Chapters 2 and 8</w:t>
            </w:r>
          </w:p>
        </w:tc>
        <w:tc>
          <w:tcPr>
            <w:tcW w:type="dxa" w:w="75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Designed together (first round)</w:t>
            </w:r>
          </w:p>
        </w:tc>
      </w:tr>
      <w:tr>
        <w:trPr>
          <w:cantSplit/>
          <w:tblHeader w:val="off"/>
        </w:trPr>
        <w:tc>
          <w:tcPr>
            <w:tcW w:type="dxa" w:w="20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Chapters 3 and 11, Chapters 4 and 11</w:t>
            </w:r>
          </w:p>
        </w:tc>
        <w:tc>
          <w:tcPr>
            <w:tcW w:type="dxa" w:w="75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Designed back and forth (first round; the outline of Chapter 11 was placed first, and Chapter 11 was revised after Chapters 3 and 4)</w:t>
            </w:r>
          </w:p>
        </w:tc>
      </w:tr>
      <w:tr>
        <w:trPr>
          <w:cantSplit/>
          <w:tblHeader w:val="off"/>
        </w:trPr>
        <w:tc>
          <w:tcPr>
            <w:tcW w:type="dxa" w:w="20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Chapters 3 and 5</w:t>
            </w:r>
          </w:p>
        </w:tc>
        <w:tc>
          <w:tcPr>
            <w:tcW w:type="dxa" w:w="75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3 was designed first, and after designing Chapter 5, Chapter 3 (recording the Permitted Scope in the manifest) was revised in the second round</w:t>
            </w:r>
          </w:p>
        </w:tc>
      </w:tr>
      <w:tr>
        <w:trPr>
          <w:cantSplit/>
          <w:tblHeader w:val="off"/>
        </w:trPr>
        <w:tc>
          <w:tcPr>
            <w:tcW w:type="dxa" w:w="20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Chapters 6 and 8</w:t>
            </w:r>
          </w:p>
        </w:tc>
        <w:tc>
          <w:tcPr>
            <w:tcW w:type="dxa" w:w="75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8 was designed first, and after designing Chapter 6, Chapter 8 (where evidence is kept and capacity) was revised in the second round</w:t>
            </w:r>
          </w:p>
        </w:tc>
      </w:tr>
      <w:tr>
        <w:trPr>
          <w:cantSplit/>
          <w:tblHeader w:val="off"/>
        </w:trPr>
        <w:tc>
          <w:tcPr>
            <w:tcW w:type="dxa" w:w="20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Chapters 10 and 12</w:t>
            </w:r>
          </w:p>
        </w:tc>
        <w:tc>
          <w:tcPr>
            <w:tcW w:type="dxa" w:w="75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Designed together (at the end of the first round)</w:t>
            </w:r>
          </w:p>
        </w:tc>
      </w:tr>
      <w:tr>
        <w:trPr>
          <w:cantSplit/>
          <w:tblHeader w:val="off"/>
        </w:trPr>
        <w:tc>
          <w:tcPr>
            <w:tcW w:type="dxa" w:w="20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10 and Chapters 2, 4, 5, 7</w:t>
            </w:r>
          </w:p>
        </w:tc>
        <w:tc>
          <w:tcPr>
            <w:tcW w:type="dxa" w:w="75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10 was designed last, and in the second round the sections on the relation to screens in each chapter were revised</w:t>
            </w:r>
          </w:p>
        </w:tc>
      </w:tr>
      <w:tr>
        <w:trPr>
          <w:cantSplit/>
          <w:tblHeader w:val="off"/>
        </w:trPr>
        <w:tc>
          <w:tcPr>
            <w:tcW w:type="dxa" w:w="20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12 and Chapters 2, 3, 5, 6, 7</w:t>
            </w:r>
          </w:p>
        </w:tc>
        <w:tc>
          <w:tcPr>
            <w:tcW w:type="dxa" w:w="75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12 was designed last, and in the second round the legal references in each chapter were revised</w:t>
            </w:r>
          </w:p>
        </w:tc>
      </w:tr>
    </w:tbl>
    <w:p>
      <w:pPr>
        <w:spacing w:after="100" w:before="0"/>
      </w:pPr>
    </w:p>
    <w:p>
      <w:pPr>
        <w:pStyle w:val="ListParagraph"/>
        <w:keepNext w:val="false"/>
        <w:keepLines/>
        <w:numPr>
          <w:ilvl w:val="0"/>
          <w:numId w:val="2"/>
        </w:numPr>
        <w:spacing w:after="20" w:before="20" w:line="300"/>
      </w:pPr>
      <w:r>
        <w:rPr>
          <w:rFonts w:ascii="Calibri" w:eastAsia="Yu Gothic" w:hAnsi="Calibri"/>
        </w:rPr>
        <w:t xml:space="preserve">Chapter 10 “Screens and Design” and Chapter 12 “Interface with Legal” receive the requirements of all chapters. 10 and 12 have been added to the “chapters depended on” of each chapter of the Outline Design Document.</w:t>
      </w:r>
    </w:p>
    <w:p>
      <w:pPr>
        <w:pStyle w:val="Heading2"/>
      </w:pPr>
      <w:r>
        <w:rPr>
          <w:rFonts w:ascii="Calibri" w:eastAsia="Yu Gothic" w:hAnsi="Calibri"/>
        </w:rPr>
        <w:t xml:space="preserve">3.3 Location of data and responsibilities</w:t>
      </w:r>
    </w:p>
    <w:p>
      <w:pPr>
        <w:pStyle w:val="ListParagraph"/>
        <w:keepNext/>
        <w:keepLines/>
        <w:numPr>
          <w:ilvl w:val="0"/>
          <w:numId w:val="2"/>
        </w:numPr>
        <w:spacing w:after="20" w:before="20" w:line="300"/>
      </w:pPr>
      <w:r>
        <w:rPr>
          <w:rFonts w:ascii="Calibri" w:eastAsia="Yu Gothic" w:hAnsi="Calibri"/>
        </w:rPr>
        <w:t xml:space="preserve">In the list of data of Chapter 1, 8.1 “List of data”, the origin, storage location, scope of publication, and writer of each piece of data are each decided uniquely.</w:t>
      </w:r>
    </w:p>
    <w:p>
      <w:pPr>
        <w:pStyle w:val="ListParagraph"/>
        <w:keepNext w:val="false"/>
        <w:keepLines/>
        <w:numPr>
          <w:ilvl w:val="0"/>
          <w:numId w:val="2"/>
        </w:numPr>
        <w:spacing w:after="20" w:before="20" w:line="300"/>
      </w:pPr>
      <w:r>
        <w:rPr>
          <w:rFonts w:ascii="Calibri" w:eastAsia="Yu Gothic" w:hAnsi="Calibri"/>
        </w:rPr>
        <w:t xml:space="preserve">All NRSD holds are the content of the Public Repository, the update and reference-information keys, code signing credentials (Artifact Signing signing permissions, the Developer ID certificate, the notarization API key), the write key of the Hong Kong mirror, and the owner accounts of the GitHub organization (Chapter 1, 8.5 “List of secrets”). Users' information and records do not reach NRSD (Chapter 8, 2.2 “Not leaving the device”). Feedback e-mails reach NRSD only when Users send them themselves (Chapter 10, 9 “Feedback Channel”).</w:t>
      </w:r>
    </w:p>
    <w:p>
      <w:pPr>
        <w:pStyle w:val="Heading2"/>
      </w:pPr>
      <w:r>
        <w:rPr>
          <w:rFonts w:ascii="Calibri" w:eastAsia="Yu Gothic" w:hAnsi="Calibri"/>
        </w:rPr>
        <w:t xml:space="preserve">3.4 Scope lines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Line</w:t>
            </w:r>
          </w:p>
        </w:tc>
        <w:tc>
          <w:tcPr>
            <w:tcW w:type="dxa" w:w="481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Basis that it is not crossed</w:t>
            </w:r>
          </w:p>
        </w:tc>
      </w:tr>
      <w:tr>
        <w:trPr>
          <w:cantSplit/>
          <w:tblHeader w:val="off"/>
        </w:trPr>
        <w:tc>
          <w:tcPr>
            <w:tcW w:type="dxa" w:w="4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Does not handle the rights of the original works (Outline Design Document “What the System protects and does not protect”)</w:t>
            </w:r>
          </w:p>
        </w:tc>
        <w:tc>
          <w:tcPr>
            <w:tcW w:type="dxa" w:w="4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12, 4.1 (purpose of the terms), Chapter 10, 6.1 (guidance in G-01“Welcome”), Legal L-29“Commissioning design and characters (Japan)” (the character does not imitate existing works)</w:t>
            </w:r>
          </w:p>
        </w:tc>
      </w:tr>
      <w:tr>
        <w:trPr>
          <w:cantSplit/>
          <w:tblHeader w:val="off"/>
        </w:trPr>
        <w:tc>
          <w:tcPr>
            <w:tcW w:type="dxa" w:w="4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Does not handle sales management (D-2-5“Sales management is not handled. Anyone who needs it shall fork and modify the System, and NRSD takes no part in the results”)</w:t>
            </w:r>
          </w:p>
        </w:tc>
        <w:tc>
          <w:tcPr>
            <w:tcW w:type="dxa" w:w="4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5, 5 (holds no purchaser information)</w:t>
            </w:r>
          </w:p>
        </w:tc>
      </w:tr>
      <w:tr>
        <w:trPr>
          <w:cantSplit/>
          <w:tblHeader w:val="off"/>
        </w:trPr>
        <w:tc>
          <w:tcPr>
            <w:tcW w:type="dxa" w:w="4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Does no automated detection (D-2-4“Automated detection shall be a separate design plan”)</w:t>
            </w:r>
          </w:p>
        </w:tc>
        <w:tc>
          <w:tcPr>
            <w:tcW w:type="dxa" w:w="4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6, 6.2 (fetched only when pressed)</w:t>
            </w:r>
          </w:p>
        </w:tc>
      </w:tr>
      <w:tr>
        <w:trPr>
          <w:cantSplit/>
          <w:tblHeader w:val="off"/>
        </w:trPr>
        <w:tc>
          <w:tcPr>
            <w:tcW w:type="dxa" w:w="4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Does not make legal judgments or act as agent (D-2-6“Representation in legal proceedings and legal judgment are not performed”)</w:t>
            </w:r>
          </w:p>
        </w:tc>
        <w:tc>
          <w:tcPr>
            <w:tcW w:type="dxa" w:w="4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All design decisions of Chapter 7 “Legal Action Guidance”, Chapter 12, 3.2 (does not make registration applications)</w:t>
            </w:r>
          </w:p>
        </w:tc>
      </w:tr>
      <w:tr>
        <w:trPr>
          <w:cantSplit/>
          <w:tblHeader w:val="off"/>
        </w:trPr>
        <w:tc>
          <w:tcPr>
            <w:tcW w:type="dxa" w:w="4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Not built as a website (D-6-2“The System shall not be built as a website”)</w:t>
            </w:r>
          </w:p>
        </w:tc>
        <w:tc>
          <w:tcPr>
            <w:tcW w:type="dxa" w:w="4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 DD-1-2“NRSD has no servers and receives no User information (except feedback e-mails Users send themselves)” (no servers), Chapter 10, DD-10-6“Feedback is sent by the User from their own e-mail” (no external forms)</w:t>
            </w:r>
          </w:p>
        </w:tc>
      </w:tr>
      <w:tr>
        <w:trPr>
          <w:cantSplit/>
          <w:tblHeader w:val="off"/>
        </w:trPr>
        <w:tc>
          <w:tcPr>
            <w:tcW w:type="dxa" w:w="4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 desktop app for three OSes (D-6-1“The Client App shall be a desktop application running on Windows, macOS, and Linux”)</w:t>
            </w:r>
          </w:p>
        </w:tc>
        <w:tc>
          <w:tcPr>
            <w:tcW w:type="dxa" w:w="4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9, 2 (Windows, macOS, Linux)</w:t>
            </w:r>
          </w:p>
        </w:tc>
      </w:tr>
      <w:tr>
        <w:trPr>
          <w:cantSplit/>
          <w:tblHeader w:val="off"/>
        </w:trPr>
        <w:tc>
          <w:tcPr>
            <w:tcW w:type="dxa" w:w="4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public page carries no information usable for impersonation (D-12-4“The public page is viewable and not editable, and information that could be used for impersonation is not posted on it”)</w:t>
            </w:r>
          </w:p>
        </w:tc>
        <w:tc>
          <w:tcPr>
            <w:tcW w:type="dxa" w:w="4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8, 3.3 “Public page (decision on O-05“Content of the public page”)”. The “Check notice code” page is a static page that reads images only within the browser and sends them nowhere, and it carries no User information. The threat of rewriting the page is dealt with in T-23“Rewriting the public page's “Check notice code” page to show a fake notice code”</w:t>
            </w:r>
          </w:p>
        </w:tc>
      </w:tr>
      <w:tr>
        <w:trPr>
          <w:cantSplit/>
          <w:tblHeader w:val="off"/>
        </w:trPr>
        <w:tc>
          <w:tcPr>
            <w:tcW w:type="dxa" w:w="4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Does not collect Users' information (D-5-1“The System does not confirm Users and collects no User information. No registration is required in order to use the System”)</w:t>
            </w:r>
          </w:p>
        </w:tc>
        <w:tc>
          <w:tcPr>
            <w:tcW w:type="dxa" w:w="4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 DD-1-2“NRSD has no servers and receives no User information (except feedback e-mails Users send themselves)”, Chapter 8, 2.2 “Not leaving the device”, Chapter 12, 5 “Privacy Policy”</w:t>
            </w:r>
          </w:p>
        </w:tc>
      </w:tr>
      <w:tr>
        <w:trPr>
          <w:cantSplit/>
          <w:tblHeader w:val="off"/>
        </w:trPr>
        <w:tc>
          <w:tcPr>
            <w:tcW w:type="dxa" w:w="4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Does not match on others' behalf or judge (D-5-3“Acts of a person posing as the Rights Holder (signing first, replacing signatures, and reverse complaints) are treated as impossible to prevent; clues for matching are presented. No judgment is made”, D-5-5“The System provides the means of matching but does not perform matching on anyone’s behalf”)</w:t>
            </w:r>
          </w:p>
        </w:tc>
        <w:tc>
          <w:tcPr>
            <w:tcW w:type="dxa" w:w="4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2, 4 “The Means of Matching and the Clues”, Chapter 10, G-24“Compare Clues”</w:t>
            </w:r>
          </w:p>
        </w:tc>
      </w:tr>
      <w:tr>
        <w:trPr>
          <w:cantSplit/>
          <w:tblHeader w:val="off"/>
        </w:trPr>
        <w:tc>
          <w:tcPr>
            <w:tcW w:type="dxa" w:w="4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Does not share among Users (D-10-9“Information on registered reposts is listed on the User’s device, and the options for action are presented. No sharing among Users takes place (dealt with in Phase 2)”)</w:t>
            </w:r>
          </w:p>
        </w:tc>
        <w:tc>
          <w:tcPr>
            <w:tcW w:type="dxa" w:w="4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6, 8 “List and Means”</w:t>
            </w:r>
          </w:p>
        </w:tc>
      </w:tr>
    </w:tbl>
    <w:p>
      <w:pPr>
        <w:spacing w:after="100" w:before="0"/>
      </w:pPr>
    </w:p>
    <w:p>
      <w:pPr>
        <w:pStyle w:val="Heading1"/>
      </w:pPr>
      <w:r>
        <w:rPr>
          <w:rFonts w:ascii="Calibri" w:eastAsia="Yu Gothic" w:hAnsi="Calibri"/>
        </w:rPr>
        <w:t xml:space="preserve">4. Declaration of Gaps (13-4)</w:t>
      </w:r>
    </w:p>
    <w:p>
      <w:pPr>
        <w:pStyle w:val="ListParagraph"/>
        <w:keepNext w:val="false"/>
        <w:keepLines/>
        <w:numPr>
          <w:ilvl w:val="0"/>
          <w:numId w:val="2"/>
        </w:numPr>
        <w:spacing w:after="20" w:before="20" w:line="300"/>
      </w:pPr>
      <w:r>
        <w:rPr>
          <w:rFonts w:ascii="Calibri" w:eastAsia="Yu Gothic" w:hAnsi="Calibri"/>
        </w:rPr>
        <w:t xml:space="preserve">Zero gaps is impossible. For each known gap, it is shown why it cannot be closed, how far it has been addressed, the remaining risk, and who bears it.</w:t>
      </w:r>
    </w:p>
    <w:p>
      <w:pPr>
        <w:pStyle w:val="Heading2"/>
      </w:pPr>
      <w:r>
        <w:rPr>
          <w:rFonts w:ascii="Calibri" w:eastAsia="Yu Gothic" w:hAnsi="Calibri"/>
        </w:rPr>
        <w:t xml:space="preserve">4.1 Gaps in the mechanism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20"/>
        <w:gridCol w:w="1530"/>
        <w:gridCol w:w="1530"/>
        <w:gridCol w:w="1530"/>
        <w:gridCol w:w="1365"/>
        <w:gridCol w:w="1447"/>
        <w:gridCol w:w="1316"/>
      </w:tblGrid>
      <w:tr>
        <w:trPr>
          <w:cantSplit/>
          <w:tblHeader/>
        </w:trPr>
        <w:tc>
          <w:tcPr>
            <w:tcW w:type="dxa" w:w="9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6"/>
                <w:szCs w:val="16"/>
              </w:rPr>
              <w:t xml:space="preserve">Number</w:t>
            </w:r>
          </w:p>
        </w:tc>
        <w:tc>
          <w:tcPr>
            <w:tcW w:type="dxa" w:w="15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6"/>
                <w:szCs w:val="16"/>
              </w:rPr>
              <w:t xml:space="preserve">Gap</w:t>
            </w:r>
          </w:p>
        </w:tc>
        <w:tc>
          <w:tcPr>
            <w:tcW w:type="dxa" w:w="15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6"/>
                <w:szCs w:val="16"/>
              </w:rPr>
              <w:t xml:space="preserve">Why it cannot be closed</w:t>
            </w:r>
          </w:p>
        </w:tc>
        <w:tc>
          <w:tcPr>
            <w:tcW w:type="dxa" w:w="15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6"/>
                <w:szCs w:val="16"/>
              </w:rPr>
              <w:t xml:space="preserve">Extent addressed</w:t>
            </w:r>
          </w:p>
        </w:tc>
        <w:tc>
          <w:tcPr>
            <w:tcW w:type="dxa" w:w="136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6"/>
                <w:szCs w:val="16"/>
              </w:rPr>
              <w:t xml:space="preserve">Remaining risk</w:t>
            </w:r>
          </w:p>
        </w:tc>
        <w:tc>
          <w:tcPr>
            <w:tcW w:type="dxa" w:w="144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6"/>
                <w:szCs w:val="16"/>
              </w:rPr>
              <w:t xml:space="preserve">Who bears it</w:t>
            </w:r>
          </w:p>
        </w:tc>
        <w:tc>
          <w:tcPr>
            <w:tcW w:type="dxa" w:w="131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6"/>
                <w:szCs w:val="16"/>
              </w:rPr>
              <w:t xml:space="preserve">Chapter</w:t>
            </w:r>
          </w:p>
        </w:tc>
      </w:tr>
      <w:tr>
        <w:trPr>
          <w:cantSplit/>
          <w:tblHeader w:val="off"/>
        </w:trPr>
        <w:tc>
          <w:tcPr>
            <w:tcW w:type="dxa" w:w="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H-1</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Prior C2PA signing, replacement, and counter-complaints by persons posing as the Rights Holder cannot be prevented</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Anyone can obtain and use the app, and C2PA signatures can also be made with other software (Design Plan 5.2 “Persons Posing as the Rights Holder”)</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Clues (invisible watermark, timestamp, ingredient history, Original, Notice) are laid out side by side. This app does not overwrite others' C2PA signatures</w:t>
            </w:r>
          </w:p>
        </w:tc>
        <w:tc>
          <w:tcPr>
            <w:tcW w:type="dxa" w:w="13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Viewers and providers believe a false signer</w:t>
            </w:r>
          </w:p>
        </w:tc>
        <w:tc>
          <w:tcPr>
            <w:tcW w:type="dxa" w:w="1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The true Rights Holder (acts on the clues)</w:t>
            </w:r>
          </w:p>
        </w:tc>
        <w:tc>
          <w:tcPr>
            <w:tcW w:type="dxa" w:w="13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Chapter 2 “Signing Information and Matching”</w:t>
            </w:r>
          </w:p>
        </w:tc>
      </w:tr>
      <w:tr>
        <w:trPr>
          <w:cantSplit/>
          <w:tblHeader w:val="off"/>
        </w:trPr>
        <w:tc>
          <w:tcPr>
            <w:tcW w:type="dxa" w:w="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H-2</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Matching results remain probabilistic</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After recompression or cropping, only a match level can be shown</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The identification number read from the watermark takes priority, and PDQ is shown in levels. Responsibility is shown before complaints</w:t>
            </w:r>
          </w:p>
        </w:tc>
        <w:tc>
          <w:tcPr>
            <w:tcW w:type="dxa" w:w="13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Mistaken registrations and complaints</w:t>
            </w:r>
          </w:p>
        </w:tc>
        <w:tc>
          <w:tcPr>
            <w:tcW w:type="dxa" w:w="1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The registering User (D-10-6“The judgment on matching and the responsibility for Registration are borne by the User who registered”)</w:t>
            </w:r>
          </w:p>
        </w:tc>
        <w:tc>
          <w:tcPr>
            <w:tcW w:type="dxa" w:w="13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Chapter 6 “Registration and Evidence Preservation”</w:t>
            </w:r>
          </w:p>
        </w:tc>
      </w:tr>
      <w:tr>
        <w:trPr>
          <w:cantSplit/>
          <w:tblHeader w:val="off"/>
        </w:trPr>
        <w:tc>
          <w:tcPr>
            <w:tcW w:type="dxa" w:w="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H-3</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Reposts whose location cannot be determined are not acted on</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If investigation finds nothing, there is nowhere to complain</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Procedures for RDAP, DNS, CDN contact points, and ICP filing are shown</w:t>
            </w:r>
          </w:p>
        </w:tc>
        <w:tc>
          <w:tcPr>
            <w:tcW w:type="dxa" w:w="13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Reposts that cannot be dealt with remain</w:t>
            </w:r>
          </w:p>
        </w:tc>
        <w:tc>
          <w:tcPr>
            <w:tcW w:type="dxa" w:w="1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User</w:t>
            </w:r>
          </w:p>
        </w:tc>
        <w:tc>
          <w:tcPr>
            <w:tcW w:type="dxa" w:w="13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Chapter 6 “Registration and Evidence Preservation”, Chapter 7 “Legal Action Guidance”</w:t>
            </w:r>
          </w:p>
        </w:tc>
      </w:tr>
      <w:tr>
        <w:trPr>
          <w:cantSplit/>
          <w:tblHeader w:val="off"/>
        </w:trPr>
        <w:tc>
          <w:tcPr>
            <w:tcW w:type="dxa" w:w="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H-4</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C2PA signatures are lost on social media and elsewhere</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Depends on posting sites' processing (I-03“Retention of C2PA signatures on posting sites and Cloud”)</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Visible Signature and invisible watermark, guidance at output</w:t>
            </w:r>
          </w:p>
        </w:tc>
        <w:tc>
          <w:tcPr>
            <w:tcW w:type="dxa" w:w="13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With heavy processing where the watermark cannot be read, only the matching hash</w:t>
            </w:r>
          </w:p>
        </w:tc>
        <w:tc>
          <w:tcPr>
            <w:tcW w:type="dxa" w:w="1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User</w:t>
            </w:r>
          </w:p>
        </w:tc>
        <w:tc>
          <w:tcPr>
            <w:tcW w:type="dxa" w:w="13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Chapter 3 “Signing”</w:t>
            </w:r>
          </w:p>
        </w:tc>
      </w:tr>
      <w:tr>
        <w:trPr>
          <w:cantSplit/>
          <w:tblHeader w:val="off"/>
        </w:trPr>
        <w:tc>
          <w:tcPr>
            <w:tcW w:type="dxa" w:w="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H-5</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Removal of rights management information by format conversion or recompression is excluded in Japan from deemed infringement, excluded in China as technically unavoidable, and in the US requires intent and knowledge of the link to infringement</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Provisions of law (L-1“Removal or alteration of rights management information (Japan)”, L-2“Removal or alteration of rights management information (China)”, L-3“Removal or alteration of rights management information (US)”)</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States that treating the loss of a C2PA signature as “intentional removal” is limited to cases without format conversion</w:t>
            </w:r>
          </w:p>
        </w:tc>
        <w:tc>
          <w:tcPr>
            <w:tcW w:type="dxa" w:w="13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Cannot claim on the basis of loss on social media</w:t>
            </w:r>
          </w:p>
        </w:tc>
        <w:tc>
          <w:tcPr>
            <w:tcW w:type="dxa" w:w="1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User</w:t>
            </w:r>
          </w:p>
        </w:tc>
        <w:tc>
          <w:tcPr>
            <w:tcW w:type="dxa" w:w="13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Chapter 3 “Signing”</w:t>
            </w:r>
          </w:p>
        </w:tc>
      </w:tr>
      <w:tr>
        <w:trPr>
          <w:cantSplit/>
          <w:tblHeader w:val="off"/>
        </w:trPr>
        <w:tc>
          <w:tcPr>
            <w:tcW w:type="dxa" w:w="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H-6</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Images exported offline have no timestamp in the manifest</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Timestamps come from external TSAs</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Attached later to the work data</w:t>
            </w:r>
          </w:p>
        </w:tc>
        <w:tc>
          <w:tcPr>
            <w:tcW w:type="dxa" w:w="13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The image alone cannot show the time of the C2PA signature</w:t>
            </w:r>
          </w:p>
        </w:tc>
        <w:tc>
          <w:tcPr>
            <w:tcW w:type="dxa" w:w="1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User</w:t>
            </w:r>
          </w:p>
        </w:tc>
        <w:tc>
          <w:tcPr>
            <w:tcW w:type="dxa" w:w="13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Chapter 3 “Signing”</w:t>
            </w:r>
          </w:p>
        </w:tc>
      </w:tr>
      <w:tr>
        <w:trPr>
          <w:cantSplit/>
          <w:tblHeader w:val="off"/>
        </w:trPr>
        <w:tc>
          <w:tcPr>
            <w:tcW w:type="dxa" w:w="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H-7</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Visible Signatures can be removed by cropping or painting over</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It is a display on top of the pixels</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Supplemented by the invisible watermark and matching hash</w:t>
            </w:r>
          </w:p>
        </w:tc>
        <w:tc>
          <w:tcPr>
            <w:tcW w:type="dxa" w:w="13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Viewers may not notice, just by looking, that a repost with the Visible Signature removed is the Rights Holder's photo</w:t>
            </w:r>
          </w:p>
        </w:tc>
        <w:tc>
          <w:tcPr>
            <w:tcW w:type="dxa" w:w="1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User</w:t>
            </w:r>
          </w:p>
        </w:tc>
        <w:tc>
          <w:tcPr>
            <w:tcW w:type="dxa" w:w="13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Chapter 4 “Image Editing and Batch Application”</w:t>
            </w:r>
          </w:p>
        </w:tc>
      </w:tr>
      <w:tr>
        <w:trPr>
          <w:cantSplit/>
          <w:tblHeader w:val="off"/>
        </w:trPr>
        <w:tc>
          <w:tcPr>
            <w:tcW w:type="dxa" w:w="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H-8</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Enclosed Documents can be removed in passing; whether they form a contract depends on the country</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Handling at the purchaser's hands is outside the System</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The document's hash is recorded in the manifests of all images. The opening sentence (D-9-4“The Enclosed Document includes a sentence stating that the images must not be passed to others without permission. Its loss is not due to the fault of the Rights Holder”)</w:t>
            </w:r>
          </w:p>
        </w:tc>
        <w:tc>
          <w:tcPr>
            <w:tcW w:type="dxa" w:w="13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Purchasers do not look at the document</w:t>
            </w:r>
          </w:p>
        </w:tc>
        <w:tc>
          <w:tcPr>
            <w:tcW w:type="dxa" w:w="1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The one who removed it (D-9-4“The Enclosed Document includes a sentence stating that the images must not be passed to others without permission. Its loss is not due to the fault of the Rights Holder”), User</w:t>
            </w:r>
          </w:p>
        </w:tc>
        <w:tc>
          <w:tcPr>
            <w:tcW w:type="dxa" w:w="13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Chapter 5 “Rights Documents”</w:t>
            </w:r>
          </w:p>
        </w:tc>
      </w:tr>
      <w:tr>
        <w:trPr>
          <w:cantSplit/>
          <w:tblHeader w:val="off"/>
        </w:trPr>
        <w:tc>
          <w:tcPr>
            <w:tcW w:type="dxa" w:w="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H-9</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Pages requiring login rely only on the User's screen images; status changes are not recorded while the User does not check</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The System does not log in. No scheduled crawling (D-2-4“Automated detection shall be a separate design plan”)</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Hashes and timestamps of screenshots, display of the “last checked date”</w:t>
            </w:r>
          </w:p>
        </w:tc>
        <w:tc>
          <w:tcPr>
            <w:tcW w:type="dxa" w:w="13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Evidence may be weak</w:t>
            </w:r>
          </w:p>
        </w:tc>
        <w:tc>
          <w:tcPr>
            <w:tcW w:type="dxa" w:w="1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User</w:t>
            </w:r>
          </w:p>
        </w:tc>
        <w:tc>
          <w:tcPr>
            <w:tcW w:type="dxa" w:w="13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Chapter 6 “Registration and Evidence Preservation”</w:t>
            </w:r>
          </w:p>
        </w:tc>
      </w:tr>
      <w:tr>
        <w:trPr>
          <w:cantSplit/>
          <w:tblHeader w:val="off"/>
        </w:trPr>
        <w:tc>
          <w:tcPr>
            <w:tcW w:type="dxa" w:w="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H-10</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Complaints may pass the User's name and contact details to the other party</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Provisions of each country's procedures (L-8“Takedown request procedures (China)”, L-9“Takedown request procedures (US)”)</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A prior confirmation check, guidance on the option of an agent</w:t>
            </w:r>
          </w:p>
        </w:tc>
        <w:tc>
          <w:tcPr>
            <w:tcW w:type="dxa" w:w="13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Contact from the other party</w:t>
            </w:r>
          </w:p>
        </w:tc>
        <w:tc>
          <w:tcPr>
            <w:tcW w:type="dxa" w:w="1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User</w:t>
            </w:r>
          </w:p>
        </w:tc>
        <w:tc>
          <w:tcPr>
            <w:tcW w:type="dxa" w:w="13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Chapter 7 “Legal Action Guidance”</w:t>
            </w:r>
          </w:p>
        </w:tc>
      </w:tr>
      <w:tr>
        <w:trPr>
          <w:cantSplit/>
          <w:tblHeader w:val="off"/>
        </w:trPr>
        <w:tc>
          <w:tcPr>
            <w:tcW w:type="dxa" w:w="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H-11</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Changes in contact points and laws may be reflected late</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Quarterly checks</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Distribution of reference information with record signatures (not waiting for app updates), feedback channel</w:t>
            </w:r>
          </w:p>
        </w:tc>
        <w:tc>
          <w:tcPr>
            <w:tcW w:type="dxa" w:w="13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Periods of guiding to old contact points</w:t>
            </w:r>
          </w:p>
        </w:tc>
        <w:tc>
          <w:tcPr>
            <w:tcW w:type="dxa" w:w="1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NRSD</w:t>
            </w:r>
          </w:p>
        </w:tc>
        <w:tc>
          <w:tcPr>
            <w:tcW w:type="dxa" w:w="13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Chapter 7 “Legal Action Guidance”, Chapter 12 “Interface with Legal”</w:t>
            </w:r>
          </w:p>
        </w:tc>
      </w:tr>
      <w:tr>
        <w:trPr>
          <w:cantSplit/>
          <w:tblHeader w:val="off"/>
        </w:trPr>
        <w:tc>
          <w:tcPr>
            <w:tcW w:type="dxa" w:w="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H-12</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The System does not verify Users; viewers who do not match cannot tell a false signer; general verification sites show “Valid” (not Trusted)</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Users' information is not collected (D-5-1“The System does not confirm Users and collects no User information. No registration is required in order to use the System”). The C2PA trust list is limited to conforming products (I-01“C2PA signing certificates”)</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The matching procedure using the notice code is shown on the public page, in the README, and in sample Notice texts</w:t>
            </w:r>
          </w:p>
        </w:tc>
        <w:tc>
          <w:tcPr>
            <w:tcW w:type="dxa" w:w="13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Those who do not match cannot tell whether the signer is genuine</w:t>
            </w:r>
          </w:p>
        </w:tc>
        <w:tc>
          <w:tcPr>
            <w:tcW w:type="dxa" w:w="1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Viewers, Users</w:t>
            </w:r>
          </w:p>
        </w:tc>
        <w:tc>
          <w:tcPr>
            <w:tcW w:type="dxa" w:w="13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Chapter 2 “Signing Information and Matching”</w:t>
            </w:r>
          </w:p>
        </w:tc>
      </w:tr>
      <w:tr>
        <w:trPr>
          <w:cantSplit/>
          <w:tblHeader w:val="off"/>
        </w:trPr>
        <w:tc>
          <w:tcPr>
            <w:tcW w:type="dxa" w:w="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H-13</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If the device is fully compromised, C2PA signing until the key is remade cannot be prevented; signatures with a leaked key are shown valid until the old personal root expires (up to 40 years)</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A problem outside the OS keystore. The System has no revocation mechanism (CRL, etc.) (Chapter 2, 7.2 “Loss and leaks”)</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OS keystore, remaking keys and re-posting the notice code. Users are guided to write in the Notice “the old code is not used after (date)”</w:t>
            </w:r>
          </w:p>
        </w:tc>
        <w:tc>
          <w:tcPr>
            <w:tcW w:type="dxa" w:w="13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Fake C2PA signatures until re-posting. Even after re-posting, fake C2PA signatures look valid to viewers who do not match against the Notice. Fake C2PA signatures without timestamps cannot be told apart from those before the leak</w:t>
            </w:r>
          </w:p>
        </w:tc>
        <w:tc>
          <w:tcPr>
            <w:tcW w:type="dxa" w:w="1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User</w:t>
            </w:r>
          </w:p>
        </w:tc>
        <w:tc>
          <w:tcPr>
            <w:tcW w:type="dxa" w:w="13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Chapter 1 “Overall Architecture”, Chapter 2 “Signing Information and Matching”</w:t>
            </w:r>
          </w:p>
        </w:tc>
      </w:tr>
      <w:tr>
        <w:trPr>
          <w:cantSplit/>
          <w:tblHeader w:val="off"/>
        </w:trPr>
        <w:tc>
          <w:tcPr>
            <w:tcW w:type="dxa" w:w="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H-14</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Records, evidence, and signing keys exist only on the User's device; losing the device without a backup loses them; weak backup passphrases can be stolen; a forgotten passphrase cannot be recovered</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Records are not collected (D-12-3“Rights Holder Information, the signing key, work data, the ledger, and evidence are kept on the User’s device; NRSD does not collect them”)</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Backup recommendations (every 30 days), encryption with a passphrase (age format: scrypt, ChaCha20-Poly1305; Chapter 8, DD-8-3“Moving devices and preparing for failure use backup files (age format)”), a minimum passphrase length</w:t>
            </w:r>
          </w:p>
        </w:tc>
        <w:tc>
          <w:tcPr>
            <w:tcW w:type="dxa" w:w="13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Loss of records and evidence, leak of keys</w:t>
            </w:r>
          </w:p>
        </w:tc>
        <w:tc>
          <w:tcPr>
            <w:tcW w:type="dxa" w:w="1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User</w:t>
            </w:r>
          </w:p>
        </w:tc>
        <w:tc>
          <w:tcPr>
            <w:tcW w:type="dxa" w:w="13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Chapter 8 “Repository and Data Management”</w:t>
            </w:r>
          </w:p>
        </w:tc>
      </w:tr>
      <w:tr>
        <w:trPr>
          <w:cantSplit/>
          <w:tblHeader w:val="off"/>
        </w:trPr>
        <w:tc>
          <w:tcPr>
            <w:tcW w:type="dxa" w:w="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H-15</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Fake apps obtained outside the README cannot be prevented; SmartScreen may warn early even for code-signed builds</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Outside the distribution route</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Code signing, how to tell the official version (hash, publisher name), statement in the README</w:t>
            </w:r>
          </w:p>
        </w:tc>
        <w:tc>
          <w:tcPr>
            <w:tcW w:type="dxa" w:w="13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Giving keys and records to a fake app</w:t>
            </w:r>
          </w:p>
        </w:tc>
        <w:tc>
          <w:tcPr>
            <w:tcW w:type="dxa" w:w="1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User</w:t>
            </w:r>
          </w:p>
        </w:tc>
        <w:tc>
          <w:tcPr>
            <w:tcW w:type="dxa" w:w="13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Chapter 9 “Distribution and Updates”</w:t>
            </w:r>
          </w:p>
        </w:tc>
      </w:tr>
      <w:tr>
        <w:trPr>
          <w:cantSplit/>
          <w:tblHeader w:val="off"/>
        </w:trPr>
        <w:tc>
          <w:tcPr>
            <w:tcW w:type="dxa" w:w="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H-16</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If the update signing key leaks, existing Users reinstall by hand</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Tauri's update public key is embedded in the app</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The update signing key is kept on an operator's PC not connected to the network, with a paper backup. Outside build automation (Chapter 9, DD-9-4“The update signing key stays outside CI; code-signing credentials are CI secrets”)</w:t>
            </w:r>
          </w:p>
        </w:tc>
        <w:tc>
          <w:tcPr>
            <w:tcW w:type="dxa" w:w="13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The risk of fake updates until reinstalling</w:t>
            </w:r>
          </w:p>
        </w:tc>
        <w:tc>
          <w:tcPr>
            <w:tcW w:type="dxa" w:w="1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NRSD</w:t>
            </w:r>
          </w:p>
        </w:tc>
        <w:tc>
          <w:tcPr>
            <w:tcW w:type="dxa" w:w="13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Chapter 9 “Distribution and Updates”</w:t>
            </w:r>
          </w:p>
        </w:tc>
      </w:tr>
      <w:tr>
        <w:trPr>
          <w:cantSplit/>
          <w:tblHeader w:val="off"/>
        </w:trPr>
        <w:tc>
          <w:tcPr>
            <w:tcW w:type="dxa" w:w="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H-17</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In mainland China the README may be unreachable</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Reachability of github.com (I-04“Access to GitHub from mainland China”)</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Direct links from the Chinese section of the README to the Hong Kong mirror (Chapter 9, 5 “Download Routes”). Reachability of the mirror from mainland China is not guaranteed either</w:t>
            </w:r>
          </w:p>
        </w:tc>
        <w:tc>
          <w:tcPr>
            <w:tcW w:type="dxa" w:w="13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Users who cannot reach the README cannot obtain it</w:t>
            </w:r>
          </w:p>
        </w:tc>
        <w:tc>
          <w:tcPr>
            <w:tcW w:type="dxa" w:w="1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User</w:t>
            </w:r>
          </w:p>
        </w:tc>
        <w:tc>
          <w:tcPr>
            <w:tcW w:type="dxa" w:w="13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Chapter 8 “Repository and Data Management”, Chapter 9 “Distribution and Updates”</w:t>
            </w:r>
          </w:p>
        </w:tc>
      </w:tr>
      <w:tr>
        <w:trPr>
          <w:cantSplit/>
          <w:tblHeader w:val="off"/>
        </w:trPr>
        <w:tc>
          <w:tcPr>
            <w:tcW w:type="dxa" w:w="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H-18</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C2PA validators do not treat the System's timestamps as trusted time and check certificate validity at the time of checking; images past the personal root's expiry (40 years from creation) are shown as failed by general validators</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Free use of TSAs on the C2PA TSA trust list is described as premised on a C2PA conformance record, and there is no explicit permission for use without registration (Chapter 3, 4 “Trusted Timestamps”)</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The certificate's validity is made the same as the personal root's, and the personal root is 40 years. Every image is shown valid for at least 20 years from signing (Chapter 2, DD-2-11“Certificate validity is long enough that every image is shown valid for 20 years from signing”). RFC 3161 timestamps remain as evidence of time</w:t>
            </w:r>
          </w:p>
        </w:tc>
        <w:tc>
          <w:tcPr>
            <w:tcW w:type="dxa" w:w="13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Verification results of images more than 20 years after signing and past the personal root's expiry</w:t>
            </w:r>
          </w:p>
        </w:tc>
        <w:tc>
          <w:tcPr>
            <w:tcW w:type="dxa" w:w="1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User</w:t>
            </w:r>
          </w:p>
        </w:tc>
        <w:tc>
          <w:tcPr>
            <w:tcW w:type="dxa" w:w="13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Chapter 3 “Signing”</w:t>
            </w:r>
          </w:p>
        </w:tc>
      </w:tr>
      <w:tr>
        <w:trPr>
          <w:cantSplit/>
          <w:tblHeader w:val="off"/>
        </w:trPr>
        <w:tc>
          <w:tcPr>
            <w:tcW w:type="dxa" w:w="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H-19</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HEIC and RAW pixels are not read; there is no right-click menu</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Decoding licenses and implementation maturity, differences among three OSes (DD-10-5“No OS integration; drag and drop is used instead”)</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Guidance on conversion, drag and drop</w:t>
            </w:r>
          </w:p>
        </w:tc>
        <w:tc>
          <w:tcPr>
            <w:tcW w:type="dxa" w:w="13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More effort</w:t>
            </w:r>
          </w:p>
        </w:tc>
        <w:tc>
          <w:tcPr>
            <w:tcW w:type="dxa" w:w="1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User</w:t>
            </w:r>
          </w:p>
        </w:tc>
        <w:tc>
          <w:tcPr>
            <w:tcW w:type="dxa" w:w="13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Chapter 10 “Screens and Design”, Chapter 11 “Development Base”</w:t>
            </w:r>
          </w:p>
        </w:tc>
      </w:tr>
      <w:tr>
        <w:trPr>
          <w:cantSplit/>
          <w:tblHeader w:val="off"/>
        </w:trPr>
        <w:tc>
          <w:tcPr>
            <w:tcW w:type="dxa" w:w="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H-20</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Visual taste does not suit everyone; trials are small</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A matter of taste; interviews are not done first (D-3-5“No interviews are conducted; improvement is made based on comments after the System becomes usable”)</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One judge is appointed, and fixes are made from feedback after the app is usable</w:t>
            </w:r>
          </w:p>
        </w:tc>
        <w:tc>
          <w:tcPr>
            <w:tcW w:type="dxa" w:w="13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Some Users do not use it</w:t>
            </w:r>
          </w:p>
        </w:tc>
        <w:tc>
          <w:tcPr>
            <w:tcW w:type="dxa" w:w="1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NRSD</w:t>
            </w:r>
          </w:p>
        </w:tc>
        <w:tc>
          <w:tcPr>
            <w:tcW w:type="dxa" w:w="13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Chapter 10 “Screens and Design”</w:t>
            </w:r>
          </w:p>
        </w:tc>
      </w:tr>
      <w:tr>
        <w:trPr>
          <w:cantSplit/>
          <w:tblHeader w:val="off"/>
        </w:trPr>
        <w:tc>
          <w:tcPr>
            <w:tcW w:type="dxa" w:w="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H-21</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Changes in law may be reflected late</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Quarterly reviews</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Consolidated into the L numbers of the Legal Research, with referring sections traceable in the table (Chapter 12, DD-12-1“Legal interpretations and sources are kept only in the Legal Research”)</w:t>
            </w:r>
          </w:p>
        </w:tc>
        <w:tc>
          <w:tcPr>
            <w:tcW w:type="dxa" w:w="13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Old guidance after amendments</w:t>
            </w:r>
          </w:p>
        </w:tc>
        <w:tc>
          <w:tcPr>
            <w:tcW w:type="dxa" w:w="1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NRSD</w:t>
            </w:r>
          </w:p>
        </w:tc>
        <w:tc>
          <w:tcPr>
            <w:tcW w:type="dxa" w:w="13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Chapter 12 “Interface with Legal”</w:t>
            </w:r>
          </w:p>
        </w:tc>
      </w:tr>
      <w:tr>
        <w:trPr>
          <w:cantSplit/>
          <w:tblHeader w:val="off"/>
        </w:trPr>
        <w:tc>
          <w:tcPr>
            <w:tcW w:type="dxa" w:w="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H-22</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If NRSD's keys (update, reference information) are stolen, fake updates or reference information may be distributed</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The final trust anchor</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The update signing key on a PC not connected to the network, the reference-information signing key in a hardware token. Both outside build automation (Chapter 9, DD-9-4“The update signing key stays outside CI; code-signing credentials are CI secrets”, Chapter 11, DD-11-13“The update signing key and the reference-information signing key are not kept in CI”)</w:t>
            </w:r>
          </w:p>
        </w:tc>
        <w:tc>
          <w:tcPr>
            <w:tcW w:type="dxa" w:w="13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Fake distribution until the keys are replaced</w:t>
            </w:r>
          </w:p>
        </w:tc>
        <w:tc>
          <w:tcPr>
            <w:tcW w:type="dxa" w:w="1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NRSD</w:t>
            </w:r>
          </w:p>
        </w:tc>
        <w:tc>
          <w:tcPr>
            <w:tcW w:type="dxa" w:w="13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Chapter 1 “Overall Architecture”, Chapter 9 “Distribution and Updates”</w:t>
            </w:r>
          </w:p>
        </w:tc>
      </w:tr>
      <w:tr>
        <w:trPr>
          <w:cantSplit/>
          <w:tblHeader w:val="off"/>
        </w:trPr>
        <w:tc>
          <w:tcPr>
            <w:tcW w:type="dxa" w:w="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H-23</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There is no central mechanism to tell third parties of revoked authorizations</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Users' information is not collected</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Authorizations have terms, and short terms are recommended. The principal Rights Holder announces in the Notice</w:t>
            </w:r>
          </w:p>
        </w:tc>
        <w:tc>
          <w:tcPr>
            <w:tcW w:type="dxa" w:w="13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Outputs under an authorization after revocation</w:t>
            </w:r>
          </w:p>
        </w:tc>
        <w:tc>
          <w:tcPr>
            <w:tcW w:type="dxa" w:w="1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Principal Rights Holder</w:t>
            </w:r>
          </w:p>
        </w:tc>
        <w:tc>
          <w:tcPr>
            <w:tcW w:type="dxa" w:w="13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Chapter 2 “Signing Information and Matching”</w:t>
            </w:r>
          </w:p>
        </w:tc>
      </w:tr>
      <w:tr>
        <w:trPr>
          <w:cantSplit/>
          <w:tblHeader w:val="off"/>
        </w:trPr>
        <w:tc>
          <w:tcPr>
            <w:tcW w:type="dxa" w:w="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H-24</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Information on repost sites is not shared among Users</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Sharing requires collecting Users' information (D-10-9“Information on registered reposts is listed on the User’s device, and the options for action are presented. No sharing among Users takes place (dealt with in Phase 2)”)</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One's own registrations are listed per reposting site. Sharing is handled in Phase 2 (D-13-3“Registration of contact details for notifying authors is dealt with in the Phase 2 design plan”)</w:t>
            </w:r>
          </w:p>
        </w:tc>
        <w:tc>
          <w:tcPr>
            <w:tcW w:type="dxa" w:w="13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Other Rights Holders are less likely to notice the same reposting site</w:t>
            </w:r>
          </w:p>
        </w:tc>
        <w:tc>
          <w:tcPr>
            <w:tcW w:type="dxa" w:w="1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User</w:t>
            </w:r>
          </w:p>
        </w:tc>
        <w:tc>
          <w:tcPr>
            <w:tcW w:type="dxa" w:w="13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Chapter 6 “Registration and Evidence Preservation”</w:t>
            </w:r>
          </w:p>
        </w:tc>
      </w:tr>
      <w:tr>
        <w:trPr>
          <w:cantSplit/>
          <w:tblHeader w:val="off"/>
        </w:trPr>
        <w:tc>
          <w:tcPr>
            <w:tcW w:type="dxa" w:w="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H-25</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For photos published before adoption, clues are limited to the Original and the fact of publication</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There is no invisible watermark, work data, or timestamp</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Guidance on how to show possession of the Original (Chapter 2, 4.2 “Original”)</w:t>
            </w:r>
          </w:p>
        </w:tc>
        <w:tc>
          <w:tcPr>
            <w:tcW w:type="dxa" w:w="13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Hard to distinguish from someone who C2PA-signed first</w:t>
            </w:r>
          </w:p>
        </w:tc>
        <w:tc>
          <w:tcPr>
            <w:tcW w:type="dxa" w:w="1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The true Rights Holder</w:t>
            </w:r>
          </w:p>
        </w:tc>
        <w:tc>
          <w:tcPr>
            <w:tcW w:type="dxa" w:w="13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Chapter 2 “Signing Information and Matching”</w:t>
            </w:r>
          </w:p>
        </w:tc>
      </w:tr>
      <w:tr>
        <w:trPr>
          <w:cantSplit/>
          <w:tblHeader w:val="off"/>
        </w:trPr>
        <w:tc>
          <w:tcPr>
            <w:tcW w:type="dxa" w:w="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H-26</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Taking a record of the repost page (the Registration default) shows the User's IP address to the other site</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Fetching is a request to the other server, and there is no relay server (Chapter 1, DD-1-2“NRSD has no servers and receives no User information (except feedback e-mails Users send themselves)”)</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Shown before registration, and can be turned off for that registration only. Registration is possible with screenshots even when off. That a VPN can be used is shown</w:t>
            </w:r>
          </w:p>
        </w:tc>
        <w:tc>
          <w:tcPr>
            <w:tcW w:type="dxa" w:w="13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Gives the other party a clue to one's location</w:t>
            </w:r>
          </w:p>
        </w:tc>
        <w:tc>
          <w:tcPr>
            <w:tcW w:type="dxa" w:w="1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User</w:t>
            </w:r>
          </w:p>
        </w:tc>
        <w:tc>
          <w:tcPr>
            <w:tcW w:type="dxa" w:w="13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Chapter 1, 4.2 “Communication with the outside”, Chapter 6 “Registration and Evidence Preservation”</w:t>
            </w:r>
          </w:p>
        </w:tc>
      </w:tr>
      <w:tr>
        <w:trPr>
          <w:cantSplit/>
          <w:tblHeader w:val="off"/>
        </w:trPr>
        <w:tc>
          <w:tcPr>
            <w:tcW w:type="dxa" w:w="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H-27</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On Linux without Secret Service, a passphrase is needed at each start</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The kernel keyring is cleared on reboot</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A key file encrypted with a passphrase (age)</w:t>
            </w:r>
          </w:p>
        </w:tc>
        <w:tc>
          <w:tcPr>
            <w:tcW w:type="dxa" w:w="13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Lower usability</w:t>
            </w:r>
          </w:p>
        </w:tc>
        <w:tc>
          <w:tcPr>
            <w:tcW w:type="dxa" w:w="1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User</w:t>
            </w:r>
          </w:p>
        </w:tc>
        <w:tc>
          <w:tcPr>
            <w:tcW w:type="dxa" w:w="13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Chapter 2, 7.5 “Storage method per OS”</w:t>
            </w:r>
          </w:p>
        </w:tc>
      </w:tr>
      <w:tr>
        <w:trPr>
          <w:cantSplit/>
          <w:tblHeader w:val="off"/>
        </w:trPr>
        <w:tc>
          <w:tcPr>
            <w:tcW w:type="dxa" w:w="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H-28</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Emoji whose COLRv1 paints the rendering components do not support cannot be drawn</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Drawing is done with our own components (skrifa, tiny-skia) (Chapter 4, DD-4-5“Text shaping and rendering use the same Rust mechanism for preview and export”)</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Glyphs that cannot be drawn are marked and reported (Chapter 4, 6.3 “Emoji”)</w:t>
            </w:r>
          </w:p>
        </w:tc>
        <w:tc>
          <w:tcPr>
            <w:tcW w:type="dxa" w:w="13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Some emoji are not drawn</w:t>
            </w:r>
          </w:p>
        </w:tc>
        <w:tc>
          <w:tcPr>
            <w:tcW w:type="dxa" w:w="1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User</w:t>
            </w:r>
          </w:p>
        </w:tc>
        <w:tc>
          <w:tcPr>
            <w:tcW w:type="dxa" w:w="13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Chapter 4, 6.3 “Emoji”</w:t>
            </w:r>
          </w:p>
        </w:tc>
      </w:tr>
      <w:tr>
        <w:trPr>
          <w:cantSplit/>
          <w:tblHeader w:val="off"/>
        </w:trPr>
        <w:tc>
          <w:tcPr>
            <w:tcW w:type="dxa" w:w="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H-29</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Auto-save occurs 2 seconds after operations stop; operations just before an abnormal exit may be lost</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Writing synchronously on every operation would slow operations</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Saving after 2 seconds, 5 version backups, recovery after abnormal termination</w:t>
            </w:r>
          </w:p>
        </w:tc>
        <w:tc>
          <w:tcPr>
            <w:tcW w:type="dxa" w:w="13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The last 2 seconds of operations</w:t>
            </w:r>
          </w:p>
        </w:tc>
        <w:tc>
          <w:tcPr>
            <w:tcW w:type="dxa" w:w="1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User</w:t>
            </w:r>
          </w:p>
        </w:tc>
        <w:tc>
          <w:tcPr>
            <w:tcW w:type="dxa" w:w="13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Chapter 4, 11 “Work Sessions (the State in the Middle of Editing)”</w:t>
            </w:r>
          </w:p>
        </w:tc>
      </w:tr>
      <w:tr>
        <w:trPr>
          <w:cantSplit/>
          <w:tblHeader w:val="off"/>
        </w:trPr>
        <w:tc>
          <w:tcPr>
            <w:tcW w:type="dxa" w:w="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H-30</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The app does not crop, so photos outside Instagram's aspect-ratio range may be cropped on the posting site</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Cropping is a judgment of composition and outside the scope (Chapter 4, 2 “Scope of the Visible Signature”)</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Reported before export</w:t>
            </w:r>
          </w:p>
        </w:tc>
        <w:tc>
          <w:tcPr>
            <w:tcW w:type="dxa" w:w="13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The Visible Signature may be cropped off</w:t>
            </w:r>
          </w:p>
        </w:tc>
        <w:tc>
          <w:tcPr>
            <w:tcW w:type="dxa" w:w="1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User</w:t>
            </w:r>
          </w:p>
        </w:tc>
        <w:tc>
          <w:tcPr>
            <w:tcW w:type="dxa" w:w="13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Chapter 4, 14.1 “Export presets”</w:t>
            </w:r>
          </w:p>
        </w:tc>
      </w:tr>
      <w:tr>
        <w:trPr>
          <w:cantSplit/>
          <w:tblHeader w:val="off"/>
        </w:trPr>
        <w:tc>
          <w:tcPr>
            <w:tcW w:type="dxa" w:w="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H-31</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When two machines are used in parallel, merging is manual via backup files; there is no automatic sync</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Synchronization needs an external location, contrary to the policy of not collecting Users' information</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Merging rules (Chapter 8, 5.4 “Merging”)</w:t>
            </w:r>
          </w:p>
        </w:tc>
        <w:tc>
          <w:tcPr>
            <w:tcW w:type="dxa" w:w="13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The effort of merging</w:t>
            </w:r>
          </w:p>
        </w:tc>
        <w:tc>
          <w:tcPr>
            <w:tcW w:type="dxa" w:w="1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User</w:t>
            </w:r>
          </w:p>
        </w:tc>
        <w:tc>
          <w:tcPr>
            <w:tcW w:type="dxa" w:w="13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Chapter 8, 5.4 “Merging”</w:t>
            </w:r>
          </w:p>
        </w:tc>
      </w:tr>
      <w:tr>
        <w:trPr>
          <w:cantSplit/>
          <w:tblHeader w:val="off"/>
        </w:trPr>
        <w:tc>
          <w:tcPr>
            <w:tcW w:type="dxa" w:w="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H-32</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Unusable on Intel Macs and on PCs whose CPUs lack AVX2 etc. (x86-64-v3) (Intel before 2013, and some Pentium/Celeron after 2013)</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The ONNX runtime used by the watermark and auto-placement stopped distributing for Intel macOS, and prebuilt x86_64 components require x86-64-v3 at minimum (Chapter 11, 3.1 “Minimum supported OS versions”)</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The CPU is checked at start and unsupported ones are reported. The README shows the conditions of machines it runs on</w:t>
            </w:r>
          </w:p>
        </w:tc>
        <w:tc>
          <w:tcPr>
            <w:tcW w:type="dxa" w:w="13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Some Users cannot use it</w:t>
            </w:r>
          </w:p>
        </w:tc>
        <w:tc>
          <w:tcPr>
            <w:tcW w:type="dxa" w:w="1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User</w:t>
            </w:r>
          </w:p>
        </w:tc>
        <w:tc>
          <w:tcPr>
            <w:tcW w:type="dxa" w:w="13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Chapter 11, 3.1 “Minimum supported OS versions”</w:t>
            </w:r>
          </w:p>
        </w:tc>
      </w:tr>
      <w:tr>
        <w:trPr>
          <w:cantSplit/>
          <w:tblHeader w:val="off"/>
        </w:trPr>
        <w:tc>
          <w:tcPr>
            <w:tcW w:type="dxa" w:w="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H-33</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Unknown vulnerabilities in components cannot be prevented until disclosed</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Because they are unknown</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Dependency policy, SBOM, vulnerability checks (Chapter 11, 5 “Dependency Policy”, 6 “SBOM and Provenance Attestations”). When published, NRSD releases a fixed version</w:t>
            </w:r>
          </w:p>
        </w:tc>
        <w:tc>
          <w:tcPr>
            <w:tcW w:type="dxa" w:w="13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Risk until publication</w:t>
            </w:r>
          </w:p>
        </w:tc>
        <w:tc>
          <w:tcPr>
            <w:tcW w:type="dxa" w:w="1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User (harmed). NRSD releases the fixed version</w:t>
            </w:r>
          </w:p>
        </w:tc>
        <w:tc>
          <w:tcPr>
            <w:tcW w:type="dxa" w:w="13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Chapter 11</w:t>
            </w:r>
          </w:p>
        </w:tc>
      </w:tr>
      <w:tr>
        <w:trPr>
          <w:cantSplit/>
          <w:tblHeader w:val="off"/>
        </w:trPr>
        <w:tc>
          <w:tcPr>
            <w:tcW w:type="dxa" w:w="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H-34</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Notice of changes to the Terms of Use does not reach the app of Users who keep working offline</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The only routes from NRSD to Users are the reference information Users come to fetch and the public page (no servers)</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Announced on the public page at least 30 days before the effective date, and the app shows it at the next connection and asks for re-consent (Chapter 12, 4.3 “Procedure for changes”)</w:t>
            </w:r>
          </w:p>
        </w:tc>
        <w:tc>
          <w:tcPr>
            <w:tcW w:type="dxa" w:w="13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Changes may take effect without the User knowing</w:t>
            </w:r>
          </w:p>
        </w:tc>
        <w:tc>
          <w:tcPr>
            <w:tcW w:type="dxa" w:w="1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User</w:t>
            </w:r>
          </w:p>
        </w:tc>
        <w:tc>
          <w:tcPr>
            <w:tcW w:type="dxa" w:w="13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Chapter 12, 4.3 “Procedure for changes”</w:t>
            </w:r>
          </w:p>
        </w:tc>
      </w:tr>
      <w:tr>
        <w:trPr>
          <w:cantSplit/>
          <w:tblHeader w:val="off"/>
        </w:trPr>
        <w:tc>
          <w:tcPr>
            <w:tcW w:type="dxa" w:w="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H-35</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The disclaimer wording in the Terms of Use and its precedence over the software license are not yet reviewed by experts</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NRSD is not a legal expert</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A writing policy and drafts in line with the Consumer Contract Act (Chapter 12, 4.2 “Draft wording of the key clauses (drafts)”) are placed, and experts check before publication</w:t>
            </w:r>
          </w:p>
        </w:tc>
        <w:tc>
          <w:tcPr>
            <w:tcW w:type="dxa" w:w="13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Some disclaimer clauses may be void</w:t>
            </w:r>
          </w:p>
        </w:tc>
        <w:tc>
          <w:tcPr>
            <w:tcW w:type="dxa" w:w="1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NRSD</w:t>
            </w:r>
          </w:p>
        </w:tc>
        <w:tc>
          <w:tcPr>
            <w:tcW w:type="dxa" w:w="13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Chapter 12, 4.2 “Draft wording of the key clauses (drafts)”</w:t>
            </w:r>
          </w:p>
        </w:tc>
      </w:tr>
      <w:tr>
        <w:trPr>
          <w:cantSplit/>
          <w:tblHeader w:val="off"/>
        </w:trPr>
        <w:tc>
          <w:tcPr>
            <w:tcW w:type="dxa" w:w="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H-36</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Cannot be installed on Windows without WebView2 and without network access</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Tauri's screens require WebView2, and the default installation obtains it from the network</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Windows 10 (April 2018 and later) and 11 have WebView2 as part of the OS (Chapter 9, 2.1 “Distributables per OS”)</w:t>
            </w:r>
          </w:p>
        </w:tc>
        <w:tc>
          <w:tcPr>
            <w:tcW w:type="dxa" w:w="13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Cannot be installed on some corporate PCs</w:t>
            </w:r>
          </w:p>
        </w:tc>
        <w:tc>
          <w:tcPr>
            <w:tcW w:type="dxa" w:w="1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User</w:t>
            </w:r>
          </w:p>
        </w:tc>
        <w:tc>
          <w:tcPr>
            <w:tcW w:type="dxa" w:w="13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Chapter 9, 2.1 “Distributables per OS”</w:t>
            </w:r>
          </w:p>
        </w:tc>
      </w:tr>
      <w:tr>
        <w:trPr>
          <w:cantSplit/>
          <w:tblHeader w:val="off"/>
        </w:trPr>
        <w:tc>
          <w:tcPr>
            <w:tcW w:type="dxa" w:w="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H-37</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Removing the app alone leaves records and signing keys on the device</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The distribution formats for macOS and Linux have no uninstaller. Keeping records is the default (usable after reinstalling)</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“Erase this device's records” in the app, guidance on removal in the README (Chapter 9, 2.2 “Uninstallation and device records”, 2.3 “Procedure for “Erase this device's records””)</w:t>
            </w:r>
          </w:p>
        </w:tc>
        <w:tc>
          <w:tcPr>
            <w:tcW w:type="dxa" w:w="13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If one forgets to erase before transfer or disposal, records may pass to the next owner</w:t>
            </w:r>
          </w:p>
        </w:tc>
        <w:tc>
          <w:tcPr>
            <w:tcW w:type="dxa" w:w="1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User</w:t>
            </w:r>
          </w:p>
        </w:tc>
        <w:tc>
          <w:tcPr>
            <w:tcW w:type="dxa" w:w="13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Chapter 9, 2.2 “Uninstallation and device records”</w:t>
            </w:r>
          </w:p>
        </w:tc>
      </w:tr>
      <w:tr>
        <w:trPr>
          <w:cantSplit/>
          <w:tblHeader w:val="off"/>
        </w:trPr>
        <w:tc>
          <w:tcPr>
            <w:tcW w:type="dxa" w:w="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H-38</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If a device without OS full-disk encryption is stolen, records (evidence, case records, Rights Holder Information) may be read</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Even if the app encrypted them, the key could only be kept on the same device, and losing the key loses the evidence (Chapter 8, DD-8-7“Encryption of records is left to full-disk encryption of the OS”)</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OS encryption is recommended in first-run guidance and the README. Signing keys in the OS keystore</w:t>
            </w:r>
          </w:p>
        </w:tc>
        <w:tc>
          <w:tcPr>
            <w:tcW w:type="dxa" w:w="13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Leak of records</w:t>
            </w:r>
          </w:p>
        </w:tc>
        <w:tc>
          <w:tcPr>
            <w:tcW w:type="dxa" w:w="1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User</w:t>
            </w:r>
          </w:p>
        </w:tc>
        <w:tc>
          <w:tcPr>
            <w:tcW w:type="dxa" w:w="13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Chapter 8, DD-8-7“Encryption of records is left to full-disk encryption of the OS”</w:t>
            </w:r>
          </w:p>
        </w:tc>
      </w:tr>
      <w:tr>
        <w:trPr>
          <w:cantSplit/>
          <w:tblHeader w:val="off"/>
        </w:trPr>
        <w:tc>
          <w:tcPr>
            <w:tcW w:type="dxa" w:w="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H-39</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If distribution of reference information is stopped (frozen), new contact points do not arrive</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The only sources are the Public Repository and the mirror</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Package expiry and notices (Chapter 8, 3.4 “Reference information package”). The last package held keeps being used</w:t>
            </w:r>
          </w:p>
        </w:tc>
        <w:tc>
          <w:tcPr>
            <w:tcW w:type="dxa" w:w="13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Guidance to old contact points</w:t>
            </w:r>
          </w:p>
        </w:tc>
        <w:tc>
          <w:tcPr>
            <w:tcW w:type="dxa" w:w="1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User</w:t>
            </w:r>
          </w:p>
        </w:tc>
        <w:tc>
          <w:tcPr>
            <w:tcW w:type="dxa" w:w="13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Chapter 8, 3.4 “Reference information package”</w:t>
            </w:r>
          </w:p>
        </w:tc>
      </w:tr>
      <w:tr>
        <w:trPr>
          <w:cantSplit/>
          <w:tblHeader w:val="off"/>
        </w:trPr>
        <w:tc>
          <w:tcPr>
            <w:tcW w:type="dxa" w:w="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H-40</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Even after checking matching clues, a User may still wrongly complain about someone else's photo</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No judgment is made (Design Plan D-5-3“Acts of a person posing as the Rights Holder (signing first, replacing signatures, and reverse complaints) are treated as impossible to prevent; clues for matching are presented. No judgment is made”, D-5-5“The System provides the means of matching but does not perform matching on anyone’s behalf”)</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Before complaints, the liability for mistaken complaints is shown and confirmation of the clues is asked (Chapter 7, 3.2.1 “Liability for mistaken or false complaints”)</w:t>
            </w:r>
          </w:p>
        </w:tc>
        <w:tc>
          <w:tcPr>
            <w:tcW w:type="dxa" w:w="13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Damage to the other party and the User's liability for compensation</w:t>
            </w:r>
          </w:p>
        </w:tc>
        <w:tc>
          <w:tcPr>
            <w:tcW w:type="dxa" w:w="1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User</w:t>
            </w:r>
          </w:p>
        </w:tc>
        <w:tc>
          <w:tcPr>
            <w:tcW w:type="dxa" w:w="13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Chapter 7, 3.2.1 “Liability for mistaken or false complaints”</w:t>
            </w:r>
          </w:p>
        </w:tc>
      </w:tr>
      <w:tr>
        <w:trPr>
          <w:cantSplit/>
          <w:tblHeader w:val="off"/>
        </w:trPr>
        <w:tc>
          <w:tcPr>
            <w:tcW w:type="dxa" w:w="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H-41</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WCAG 2.2 1.4.10 “Reflow” is not met; enlarging screen text shrinks the photo display area</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As a desktop app, the minimum window is 1024×700 pixels and it has screens that show photos large</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No horizontal scrolling at the minimum window size. Text size can be chosen in five steps (0.9 to 2.0 times) (Chapter 10, 2.5 “Steps of text size and spacing”)</w:t>
            </w:r>
          </w:p>
        </w:tc>
        <w:tc>
          <w:tcPr>
            <w:tcW w:type="dxa" w:w="13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Readability for Users who enlarge</w:t>
            </w:r>
          </w:p>
        </w:tc>
        <w:tc>
          <w:tcPr>
            <w:tcW w:type="dxa" w:w="1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User</w:t>
            </w:r>
          </w:p>
        </w:tc>
        <w:tc>
          <w:tcPr>
            <w:tcW w:type="dxa" w:w="13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Chapter 10, 2.7 “Readability criteria (WCAG 2.2 AA)”, 12 “Gaps Declared in This Chapter”</w:t>
            </w:r>
          </w:p>
        </w:tc>
      </w:tr>
      <w:tr>
        <w:trPr>
          <w:cantSplit/>
          <w:tblHeader w:val="off"/>
        </w:trPr>
        <w:tc>
          <w:tcPr>
            <w:tcW w:type="dxa" w:w="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H-42</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Including the personal root certificate in the C2PA certificate chain (x5chain) does not follow C2PA 2.4's “should not include”</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The notice code is computed from the personal root's public key, so for viewers to compute the notice code from the image alone, the personal root certificate is needed (Chapter 2, DD-2-9“The personal root certificate is included in x5chain”)</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Other requirements of the specification (requirements for end-entity certificates, etc.) are met. [To be measured] that c2pa-rs and general verification sites show it as Valid</w:t>
            </w:r>
          </w:p>
        </w:tc>
        <w:tc>
          <w:tcPr>
            <w:tcW w:type="dxa" w:w="13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Some validators may show warnings</w:t>
            </w:r>
          </w:p>
        </w:tc>
        <w:tc>
          <w:tcPr>
            <w:tcW w:type="dxa" w:w="1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User</w:t>
            </w:r>
          </w:p>
        </w:tc>
        <w:tc>
          <w:tcPr>
            <w:tcW w:type="dxa" w:w="13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Chapter 2 “Signing Information and Matching”</w:t>
            </w:r>
          </w:p>
        </w:tc>
      </w:tr>
      <w:tr>
        <w:trPr>
          <w:cantSplit/>
          <w:tblHeader w:val="off"/>
        </w:trPr>
        <w:tc>
          <w:tcPr>
            <w:tcW w:type="dxa" w:w="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H-43</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After the notice code is changed (20-year renewal, loss without backup, suspected leak), matching of old works no longer agrees unless the old code is kept in the Notice</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The notice code is made from the personal root's public key, and the personal root is remade every 20 years (Chapter 2, DD-2-11“Certificate validity is long enough that every image is shown valid for 20 years from signing”). The Notice text is posted by the User, and the app cannot rewrite it</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The remaking confirmation dialog guides the User to keep the old code in the Notice as “old code (until date)”. The app keeps past personal roots on the device and can handle the User's old outputs and documents addressed to old codes (Chapter 2, 3.6 “Past personal roots”, 7.2 “Loss and leaks”). A timestamp earlier than the re-posting is a clue</w:t>
            </w:r>
          </w:p>
        </w:tc>
        <w:tc>
          <w:tcPr>
            <w:tcW w:type="dxa" w:w="13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Viewers are confused when matching old works</w:t>
            </w:r>
          </w:p>
        </w:tc>
        <w:tc>
          <w:tcPr>
            <w:tcW w:type="dxa" w:w="1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User</w:t>
            </w:r>
          </w:p>
        </w:tc>
        <w:tc>
          <w:tcPr>
            <w:tcW w:type="dxa" w:w="13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Chapter 2 “Signing Information and Matching”</w:t>
            </w:r>
          </w:p>
        </w:tc>
      </w:tr>
      <w:tr>
        <w:trPr>
          <w:cantSplit/>
          <w:tblHeader w:val="off"/>
        </w:trPr>
        <w:tc>
          <w:tcPr>
            <w:tcW w:type="dxa" w:w="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H-44</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If CI or the GitHub organization is taken over, correctly code-signed fake builds may be placed in official releases</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Code signing credentials are placed in CI secrets, and the official sources and how to tell them are displayed in the same GitHub organization (Chapter 9, DD-9-4“The update signing key stays outside CI; code-signing credentials are CI secrets”)</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Update signatures are outside CI, so fake distributables do not enter existing Users' updates. Owners' two-factor authentication and multiple authentication methods, rules for the main branch and tags, immutable releases, limiting release secrets to the release environment (Chapter 8, 3.5 “Protection of the GitHub account and repository”, Chapter 11, 8.3 “Handling of secrets”). Ask Artifact Signing and Apple to revoke certificates</w:t>
            </w:r>
          </w:p>
        </w:tc>
        <w:tc>
          <w:tcPr>
            <w:tcW w:type="dxa" w:w="13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Users who newly obtain it between the takeover and its discovery</w:t>
            </w:r>
          </w:p>
        </w:tc>
        <w:tc>
          <w:tcPr>
            <w:tcW w:type="dxa" w:w="1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Users who newly obtain it (harmed). Responses (announcement on the public page, requesting certificate revocation, rebuilding) are by NRSD</w:t>
            </w:r>
          </w:p>
        </w:tc>
        <w:tc>
          <w:tcPr>
            <w:tcW w:type="dxa" w:w="13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Chapter 1 “Overall Architecture”, Chapter 8 “Repository and Data Management”, Chapter 9 “Distribution and Updates”, Chapter 11 “Development Base”</w:t>
            </w:r>
          </w:p>
        </w:tc>
      </w:tr>
      <w:tr>
        <w:trPr>
          <w:cantSplit/>
          <w:tblHeader w:val="off"/>
        </w:trPr>
        <w:tc>
          <w:tcPr>
            <w:tcW w:type="dxa" w:w="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H-45</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While the GitHub organization has one owner, if that person loses all authentication and recovery methods, the organization cannot be recovered</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GitHub does not recover accounts that have lost two-factor methods and recovery methods, nor does it recover by identity verification (GitHub's account recovery policy). Free accounts are limited to one per person (Terms of Service B.3), so a second account of one's own cannot be had for free. Paid accounts are not prohibited by the wording of the terms, but what GitHub recommends is “two or more people”, and it would not prepare for accidents in which that person can no longer act</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Register several authentication methods and keep recovery codes on paper in another place. Keep a copy of the Public Repository at hand so it can be rebuilt elsewhere. Make a trusted separate person the second owner (Chapter 8, DD-8-9“Protected by a GitHub organization and immutable releases”, 3.5 “Protection of the GitHub account and repository”)</w:t>
            </w:r>
          </w:p>
        </w:tc>
        <w:tc>
          <w:tcPr>
            <w:tcW w:type="dxa" w:w="13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Loss of the organization name, releases, and existing URLs. A gap until the sources of updates and reference information are switched</w:t>
            </w:r>
          </w:p>
        </w:tc>
        <w:tc>
          <w:tcPr>
            <w:tcW w:type="dxa" w:w="1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NRSD</w:t>
            </w:r>
          </w:p>
        </w:tc>
        <w:tc>
          <w:tcPr>
            <w:tcW w:type="dxa" w:w="13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Chapter 1 “Overall Architecture”, Chapter 8 “Repository and Data Management”</w:t>
            </w:r>
          </w:p>
        </w:tc>
      </w:tr>
      <w:tr>
        <w:trPr>
          <w:cantSplit/>
          <w:tblHeader w:val="off"/>
        </w:trPr>
        <w:tc>
          <w:tcPr>
            <w:tcW w:type="dxa" w:w="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H-46</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Auto-placement may miss the subject</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Estimating salient regions is estimation by a model and can err</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Per-photo adjustment and the “needs adjustment” mark (Chapter 4, 7.2 “Auto-placement”, 12.2 “Photo status”)</w:t>
            </w:r>
          </w:p>
        </w:tc>
        <w:tc>
          <w:tcPr>
            <w:tcW w:type="dxa" w:w="13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On overlooked photos the Visible Signature overlaps the subject</w:t>
            </w:r>
          </w:p>
        </w:tc>
        <w:tc>
          <w:tcPr>
            <w:tcW w:type="dxa" w:w="1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User</w:t>
            </w:r>
          </w:p>
        </w:tc>
        <w:tc>
          <w:tcPr>
            <w:tcW w:type="dxa" w:w="13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Chapter 4 “Image Editing and Batch Application”</w:t>
            </w:r>
          </w:p>
        </w:tc>
      </w:tr>
      <w:tr>
        <w:trPr>
          <w:cantSplit/>
          <w:tblHeader w:val="off"/>
        </w:trPr>
        <w:tc>
          <w:tcPr>
            <w:tcW w:type="dxa" w:w="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H-47</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Characters absent from all bundled and imported fonts cannot be drawn</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OS fonts are not used (Chapter 4, DD-4-6“Text is drawn only with bundled and imported fonts, never OS fonts”)</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Missing glyphs are marked and a list is shown before export. Not exported as boxes (Chapter 4, 3.4 “Missing glyphs”)</w:t>
            </w:r>
          </w:p>
        </w:tc>
        <w:tc>
          <w:tcPr>
            <w:tcW w:type="dxa" w:w="13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Names and text using those characters cannot be drawn</w:t>
            </w:r>
          </w:p>
        </w:tc>
        <w:tc>
          <w:tcPr>
            <w:tcW w:type="dxa" w:w="1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User</w:t>
            </w:r>
          </w:p>
        </w:tc>
        <w:tc>
          <w:tcPr>
            <w:tcW w:type="dxa" w:w="13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Chapter 4 “Image Editing and Batch Application”</w:t>
            </w:r>
          </w:p>
        </w:tc>
      </w:tr>
      <w:tr>
        <w:trPr>
          <w:cantSplit/>
          <w:tblHeader w:val="off"/>
        </w:trPr>
        <w:tc>
          <w:tcPr>
            <w:tcW w:type="dxa" w:w="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H-48</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On Linux, preview photo colors do not reflect the display's color settings</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Linux's screen component (WebKitGTK) outputs sRGB as is and does not look at the display's color settings (the record of the fix for WebKit bug 177185)</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The preview is converted to sRGB in Rust before sending, and looks correct on sRGB displays (Chapter 4, 9.4 “Preview”). Export colors are determined by the drawing components and are not affected by differences in preview display</w:t>
            </w:r>
          </w:p>
        </w:tc>
        <w:tc>
          <w:tcPr>
            <w:tcW w:type="dxa" w:w="13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Color judgment on wide-gamut displays</w:t>
            </w:r>
          </w:p>
        </w:tc>
        <w:tc>
          <w:tcPr>
            <w:tcW w:type="dxa" w:w="1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User</w:t>
            </w:r>
          </w:p>
        </w:tc>
        <w:tc>
          <w:tcPr>
            <w:tcW w:type="dxa" w:w="13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Chapter 4 “Image Editing and Batch Application”, Chapter 11 “Development Base”</w:t>
            </w:r>
          </w:p>
        </w:tc>
      </w:tr>
    </w:tbl>
    <w:p>
      <w:pPr>
        <w:spacing w:after="100" w:before="0"/>
      </w:pPr>
    </w:p>
    <w:p>
      <w:pPr>
        <w:pStyle w:val="Heading2"/>
      </w:pPr>
      <w:r>
        <w:rPr>
          <w:rFonts w:ascii="Calibri" w:eastAsia="Yu Gothic" w:hAnsi="Calibri"/>
        </w:rPr>
        <w:t xml:space="preserve">4.2 When premises (Outline Design Document “Premises”) break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58"/>
        <w:gridCol w:w="1520"/>
        <w:gridCol w:w="4060"/>
      </w:tblGrid>
      <w:tr>
        <w:trPr>
          <w:cantSplit/>
          <w:tblHeader/>
        </w:trPr>
        <w:tc>
          <w:tcPr>
            <w:tcW w:type="dxa" w:w="405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Premise</w:t>
            </w:r>
          </w:p>
        </w:tc>
        <w:tc>
          <w:tcPr>
            <w:tcW w:type="dxa" w:w="15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When it breaks</w:t>
            </w:r>
          </w:p>
        </w:tc>
        <w:tc>
          <w:tcPr>
            <w:tcW w:type="dxa" w:w="406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Handling</w:t>
            </w:r>
          </w:p>
        </w:tc>
      </w:tr>
      <w:tr>
        <w:trPr>
          <w:cantSplit/>
          <w:tblHeader w:val="off"/>
        </w:trPr>
        <w:tc>
          <w:tcPr>
            <w:tcW w:type="dxa" w:w="40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cosplayer understands delivery, the Visible Signature, and the rights relationship with the photographer (D-3-4“The System is built on the premise that delivery, Visible Signatures, and the rights relationship with the photographer are understood by the cosplayer personally”)</w:t>
            </w:r>
          </w:p>
        </w:tc>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There is no agreement on rights between photographer and cosplayer</w:t>
            </w:r>
          </w:p>
        </w:tc>
        <w:tc>
          <w:tcPr>
            <w:tcW w:type="dxa" w:w="40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Joint-rights documents (Chapter 2, 5.2 “Joint rights (photographer and cosplayer)”) are made only when there is agreement. Disputes between parties without agreement are not judged by the System</w:t>
            </w:r>
          </w:p>
        </w:tc>
      </w:tr>
      <w:tr>
        <w:trPr>
          <w:cantSplit/>
          <w:tblHeader w:val="off"/>
        </w:trPr>
        <w:tc>
          <w:tcPr>
            <w:tcW w:type="dxa" w:w="40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No interviews; fixes from feedback after the app is usable (D-3-5“No interviews are conducted; improvement is made based on comments after the System becomes usable”)</w:t>
            </w:r>
          </w:p>
        </w:tc>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No feedback comes</w:t>
            </w:r>
          </w:p>
        </w:tc>
        <w:tc>
          <w:tcPr>
            <w:tcW w:type="dxa" w:w="40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mechanism for composing feedback (Chapter 10, 9 “Feedback Channel”) and trials (Chapter 10, 2.4 “Judgment”) are done before the first publication</w:t>
            </w:r>
          </w:p>
        </w:tc>
      </w:tr>
      <w:tr>
        <w:trPr>
          <w:cantSplit/>
          <w:tblHeader w:val="off"/>
        </w:trPr>
        <w:tc>
          <w:tcPr>
            <w:tcW w:type="dxa" w:w="40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GitHub is usable</w:t>
            </w:r>
          </w:p>
        </w:tc>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GitHub becomes unusable</w:t>
            </w:r>
          </w:p>
        </w:tc>
        <w:tc>
          <w:tcPr>
            <w:tcW w:type="dxa" w:w="40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Updates and reference information are obtained from the mirror. Records are on the device, so work does not stop (Chapter 8, 7 “Dependence on GitHub”)</w:t>
            </w:r>
          </w:p>
        </w:tc>
      </w:tr>
      <w:tr>
        <w:trPr>
          <w:cantSplit/>
          <w:tblHeader w:val="off"/>
        </w:trPr>
        <w:tc>
          <w:tcPr>
            <w:tcW w:type="dxa" w:w="40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NRSD continues operation</w:t>
            </w:r>
          </w:p>
        </w:tc>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NRSD's operation stops</w:t>
            </w:r>
          </w:p>
        </w:tc>
        <w:tc>
          <w:tcPr>
            <w:tcW w:type="dxa" w:w="40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Distribution of updates and reference information stops. Records remain on the device, and C2PA signatures can be verified because they do not rely on revocation lists. Termination is announced under the terms (“Change and termination of services” in Chapter 12, 4.1 “List of clauses”)</w:t>
            </w:r>
          </w:p>
        </w:tc>
      </w:tr>
      <w:tr>
        <w:trPr>
          <w:cantSplit/>
          <w:tblHeader w:val="off"/>
        </w:trPr>
        <w:tc>
          <w:tcPr>
            <w:tcW w:type="dxa" w:w="40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Zero gaps is impossible</w:t>
            </w:r>
          </w:p>
        </w:tc>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c>
          <w:tcPr>
            <w:tcW w:type="dxa" w:w="40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Declared as in 4.1 of this chapter</w:t>
            </w:r>
          </w:p>
        </w:tc>
      </w:tr>
    </w:tbl>
    <w:p>
      <w:pPr>
        <w:spacing w:after="100" w:before="0"/>
      </w:pPr>
    </w:p>
    <w:p>
      <w:pPr>
        <w:pStyle w:val="Heading2"/>
      </w:pPr>
      <w:r>
        <w:rPr>
          <w:rFonts w:ascii="Calibri" w:eastAsia="Yu Gothic" w:hAnsi="Calibri"/>
        </w:rPr>
        <w:t xml:space="preserve">4.3 Legal issues</w:t>
      </w:r>
    </w:p>
    <w:p>
      <w:pPr>
        <w:pStyle w:val="ListParagraph"/>
        <w:keepNext/>
        <w:keepLines/>
        <w:numPr>
          <w:ilvl w:val="0"/>
          <w:numId w:val="2"/>
        </w:numPr>
        <w:spacing w:after="20" w:before="20" w:line="300"/>
      </w:pPr>
      <w:r>
        <w:rPr>
          <w:rFonts w:ascii="Calibri" w:eastAsia="Yu Gothic" w:hAnsi="Calibri"/>
        </w:rPr>
        <w:t xml:space="preserve">The issues of Chapter 12, 7 “Legal Issues (Placed in the Legal Research as Material for Operational Decisions)” (the arrangement on unauthorized practice of law, the presumption under the Electronic Signatures Act, copying for evidence, whether it constitutes a telecommunications business, whether representatives or agents abroad are needed for feedback e-mails, minor Users, the precedence between the license and the Terms of Use) are not guaranteed by the design to meet legal requirements, and are left to NRSD's operational decisions.</w:t>
      </w:r>
    </w:p>
    <w:p>
      <w:pPr>
        <w:pStyle w:val="ListParagraph"/>
        <w:keepNext/>
        <w:keepLines/>
        <w:numPr>
          <w:ilvl w:val="0"/>
          <w:numId w:val="2"/>
        </w:numPr>
        <w:spacing w:after="20" w:before="20" w:line="300"/>
      </w:pPr>
      <w:r>
        <w:rPr>
          <w:rFonts w:ascii="Calibri" w:eastAsia="Yu Gothic" w:hAnsi="Calibri"/>
        </w:rPr>
        <w:t xml:space="preserve">The System does not collect Users' information. All NRSD receives is feedback e-mails Users send themselves, and their handling is published in the Privacy Policy (Chapter 12, 5 “Privacy Policy”). Personal information laws abroad (China's Personal Information Protection Law, the GDPR, etc.) become operational issues only for these e-mails.</w:t>
      </w:r>
    </w:p>
    <w:p>
      <w:pPr>
        <w:pStyle w:val="ListParagraph"/>
        <w:keepNext/>
        <w:keepLines/>
        <w:numPr>
          <w:ilvl w:val="0"/>
          <w:numId w:val="2"/>
        </w:numPr>
        <w:spacing w:after="20" w:before="20" w:line="300"/>
      </w:pPr>
      <w:r>
        <w:rPr>
          <w:rFonts w:ascii="Calibri" w:eastAsia="Yu Gothic" w:hAnsi="Calibri"/>
        </w:rPr>
        <w:t xml:space="preserve">Export control is treated, by using only public standard cryptography and distributing it publicly and free of charge, as a transaction not requiring permission in Japan and as not requiring notification in the United States, and is checked at each release (Chapter 12, DD-12-8“Only public standard cryptography is used, distributed openly and free of charge”).</w:t>
      </w:r>
    </w:p>
    <w:p>
      <w:pPr>
        <w:pStyle w:val="ListParagraph"/>
        <w:keepNext w:val="false"/>
        <w:keepLines/>
        <w:numPr>
          <w:ilvl w:val="0"/>
          <w:numId w:val="2"/>
        </w:numPr>
        <w:spacing w:after="20" w:before="20" w:line="300"/>
      </w:pPr>
      <w:r>
        <w:rPr>
          <w:rFonts w:ascii="Calibri" w:eastAsia="Yu Gothic" w:hAnsi="Calibri"/>
        </w:rPr>
        <w:t xml:space="preserve">The wording of Rights Documents is distributed only after review by experts (Chapter 12, DD-12-10“The wording of Rights Documents is distributed only after expert review”, Design Plan 9.5 “Approach to Governing Law (Reference)”). Countries not yet reviewed are shown only by the link to complete coverage (Chapter 5, 4 “Management of the Wording”).</w:t>
      </w:r>
    </w:p>
    <w:p>
      <w:pPr>
        <w:pStyle w:val="Heading1"/>
      </w:pPr>
      <w:r>
        <w:rPr>
          <w:rFonts w:ascii="Calibri" w:eastAsia="Yu Gothic" w:hAnsi="Calibri"/>
        </w:rPr>
        <w:t xml:space="preserve">5. List of Measurements and Checks</w:t>
      </w:r>
    </w:p>
    <w:p>
      <w:pPr>
        <w:pStyle w:val="ListParagraph"/>
        <w:keepNext/>
        <w:keepLines/>
        <w:numPr>
          <w:ilvl w:val="0"/>
          <w:numId w:val="2"/>
        </w:numPr>
        <w:spacing w:after="20" w:before="20" w:line="300"/>
      </w:pPr>
      <w:r>
        <w:rPr>
          <w:rFonts w:ascii="Calibri" w:eastAsia="Yu Gothic" w:hAnsi="Calibri"/>
        </w:rPr>
        <w:t xml:space="preserve">The [To be measured], [To be confirmed], and [Estimate required] items of each chapter are collected. Listed here are the values and behaviors placed as design premises whose measurement results would revise the design. Premise values placed in each chapter (times, sizes, rates) are written in each chapter and not listed in this section. These are not pass criteria for tests. How to check and the pass criteria are set in the test documents (this document does not write tests).</w:t>
      </w:r>
    </w:p>
    <w:p>
      <w:pPr>
        <w:pStyle w:val="ListParagraph"/>
        <w:keepNext/>
        <w:keepLines/>
        <w:numPr>
          <w:ilvl w:val="0"/>
          <w:numId w:val="2"/>
        </w:numPr>
        <w:spacing w:after="20" w:before="20" w:line="300"/>
      </w:pPr>
      <w:r>
        <w:rPr>
          <w:rFonts w:ascii="Calibri" w:eastAsia="Yu Gothic" w:hAnsi="Calibri"/>
        </w:rPr>
        <w:t xml:space="preserve">The handling when results deviate is written in the relevant section of each chapter (e.g., if TrustMark's time deviates from the premise, the variant is changed; Chapter 3, 5 “Invisible Watermark”).</w:t>
      </w:r>
    </w:p>
    <w:p>
      <w:pPr>
        <w:pStyle w:val="ListParagraph"/>
        <w:keepNext w:val="false"/>
        <w:keepLines/>
        <w:numPr>
          <w:ilvl w:val="0"/>
          <w:numId w:val="2"/>
        </w:numPr>
        <w:spacing w:after="20" w:before="20" w:line="300"/>
      </w:pPr>
      <w:r>
        <w:rPr>
          <w:rFonts w:ascii="Calibri" w:eastAsia="Yu Gothic" w:hAnsi="Calibri"/>
        </w:rPr>
        <w:t xml:space="preserve">The sections are divided by when the design depends on the premise (early implementation, first build, mid-implementation, before publication, trials).</w:t>
      </w:r>
    </w:p>
    <w:p>
      <w:pPr>
        <w:pStyle w:val="Heading2"/>
      </w:pPr>
      <w:r>
        <w:rPr>
          <w:rFonts w:ascii="Calibri" w:eastAsia="Yu Gothic" w:hAnsi="Calibri"/>
        </w:rPr>
        <w:t xml:space="preserve">5.1 Checked early in implementation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73"/>
        <w:gridCol w:w="3265"/>
      </w:tblGrid>
      <w:tr>
        <w:trPr>
          <w:cantSplit/>
          <w:tblHeader/>
        </w:trPr>
        <w:tc>
          <w:tcPr>
            <w:tcW w:type="dxa" w:w="637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Matter</w:t>
            </w:r>
          </w:p>
        </w:tc>
        <w:tc>
          <w:tcPr>
            <w:tcW w:type="dxa" w:w="326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Chapter</w:t>
            </w:r>
          </w:p>
        </w:tc>
      </w:tr>
      <w:tr>
        <w:trPr>
          <w:cantSplit/>
          <w:tblHeader w:val="off"/>
        </w:trPr>
        <w:tc>
          <w:tcPr>
            <w:tcW w:type="dxa" w:w="63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That c2pa-rs makes C2PA signatures with the two-tier certificates made on the device and verification yields “valid (signer not on the trust list)”</w:t>
            </w:r>
          </w:p>
        </w:tc>
        <w:tc>
          <w:tcPr>
            <w:tcW w:type="dxa" w:w="32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2, 3.5 “Fields”</w:t>
            </w:r>
          </w:p>
        </w:tc>
      </w:tr>
      <w:tr>
        <w:trPr>
          <w:cantSplit/>
          <w:tblHeader w:val="off"/>
        </w:trPr>
        <w:tc>
          <w:tcPr>
            <w:tcW w:type="dxa" w:w="63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That the macOS Keychain can read keys without a confirmation dialog even after updating an app signed by the same developer</w:t>
            </w:r>
          </w:p>
        </w:tc>
        <w:tc>
          <w:tcPr>
            <w:tcW w:type="dxa" w:w="32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2, 7.5 “Storage method per OS”</w:t>
            </w:r>
          </w:p>
        </w:tc>
      </w:tr>
      <w:tr>
        <w:trPr>
          <w:cantSplit/>
          <w:tblHeader w:val="off"/>
        </w:trPr>
        <w:tc>
          <w:tcPr>
            <w:tcW w:type="dxa" w:w="63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That the adopted c2pa-rs version can write </w:t>
            </w:r>
            <w:r>
              <w:rPr>
                <w:rFonts w:ascii="Consolas" w:eastAsia="Yu Gothic" w:hAnsi="Consolas"/>
                <w:b w:val="false"/>
                <w:bCs w:val="false"/>
                <w:sz w:val="18"/>
                <w:szCs w:val="18"/>
              </w:rPr>
              <w:t xml:space="preserve">c2pa.watermarked.bound</w:t>
            </w:r>
            <w:r>
              <w:rPr>
                <w:rFonts w:ascii="Calibri" w:eastAsia="Yu Gothic" w:hAnsi="Calibri"/>
                <w:b w:val="false"/>
                <w:bCs w:val="false"/>
                <w:sz w:val="18"/>
                <w:szCs w:val="18"/>
              </w:rPr>
              <w:t xml:space="preserve"> and </w:t>
            </w:r>
            <w:r>
              <w:rPr>
                <w:rFonts w:ascii="Consolas" w:eastAsia="Yu Gothic" w:hAnsi="Consolas"/>
                <w:b w:val="false"/>
                <w:bCs w:val="false"/>
                <w:sz w:val="18"/>
                <w:szCs w:val="18"/>
              </w:rPr>
              <w:t xml:space="preserve">relatedAssertions</w:t>
            </w:r>
          </w:p>
        </w:tc>
        <w:tc>
          <w:tcPr>
            <w:tcW w:type="dxa" w:w="32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3, 3.4 “Recording of actions”</w:t>
            </w:r>
          </w:p>
        </w:tc>
      </w:tr>
      <w:tr>
        <w:trPr>
          <w:cantSplit/>
          <w:tblHeader w:val="off"/>
        </w:trPr>
        <w:tc>
          <w:tcPr>
            <w:tcW w:type="dxa" w:w="63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adopted c2pa-rs version's list of exempt actions and list of validation status codes</w:t>
            </w:r>
          </w:p>
        </w:tc>
        <w:tc>
          <w:tcPr>
            <w:tcW w:type="dxa" w:w="32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3, 3.4 “Recording of actions”, 10.2 “Checking by the User”</w:t>
            </w:r>
          </w:p>
        </w:tc>
      </w:tr>
      <w:tr>
        <w:trPr>
          <w:cantSplit/>
          <w:tblHeader w:val="off"/>
        </w:trPr>
        <w:tc>
          <w:tcPr>
            <w:tcW w:type="dxa" w:w="63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Embedding and verification with 16-bit TIFF</w:t>
            </w:r>
          </w:p>
        </w:tc>
        <w:tc>
          <w:tcPr>
            <w:tcW w:type="dxa" w:w="32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3, 3.7 “Embedding per format”</w:t>
            </w:r>
          </w:p>
        </w:tc>
      </w:tr>
      <w:tr>
        <w:trPr>
          <w:cantSplit/>
          <w:tblHeader w:val="off"/>
        </w:trPr>
        <w:tc>
          <w:tcPr>
            <w:tcW w:type="dxa" w:w="63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That when c2pa-rs embeds after XMP and EXIF are written, the segments remain and verification passes (four formats)</w:t>
            </w:r>
          </w:p>
        </w:tc>
        <w:tc>
          <w:tcPr>
            <w:tcW w:type="dxa" w:w="32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3, 3.6 “The file's rights statement (IPTC photo metadata)”</w:t>
            </w:r>
          </w:p>
        </w:tc>
      </w:tr>
      <w:tr>
        <w:trPr>
          <w:cantSplit/>
          <w:tblHeader w:val="off"/>
        </w:trPr>
        <w:tc>
          <w:tcPr>
            <w:tcW w:type="dxa" w:w="63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TrustMark's CPU processing time, and the time at 100 million pixels</w:t>
            </w:r>
          </w:p>
        </w:tc>
        <w:tc>
          <w:tcPr>
            <w:tcW w:type="dxa" w:w="32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 14.1 “Scale and performance targets”, Chapter 3, 5 “Invisible Watermark”</w:t>
            </w:r>
          </w:p>
        </w:tc>
      </w:tr>
      <w:tr>
        <w:trPr>
          <w:cantSplit/>
          <w:tblHeader w:val="off"/>
        </w:trPr>
        <w:tc>
          <w:tcPr>
            <w:tcW w:type="dxa" w:w="63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Agreement between pdqhash and the original reference implementation</w:t>
            </w:r>
          </w:p>
        </w:tc>
        <w:tc>
          <w:tcPr>
            <w:tcW w:type="dxa" w:w="32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11, DD-11-4“PDQ uses pdqhash”</w:t>
            </w:r>
          </w:p>
        </w:tc>
      </w:tr>
      <w:tr>
        <w:trPr>
          <w:cantSplit/>
          <w:tblHeader w:val="off"/>
        </w:trPr>
        <w:tc>
          <w:tcPr>
            <w:tcW w:type="dxa" w:w="63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Vertical glyphs (the three bundled fonts with vertical glyphs)</w:t>
            </w:r>
          </w:p>
        </w:tc>
        <w:tc>
          <w:tcPr>
            <w:tcW w:type="dxa" w:w="32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4, 3.3 “Vertical writing”</w:t>
            </w:r>
          </w:p>
        </w:tc>
      </w:tr>
      <w:tr>
        <w:trPr>
          <w:cantSplit/>
          <w:tblHeader w:val="off"/>
        </w:trPr>
        <w:tc>
          <w:tcPr>
            <w:tcW w:type="dxa" w:w="63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Drawing match across three OSes</w:t>
            </w:r>
          </w:p>
        </w:tc>
        <w:tc>
          <w:tcPr>
            <w:tcW w:type="dxa" w:w="32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4, 3.5 “Drawing”</w:t>
            </w:r>
          </w:p>
        </w:tc>
      </w:tr>
      <w:tr>
        <w:trPr>
          <w:cantSplit/>
          <w:tblHeader w:val="off"/>
        </w:trPr>
        <w:tc>
          <w:tcPr>
            <w:tcW w:type="dxa" w:w="63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That all COLRv1 paints of emoji can be drawn</w:t>
            </w:r>
          </w:p>
        </w:tc>
        <w:tc>
          <w:tcPr>
            <w:tcW w:type="dxa" w:w="32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4, 6.3 “Emoji”</w:t>
            </w:r>
          </w:p>
        </w:tc>
      </w:tr>
      <w:tr>
        <w:trPr>
          <w:cantSplit/>
          <w:tblHeader w:val="off"/>
        </w:trPr>
        <w:tc>
          <w:tcPr>
            <w:tcW w:type="dxa" w:w="63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Time to draw one group and show it on screen</w:t>
            </w:r>
          </w:p>
        </w:tc>
        <w:tc>
          <w:tcPr>
            <w:tcW w:type="dxa" w:w="32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4, 9.4 “Preview”</w:t>
            </w:r>
          </w:p>
        </w:tc>
      </w:tr>
      <w:tr>
        <w:trPr>
          <w:cantSplit/>
          <w:tblHeader w:val="off"/>
        </w:trPr>
        <w:tc>
          <w:tcPr>
            <w:tcW w:type="dxa" w:w="63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Difference in color conversion between moxcms and lcms2</w:t>
            </w:r>
          </w:p>
        </w:tc>
        <w:tc>
          <w:tcPr>
            <w:tcW w:type="dxa" w:w="32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4, 14.2 “Processing”</w:t>
            </w:r>
          </w:p>
        </w:tc>
      </w:tr>
      <w:tr>
        <w:trPr>
          <w:cantSplit/>
          <w:tblHeader w:val="off"/>
        </w:trPr>
        <w:tc>
          <w:tcPr>
            <w:tcW w:type="dxa" w:w="63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That written WARC files can be opened with common tools (pywb, etc.)</w:t>
            </w:r>
          </w:p>
        </w:tc>
        <w:tc>
          <w:tcPr>
            <w:tcW w:type="dxa" w:w="32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6, 2.2.1 “Saving in WARC”</w:t>
            </w:r>
          </w:p>
        </w:tc>
      </w:tr>
      <w:tr>
        <w:trPr>
          <w:cantSplit/>
          <w:tblHeader w:val="off"/>
        </w:trPr>
        <w:tc>
          <w:tcPr>
            <w:tcW w:type="dxa" w:w="63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Correctness of the form of </w:t>
            </w:r>
            <w:r>
              <w:rPr>
                <w:rFonts w:ascii="Consolas" w:eastAsia="Yu Gothic" w:hAnsi="Consolas"/>
                <w:b w:val="false"/>
                <w:bCs w:val="false"/>
                <w:sz w:val="18"/>
                <w:szCs w:val="18"/>
              </w:rPr>
              <w:t xml:space="preserve">00_RIGHTS.json</w:t>
            </w:r>
            <w:r>
              <w:rPr>
                <w:rFonts w:ascii="Calibri" w:eastAsia="Yu Gothic" w:hAnsi="Calibri"/>
                <w:b w:val="false"/>
                <w:bCs w:val="false"/>
                <w:sz w:val="18"/>
                <w:szCs w:val="18"/>
              </w:rPr>
              <w:t xml:space="preserve"> (ODRL validation tools)</w:t>
            </w:r>
          </w:p>
        </w:tc>
        <w:tc>
          <w:tcPr>
            <w:tcW w:type="dxa" w:w="32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5, 3.6 “Machine-readable Permitted Scope (ODRL)”</w:t>
            </w:r>
          </w:p>
        </w:tc>
      </w:tr>
      <w:tr>
        <w:trPr>
          <w:cantSplit/>
          <w:tblHeader w:val="off"/>
        </w:trPr>
        <w:tc>
          <w:tcPr>
            <w:tcW w:type="dxa" w:w="63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That with c2pa-rs's </w:t>
            </w:r>
            <w:r>
              <w:rPr>
                <w:rFonts w:ascii="Consolas" w:eastAsia="Yu Gothic" w:hAnsi="Consolas"/>
                <w:b w:val="false"/>
                <w:bCs w:val="false"/>
                <w:sz w:val="18"/>
                <w:szCs w:val="18"/>
              </w:rPr>
              <w:t xml:space="preserve">rust_native_crypto</w:t>
            </w:r>
            <w:r>
              <w:rPr>
                <w:rFonts w:ascii="Calibri" w:eastAsia="Yu Gothic" w:hAnsi="Calibri"/>
                <w:b w:val="false"/>
                <w:bCs w:val="false"/>
                <w:sz w:val="18"/>
                <w:szCs w:val="18"/>
              </w:rPr>
              <w:t xml:space="preserve">, verification of timestamps and certificate chains works the same as with OpenSSL</w:t>
            </w:r>
          </w:p>
        </w:tc>
        <w:tc>
          <w:tcPr>
            <w:tcW w:type="dxa" w:w="32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11, DD-11-15“c2pa-rs does not bring in OpenSSL”</w:t>
            </w:r>
          </w:p>
        </w:tc>
      </w:tr>
      <w:tr>
        <w:trPr>
          <w:cantSplit/>
          <w:tblHeader w:val="off"/>
        </w:trPr>
        <w:tc>
          <w:tcPr>
            <w:tcW w:type="dxa" w:w="63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That the operator tool can sign the reference information index with a YubiKey PIV key</w:t>
            </w:r>
          </w:p>
        </w:tc>
        <w:tc>
          <w:tcPr>
            <w:tcW w:type="dxa" w:w="32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8, 3.4 “Reference information package”, Chapter 1, 19 “Operator Tool”</w:t>
            </w:r>
          </w:p>
        </w:tc>
      </w:tr>
      <w:tr>
        <w:trPr>
          <w:cantSplit/>
          <w:tblHeader w:val="off"/>
        </w:trPr>
        <w:tc>
          <w:tcPr>
            <w:tcW w:type="dxa" w:w="63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That on PCs whose CPUs do not support x86-64-v3 it does not crash at start and can report that they are unsupported. That it runs under x64 emulation on ARM Windows</w:t>
            </w:r>
          </w:p>
        </w:tc>
        <w:tc>
          <w:tcPr>
            <w:tcW w:type="dxa" w:w="32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11, 3.1 “Minimum supported OS versions”, Chapter 9, 2.1 “Distributables per OS”</w:t>
            </w:r>
          </w:p>
        </w:tc>
      </w:tr>
      <w:tr>
        <w:trPr>
          <w:cantSplit/>
          <w:tblHeader w:val="off"/>
        </w:trPr>
        <w:tc>
          <w:tcPr>
            <w:tcW w:type="dxa" w:w="63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App start-up</w:t>
            </w:r>
          </w:p>
        </w:tc>
        <w:tc>
          <w:tcPr>
            <w:tcW w:type="dxa" w:w="32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 14.1 “Scale and performance targets”</w:t>
            </w:r>
          </w:p>
        </w:tc>
      </w:tr>
      <w:tr>
        <w:trPr>
          <w:cantSplit/>
          <w:tblHeader w:val="off"/>
        </w:trPr>
        <w:tc>
          <w:tcPr>
            <w:tcW w:type="dxa" w:w="63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That the ONNX runtime's dynamic library can be loaded under macOS library validation</w:t>
            </w:r>
          </w:p>
        </w:tc>
        <w:tc>
          <w:tcPr>
            <w:tcW w:type="dxa" w:w="32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9, 3.1 “Code signing”</w:t>
            </w:r>
          </w:p>
        </w:tc>
      </w:tr>
      <w:tr>
        <w:trPr>
          <w:cantSplit/>
          <w:tblHeader w:val="off"/>
        </w:trPr>
        <w:tc>
          <w:tcPr>
            <w:tcW w:type="dxa" w:w="63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With outputs of C2PA-capable cameras and Lightroom, the assertions containing location, model, and serial numbers (the list of redaction targets)</w:t>
            </w:r>
          </w:p>
        </w:tc>
        <w:tc>
          <w:tcPr>
            <w:tcW w:type="dxa" w:w="32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3, 3.8 “Redaction of ingredient manifests”</w:t>
            </w:r>
          </w:p>
        </w:tc>
      </w:tr>
      <w:tr>
        <w:trPr>
          <w:cantSplit/>
          <w:tblHeader w:val="off"/>
        </w:trPr>
        <w:tc>
          <w:tcPr>
            <w:tcW w:type="dxa" w:w="63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form of the soft binding value written by the c2pa-rs and TrustMark implementations</w:t>
            </w:r>
          </w:p>
        </w:tc>
        <w:tc>
          <w:tcPr>
            <w:tcW w:type="dxa" w:w="32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3, 3.1 “Fields recorded”</w:t>
            </w:r>
          </w:p>
        </w:tc>
      </w:tr>
      <w:tr>
        <w:trPr>
          <w:cantSplit/>
          <w:tblHeader w:val="off"/>
        </w:trPr>
        <w:tc>
          <w:tcPr>
            <w:tcW w:type="dxa" w:w="63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Color difference when drawing on 16-bit Adobe RGB TIFF</w:t>
            </w:r>
          </w:p>
        </w:tc>
        <w:tc>
          <w:tcPr>
            <w:tcW w:type="dxa" w:w="32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4, 14.2 “Processing”</w:t>
            </w:r>
          </w:p>
        </w:tc>
      </w:tr>
      <w:tr>
        <w:trPr>
          <w:cantSplit/>
          <w:tblHeader w:val="off"/>
        </w:trPr>
        <w:tc>
          <w:tcPr>
            <w:tcW w:type="dxa" w:w="63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version of trustmark on crates.io at the start of implementation (whether 0.3.0 or later exists; whether taking in per 4.4 is needed)</w:t>
            </w:r>
          </w:p>
        </w:tc>
        <w:tc>
          <w:tcPr>
            <w:tcW w:type="dxa" w:w="32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11, 4.4 “Taking in TrustMark”</w:t>
            </w:r>
          </w:p>
        </w:tc>
      </w:tr>
      <w:tr>
        <w:trPr>
          <w:cantSplit/>
          <w:tblHeader w:val="off"/>
        </w:trPr>
        <w:tc>
          <w:tcPr>
            <w:tcW w:type="dxa" w:w="63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That c2pa-rs and the parser of the public page's “Check notice code” page can read certificates with notAfter in 2050 or later (GeneralizedTime)</w:t>
            </w:r>
          </w:p>
        </w:tc>
        <w:tc>
          <w:tcPr>
            <w:tcW w:type="dxa" w:w="32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2, 3.4 “Expiry and input errors”</w:t>
            </w:r>
          </w:p>
        </w:tc>
      </w:tr>
      <w:tr>
        <w:trPr>
          <w:cantSplit/>
          <w:tblHeader w:val="off"/>
        </w:trPr>
        <w:tc>
          <w:tcPr>
            <w:tcW w:type="dxa" w:w="63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That c2pa-rs can handle redaction of assertions in deeply nested ingredient manifests</w:t>
            </w:r>
          </w:p>
        </w:tc>
        <w:tc>
          <w:tcPr>
            <w:tcW w:type="dxa" w:w="32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3, 3.8 “Redaction of ingredient manifests”</w:t>
            </w:r>
          </w:p>
        </w:tc>
      </w:tr>
    </w:tbl>
    <w:p>
      <w:pPr>
        <w:spacing w:after="100" w:before="0"/>
      </w:pPr>
    </w:p>
    <w:p>
      <w:pPr>
        <w:pStyle w:val="Heading2"/>
      </w:pPr>
      <w:r>
        <w:rPr>
          <w:rFonts w:ascii="Calibri" w:eastAsia="Yu Gothic" w:hAnsi="Calibri"/>
        </w:rPr>
        <w:t xml:space="preserve">5.2 Checked at the first build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127"/>
        <w:gridCol w:w="3511"/>
      </w:tblGrid>
      <w:tr>
        <w:trPr>
          <w:cantSplit/>
          <w:tblHeader/>
        </w:trPr>
        <w:tc>
          <w:tcPr>
            <w:tcW w:type="dxa" w:w="612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Matter</w:t>
            </w:r>
          </w:p>
        </w:tc>
        <w:tc>
          <w:tcPr>
            <w:tcW w:type="dxa" w:w="351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Chapter</w:t>
            </w:r>
          </w:p>
        </w:tc>
      </w:tr>
      <w:tr>
        <w:trPr>
          <w:cantSplit/>
          <w:tblHeader w:val="off"/>
        </w:trPr>
        <w:tc>
          <w:tcPr>
            <w:tcW w:type="dxa" w:w="61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Total size of distributables</w:t>
            </w:r>
          </w:p>
        </w:tc>
        <w:tc>
          <w:tcPr>
            <w:tcW w:type="dxa" w:w="35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9, 2 “Installation”, Chapter 11, 4.3 “Assets”</w:t>
            </w:r>
          </w:p>
        </w:tc>
      </w:tr>
      <w:tr>
        <w:trPr>
          <w:cantSplit/>
          <w:tblHeader w:val="off"/>
        </w:trPr>
        <w:tc>
          <w:tcPr>
            <w:tcW w:type="dxa" w:w="61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Checking each component's license in the distributables</w:t>
            </w:r>
          </w:p>
        </w:tc>
        <w:tc>
          <w:tcPr>
            <w:tcW w:type="dxa" w:w="35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11, 4.2 “Screen components”</w:t>
            </w:r>
          </w:p>
        </w:tc>
      </w:tr>
      <w:tr>
        <w:trPr>
          <w:cantSplit/>
          <w:tblHeader w:val="off"/>
        </w:trPr>
        <w:tc>
          <w:tcPr>
            <w:tcW w:type="dxa" w:w="61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minimum supported OS of the bundled ONNX runtime (</w:t>
            </w:r>
            <w:r>
              <w:rPr>
                <w:rFonts w:ascii="Consolas" w:eastAsia="Yu Gothic" w:hAnsi="Consolas"/>
                <w:b w:val="false"/>
                <w:bCs w:val="false"/>
                <w:sz w:val="18"/>
                <w:szCs w:val="18"/>
              </w:rPr>
              <w:t xml:space="preserve">minos</w:t>
            </w:r>
            <w:r>
              <w:rPr>
                <w:rFonts w:ascii="Calibri" w:eastAsia="Yu Gothic" w:hAnsi="Calibri"/>
                <w:b w:val="false"/>
                <w:bCs w:val="false"/>
                <w:sz w:val="18"/>
                <w:szCs w:val="18"/>
              </w:rPr>
              <w:t xml:space="preserve"> on macOS)</w:t>
            </w:r>
          </w:p>
        </w:tc>
        <w:tc>
          <w:tcPr>
            <w:tcW w:type="dxa" w:w="35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11, 3.1 “Minimum supported OS versions”, 8.2 “At release”</w:t>
            </w:r>
          </w:p>
        </w:tc>
      </w:tr>
      <w:tr>
        <w:trPr>
          <w:cantSplit/>
          <w:tblHeader w:val="off"/>
        </w:trPr>
        <w:tc>
          <w:tcPr>
            <w:tcW w:type="dxa" w:w="61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That the AppImage starts in a fresh Ubuntu 24.04 environment (without FUSE 2)</w:t>
            </w:r>
          </w:p>
        </w:tc>
        <w:tc>
          <w:tcPr>
            <w:tcW w:type="dxa" w:w="35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9, 2.1 “Distributables per OS”</w:t>
            </w:r>
          </w:p>
        </w:tc>
      </w:tr>
      <w:tr>
        <w:trPr>
          <w:cantSplit/>
          <w:tblHeader w:val="off"/>
        </w:trPr>
        <w:tc>
          <w:tcPr>
            <w:tcW w:type="dxa" w:w="61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That on macOS starting directly from the DMG can be detected and the User told to move it to “Applications”</w:t>
            </w:r>
          </w:p>
        </w:tc>
        <w:tc>
          <w:tcPr>
            <w:tcW w:type="dxa" w:w="35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9, 2.1 “Distributables per OS”</w:t>
            </w:r>
          </w:p>
        </w:tc>
      </w:tr>
      <w:tr>
        <w:trPr>
          <w:cantSplit/>
          <w:tblHeader w:val="off"/>
        </w:trPr>
        <w:tc>
          <w:tcPr>
            <w:tcW w:type="dxa" w:w="61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size of the shared components bundled in the Linux AppImage (expected to be about 70 MB or more)</w:t>
            </w:r>
          </w:p>
        </w:tc>
        <w:tc>
          <w:tcPr>
            <w:tcW w:type="dxa" w:w="35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9, 2.1 “Distributables per OS”</w:t>
            </w:r>
          </w:p>
        </w:tc>
      </w:tr>
      <w:tr>
        <w:trPr>
          <w:cantSplit/>
          <w:tblHeader w:val="off"/>
        </w:trPr>
        <w:tc>
          <w:tcPr>
            <w:tcW w:type="dxa" w:w="61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Where macOS WKWebView data is created (a target of the erase-records operation)</w:t>
            </w:r>
          </w:p>
        </w:tc>
        <w:tc>
          <w:tcPr>
            <w:tcW w:type="dxa" w:w="35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8, 2.1 “Arrangement”</w:t>
            </w:r>
          </w:p>
        </w:tc>
      </w:tr>
    </w:tbl>
    <w:p>
      <w:pPr>
        <w:spacing w:after="100" w:before="0"/>
      </w:pPr>
    </w:p>
    <w:p>
      <w:pPr>
        <w:pStyle w:val="Heading2"/>
      </w:pPr>
      <w:r>
        <w:rPr>
          <w:rFonts w:ascii="Calibri" w:eastAsia="Yu Gothic" w:hAnsi="Calibri"/>
        </w:rPr>
        <w:t xml:space="preserve">5.3 Checked mid-implementation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76"/>
        <w:gridCol w:w="4462"/>
      </w:tblGrid>
      <w:tr>
        <w:trPr>
          <w:cantSplit/>
          <w:tblHeader/>
        </w:trPr>
        <w:tc>
          <w:tcPr>
            <w:tcW w:type="dxa" w:w="517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Matter</w:t>
            </w:r>
          </w:p>
        </w:tc>
        <w:tc>
          <w:tcPr>
            <w:tcW w:type="dxa" w:w="446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Chapter</w:t>
            </w:r>
          </w:p>
        </w:tc>
      </w:tr>
      <w:tr>
        <w:trPr>
          <w:cantSplit/>
          <w:tblHeader w:val="off"/>
        </w:trPr>
        <w:tc>
          <w:tcPr>
            <w:tcW w:type="dxa" w:w="51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Time to create reduced images and auto-place 500 photos</w:t>
            </w:r>
          </w:p>
        </w:tc>
        <w:tc>
          <w:tcPr>
            <w:tcW w:type="dxa" w:w="44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4, 7.2 “Auto-placement”, 12.4 “Large numbers of photos”</w:t>
            </w:r>
          </w:p>
        </w:tc>
      </w:tr>
      <w:tr>
        <w:trPr>
          <w:cantSplit/>
          <w:tblHeader w:val="off"/>
        </w:trPr>
        <w:tc>
          <w:tcPr>
            <w:tcW w:type="dxa" w:w="51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First display of a list of 10,000 works, scrolling a grid of 500 images</w:t>
            </w:r>
          </w:p>
        </w:tc>
        <w:tc>
          <w:tcPr>
            <w:tcW w:type="dxa" w:w="44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10, 3.4 “Displaying large lists”</w:t>
            </w:r>
          </w:p>
        </w:tc>
      </w:tr>
      <w:tr>
        <w:trPr>
          <w:cantSplit/>
          <w:tblHeader w:val="off"/>
        </w:trPr>
        <w:tc>
          <w:tcPr>
            <w:tcW w:type="dxa" w:w="51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Time to create a 5 GB backup including evidence</w:t>
            </w:r>
          </w:p>
        </w:tc>
        <w:tc>
          <w:tcPr>
            <w:tcW w:type="dxa" w:w="44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8, 5.2 “How it is made”</w:t>
            </w:r>
          </w:p>
        </w:tc>
      </w:tr>
      <w:tr>
        <w:trPr>
          <w:cantSplit/>
          <w:tblHeader w:val="off"/>
        </w:trPr>
        <w:tc>
          <w:tcPr>
            <w:tcW w:type="dxa" w:w="51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Exporting 500 images for social media</w:t>
            </w:r>
          </w:p>
        </w:tc>
        <w:tc>
          <w:tcPr>
            <w:tcW w:type="dxa" w:w="44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 14.1 “Scale and performance targets”</w:t>
            </w:r>
          </w:p>
        </w:tc>
      </w:tr>
    </w:tbl>
    <w:p>
      <w:pPr>
        <w:spacing w:after="100" w:before="0"/>
      </w:pPr>
    </w:p>
    <w:p>
      <w:pPr>
        <w:pStyle w:val="Heading2"/>
      </w:pPr>
      <w:r>
        <w:rPr>
          <w:rFonts w:ascii="Calibri" w:eastAsia="Yu Gothic" w:hAnsi="Calibri"/>
        </w:rPr>
        <w:t xml:space="preserve">5.4 Checked before posting and publication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51"/>
        <w:gridCol w:w="4487"/>
      </w:tblGrid>
      <w:tr>
        <w:trPr>
          <w:cantSplit/>
          <w:tblHeader/>
        </w:trPr>
        <w:tc>
          <w:tcPr>
            <w:tcW w:type="dxa" w:w="515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Matter</w:t>
            </w:r>
          </w:p>
        </w:tc>
        <w:tc>
          <w:tcPr>
            <w:tcW w:type="dxa" w:w="448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Chapter</w:t>
            </w:r>
          </w:p>
        </w:tc>
      </w:tr>
      <w:tr>
        <w:trPr>
          <w:cantSplit/>
          <w:tblHeader w:val="off"/>
        </w:trPr>
        <w:tc>
          <w:tcPr>
            <w:tcW w:type="dxa" w:w="51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Read rate of the invisible watermark</w:t>
            </w:r>
          </w:p>
        </w:tc>
        <w:tc>
          <w:tcPr>
            <w:tcW w:type="dxa" w:w="44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3, 5 “Invisible Watermark”</w:t>
            </w:r>
          </w:p>
        </w:tc>
      </w:tr>
      <w:tr>
        <w:trPr>
          <w:cantSplit/>
          <w:tblHeader w:val="off"/>
        </w:trPr>
        <w:tc>
          <w:tcPr>
            <w:tcW w:type="dxa" w:w="51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Whether C2PA signatures remain in Patreon post images and attachments, and in Google Drive</w:t>
            </w:r>
          </w:p>
        </w:tc>
        <w:tc>
          <w:tcPr>
            <w:tcW w:type="dxa" w:w="44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3, 10.3 “Retention on posting sites and in the cloud”</w:t>
            </w:r>
          </w:p>
        </w:tc>
      </w:tr>
      <w:tr>
        <w:trPr>
          <w:cantSplit/>
          <w:tblHeader w:val="off"/>
        </w:trPr>
        <w:tc>
          <w:tcPr>
            <w:tcW w:type="dxa" w:w="51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Display size and recompression on each posting site</w:t>
            </w:r>
          </w:p>
        </w:tc>
        <w:tc>
          <w:tcPr>
            <w:tcW w:type="dxa" w:w="44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4, 14.1 “Export presets”</w:t>
            </w:r>
          </w:p>
        </w:tc>
      </w:tr>
      <w:tr>
        <w:trPr>
          <w:cantSplit/>
          <w:tblHeader w:val="off"/>
        </w:trPr>
        <w:tc>
          <w:tcPr>
            <w:tcW w:type="dxa" w:w="51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Reachability of the mirror and README from mainland China</w:t>
            </w:r>
          </w:p>
        </w:tc>
        <w:tc>
          <w:tcPr>
            <w:tcW w:type="dxa" w:w="44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8, 6.2 “Mainland China”, Chapter 9, 5 “Download Routes”</w:t>
            </w:r>
          </w:p>
        </w:tc>
      </w:tr>
      <w:tr>
        <w:trPr>
          <w:cantSplit/>
          <w:tblHeader w:val="off"/>
        </w:trPr>
        <w:tc>
          <w:tcPr>
            <w:tcW w:type="dxa" w:w="51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Weibo's profile limit</w:t>
            </w:r>
          </w:p>
        </w:tc>
        <w:tc>
          <w:tcPr>
            <w:tcW w:type="dxa" w:w="44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2, 2.2 “Limits of the places where notice codes are posted”</w:t>
            </w:r>
          </w:p>
        </w:tc>
      </w:tr>
      <w:tr>
        <w:trPr>
          <w:cantSplit/>
          <w:tblHeader w:val="off"/>
        </w:trPr>
        <w:tc>
          <w:tcPr>
            <w:tcW w:type="dxa" w:w="51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pixiv's contact point for requests under the Information Distribution Platform Act (check in the Ministry's list after notification within 3 months of designation)</w:t>
            </w:r>
          </w:p>
        </w:tc>
        <w:tc>
          <w:tcPr>
            <w:tcW w:type="dxa" w:w="44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7, 2.1 “List of contact points in the first edition (initial content of the reference information)”</w:t>
            </w:r>
          </w:p>
        </w:tc>
      </w:tr>
    </w:tbl>
    <w:p>
      <w:pPr>
        <w:spacing w:after="100" w:before="0"/>
      </w:pPr>
    </w:p>
    <w:p>
      <w:pPr>
        <w:pStyle w:val="Heading2"/>
      </w:pPr>
      <w:r>
        <w:rPr>
          <w:rFonts w:ascii="Calibri" w:eastAsia="Yu Gothic" w:hAnsi="Calibri"/>
        </w:rPr>
        <w:t xml:space="preserve">5.5 Checked in User trials (preview version)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4"/>
        <w:gridCol w:w="3434"/>
      </w:tblGrid>
      <w:tr>
        <w:trPr>
          <w:cantSplit/>
          <w:tblHeader/>
        </w:trPr>
        <w:tc>
          <w:tcPr>
            <w:tcW w:type="dxa" w:w="620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Matter</w:t>
            </w:r>
          </w:p>
        </w:tc>
        <w:tc>
          <w:tcPr>
            <w:tcW w:type="dxa" w:w="343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Chapter</w:t>
            </w:r>
          </w:p>
        </w:tc>
      </w:tr>
      <w:tr>
        <w:trPr>
          <w:cantSplit/>
          <w:tblHeader w:val="off"/>
        </w:trPr>
        <w:tc>
          <w:tcPr>
            <w:tcW w:type="dxa" w:w="62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Hit rate of auto-placement</w:t>
            </w:r>
          </w:p>
        </w:tc>
        <w:tc>
          <w:tcPr>
            <w:tcW w:type="dxa" w:w="34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4, 7.2 “Auto-placement”</w:t>
            </w:r>
          </w:p>
        </w:tc>
      </w:tr>
      <w:tr>
        <w:trPr>
          <w:cantSplit/>
          <w:tblHeader w:val="off"/>
        </w:trPr>
        <w:tc>
          <w:tcPr>
            <w:tcW w:type="dxa" w:w="62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Understandability (first-run input, Permitted Scope, export and registration)</w:t>
            </w:r>
          </w:p>
        </w:tc>
        <w:tc>
          <w:tcPr>
            <w:tcW w:type="dxa" w:w="34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10, 2.4 “Judgment”</w:t>
            </w:r>
          </w:p>
        </w:tc>
      </w:tr>
    </w:tbl>
    <w:p>
      <w:pPr>
        <w:spacing w:after="100" w:before="0"/>
      </w:pPr>
    </w:p>
    <w:p>
      <w:pPr>
        <w:pStyle w:val="Heading2"/>
      </w:pPr>
      <w:r>
        <w:rPr>
          <w:rFonts w:ascii="Calibri" w:eastAsia="Yu Gothic" w:hAnsi="Calibri"/>
        </w:rPr>
        <w:t xml:space="preserve">5.6 Estimates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01"/>
        <w:gridCol w:w="4537"/>
      </w:tblGrid>
      <w:tr>
        <w:trPr>
          <w:cantSplit/>
          <w:tblHeader/>
        </w:trPr>
        <w:tc>
          <w:tcPr>
            <w:tcW w:type="dxa" w:w="510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Matter</w:t>
            </w:r>
          </w:p>
        </w:tc>
        <w:tc>
          <w:tcPr>
            <w:tcW w:type="dxa" w:w="453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Chapter</w:t>
            </w:r>
          </w:p>
        </w:tc>
      </w:tr>
      <w:tr>
        <w:trPr>
          <w:cantSplit/>
          <w:tblHeader w:val="off"/>
        </w:trPr>
        <w:tc>
          <w:tcPr>
            <w:tcW w:type="dxa" w:w="51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Cost of the Hong Kong mirror (unit prices of Alibaba Cloud OSS in the Hong Kong region; the formula is in Chapter 8, 6.3 “Estimate of mirror cost”)</w:t>
            </w:r>
          </w:p>
        </w:tc>
        <w:tc>
          <w:tcPr>
            <w:tcW w:type="dxa" w:w="45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1, 18.2 “Operating costs (initial estimate at publication, researched in September 2026)”, Chapter 8, 6.3 “Estimate of mirror cost”</w:t>
            </w:r>
          </w:p>
        </w:tc>
      </w:tr>
      <w:tr>
        <w:trPr>
          <w:cantSplit/>
          <w:tblHeader w:val="off"/>
        </w:trPr>
        <w:tc>
          <w:tcPr>
            <w:tcW w:type="dxa" w:w="51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Cost of expert review of the wording of Rights Documents</w:t>
            </w:r>
          </w:p>
        </w:tc>
        <w:tc>
          <w:tcPr>
            <w:tcW w:type="dxa" w:w="45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1, 18.2 “Operating costs (initial estimate at publication, researched in September 2026)”</w:t>
            </w:r>
          </w:p>
        </w:tc>
      </w:tr>
      <w:tr>
        <w:trPr>
          <w:cantSplit/>
          <w:tblHeader w:val="off"/>
        </w:trPr>
        <w:tc>
          <w:tcPr>
            <w:tcW w:type="dxa" w:w="51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Offerings and fees of paid timestamps for evidence for individuals</w:t>
            </w:r>
          </w:p>
        </w:tc>
        <w:tc>
          <w:tcPr>
            <w:tcW w:type="dxa" w:w="45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6, 3.2 “Trusted timestamps”</w:t>
            </w:r>
          </w:p>
        </w:tc>
      </w:tr>
      <w:tr>
        <w:trPr>
          <w:cantSplit/>
          <w:tblHeader w:val="off"/>
        </w:trPr>
        <w:tc>
          <w:tcPr>
            <w:tcW w:type="dxa" w:w="51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Preparing virtual machines of the minimum OSes for release checks</w:t>
            </w:r>
          </w:p>
        </w:tc>
        <w:tc>
          <w:tcPr>
            <w:tcW w:type="dxa" w:w="45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9, 6.1 “Procedure”</w:t>
            </w:r>
          </w:p>
        </w:tc>
      </w:tr>
    </w:tbl>
    <w:p>
      <w:pPr>
        <w:spacing w:after="100" w:before="0"/>
      </w:pPr>
    </w:p>
    <w:p>
      <w:pPr>
        <w:pStyle w:val="Heading1"/>
      </w:pPr>
      <w:r>
        <w:rPr>
          <w:rFonts w:ascii="Calibri" w:eastAsia="Yu Gothic" w:hAnsi="Calibri"/>
        </w:rPr>
        <w:t xml:space="preserve">6. Matters NRSD Checks and Decides [NRSD to confirm]</w:t>
      </w:r>
    </w:p>
    <w:p>
      <w:pPr>
        <w:pStyle w:val="ListParagraph"/>
        <w:keepNext w:val="false"/>
        <w:keepLines/>
        <w:numPr>
          <w:ilvl w:val="0"/>
          <w:numId w:val="2"/>
        </w:numPr>
        <w:spacing w:after="20" w:before="20" w:line="300"/>
      </w:pPr>
      <w:r>
        <w:rPr>
          <w:rFonts w:ascii="Calibri" w:eastAsia="Yu Gothic" w:hAnsi="Calibri"/>
        </w:rPr>
        <w:t xml:space="preserve">None (as of 2026-09-30). NRSD's development and operation structure is set in Chapter 1, 3 “Constraints” (one Lead Developer, no commissioning).</w:t>
      </w:r>
    </w:p>
    <w:p>
      <w:pPr>
        <w:pStyle w:val="Heading1"/>
      </w:pPr>
      <w:r>
        <w:rPr>
          <w:rFonts w:ascii="Calibri" w:eastAsia="Yu Gothic" w:hAnsi="Calibri"/>
        </w:rPr>
        <w:t xml:space="preserve">7. Corrections to the Outline Design Document</w:t>
      </w:r>
    </w:p>
    <w:p>
      <w:pPr>
        <w:pStyle w:val="ListParagraph"/>
        <w:keepNext/>
        <w:keepLines/>
        <w:numPr>
          <w:ilvl w:val="0"/>
          <w:numId w:val="2"/>
        </w:numPr>
        <w:spacing w:after="20" w:before="20" w:line="300"/>
      </w:pPr>
      <w:r>
        <w:rPr>
          <w:rFonts w:ascii="Calibri" w:eastAsia="Yu Gothic" w:hAnsi="Calibri"/>
        </w:rPr>
        <w:t xml:space="preserve">Align the table of gaps in Outline Design Document 13-4 “Declaration of gaps” with the table of 4.1 “Gaps in the mechanism” of this chapter (H-1“Prior C2PA signing, replacement, and counter-complaints by persons posing as the Rights Holder cannot be prevented” to H-48“On Linux, preview photo colors do not reflect the display's color settings”).</w:t>
      </w:r>
    </w:p>
    <w:p>
      <w:pPr>
        <w:pStyle w:val="ListParagraph"/>
        <w:keepNext w:val="false"/>
        <w:keepLines/>
        <w:numPr>
          <w:ilvl w:val="0"/>
          <w:numId w:val="2"/>
        </w:numPr>
        <w:spacing w:after="20" w:before="20" w:line="300"/>
      </w:pPr>
      <w:r>
        <w:rPr>
          <w:rFonts w:ascii="Calibri" w:eastAsia="Yu Gothic" w:hAnsi="Calibri"/>
        </w:rPr>
        <w:t xml:space="preserve">The requirements of the Outline Design Document are 150 (R-4-1-5“Elements can be stacked as layers, with stacking order, visibility, locking, and opacity” and R-4-4-3“The state of editing in progress is saved automatically and can be resumed later” of Chapter 4 were added).</w:t>
      </w:r>
    </w:p>
    <w:sectPr>
      <w:headerReference w:type="default" r:id="rId6"/>
      <w:footerReference w:type="default" r:id="rId7"/>
      <w:pgSz w:w="11906" w:h="16838" w:orient="portrait"/>
      <w:pgMar w:top="1304" w:right="1134" w:bottom="130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Anti-Repost Tool for Cosplay Photos Basic Design Document Chapter 13: Design Verification  Edition 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300"/>
      </w:pPr>
    </w:lvl>
    <w:lvl w:ilvl="1" w:tentative="1">
      <w:start w:val="1"/>
      <w:numFmt w:val="bullet"/>
      <w:lvlText w:val="◦"/>
      <w:lvlJc w:val="left"/>
      <w:pPr>
        <w:ind w:left="780" w:hanging="300"/>
      </w:pPr>
    </w:lvl>
    <w:lvl w:ilvl="2" w:tentative="1">
      <w:start w:val="1"/>
      <w:numFmt w:val="bullet"/>
      <w:lvlText w:val="▪"/>
      <w:lvlJc w:val="left"/>
      <w:pPr>
        <w:ind w:left="1140" w:hanging="300"/>
      </w:pPr>
    </w:lvl>
  </w:abstractNum>
  <w:abstractNum w:abstractNumId="3" w15:restartNumberingAfterBreak="0">
    <w:multiLevelType w:val="hybridMultilevel"/>
    <w:lvl w:ilvl="0" w: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Yu Gothic" w:hAnsi="Calibri"/>
        <w:sz w:val="21"/>
        <w:szCs w:val="21"/>
        <w:lang w:val="en-US" w:eastAsia="ja-JP"/>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Calibri" w:cs="Calibri" w:eastAsia="Calibri" w:hAnsi="Calibri"/>
      <w:b/>
      <w:bCs/>
      <w:color w:val="345A8A"/>
      <w:sz w:val="30"/>
      <w:szCs w:val="30"/>
    </w:rPr>
  </w:style>
  <w:style w:type="paragraph" w:styleId="Heading2">
    <w:name w:val="Heading 2"/>
    <w:basedOn w:val="Normal"/>
    <w:next w:val="Normal"/>
    <w:qFormat/>
    <w:pPr>
      <w:keepNext/>
      <w:spacing w:after="100" w:before="280"/>
      <w:outlineLvl w:val="1"/>
    </w:pPr>
    <w:rPr>
      <w:rFonts w:ascii="Calibri" w:cs="Calibri" w:eastAsia="Calibri" w:hAnsi="Calibri"/>
      <w:b/>
      <w:bCs/>
      <w:color w:val="4F81BD"/>
      <w:sz w:val="25"/>
      <w:szCs w:val="25"/>
    </w:rPr>
  </w:style>
  <w:style w:type="paragraph" w:styleId="Heading3">
    <w:name w:val="Heading 3"/>
    <w:basedOn w:val="Normal"/>
    <w:next w:val="Normal"/>
    <w:qFormat/>
    <w:pPr>
      <w:keepNext/>
      <w:spacing w:after="80" w:before="200"/>
      <w:outlineLvl w:val="2"/>
    </w:pPr>
    <w:rPr>
      <w:rFonts w:ascii="Calibri" w:cs="Calibri" w:eastAsia="Calibri" w:hAnsi="Calibri"/>
      <w:b/>
      <w:bCs/>
      <w:color w:val="4F81B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Design Document Chapter 13: Design Verification</dc:title>
  <dc:creator>Ishikawa Sou</dc:creator>
  <cp:lastModifiedBy>Un-named</cp:lastModifiedBy>
  <cp:revision>1</cp:revision>
  <dcterms:created xsi:type="dcterms:W3CDTF">2026-09-30T00:15:32.642Z</dcterms:created>
  <dcterms:modified xsi:type="dcterms:W3CDTF">2026-09-30T00:15:32.643Z</dcterms:modified>
</cp:coreProperties>
</file>

<file path=docProps/custom.xml><?xml version="1.0" encoding="utf-8"?>
<Properties xmlns="http://schemas.openxmlformats.org/officeDocument/2006/custom-properties" xmlns:vt="http://schemas.openxmlformats.org/officeDocument/2006/docPropsVTypes"/>
</file>