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Legal Research</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 and Disclaimer</w:t>
      </w:r>
    </w:p>
    <w:p>
      <w:pPr>
        <w:spacing w:after="40" w:before="40"/>
        <w:ind w:left="240"/>
      </w:pPr>
      <w:r>
        <w:rPr>
          <w:rFonts w:ascii="Calibri" w:cs="Calibri" w:eastAsia="Calibri" w:hAnsi="Calibri"/>
          <w:sz w:val="22"/>
          <w:szCs w:val="22"/>
        </w:rPr>
        <w:t xml:space="preserve">1. List (Area of Law, Country, Point in the System)</w:t>
      </w:r>
    </w:p>
    <w:p>
      <w:pPr>
        <w:spacing w:after="40" w:before="40"/>
        <w:ind w:left="240"/>
      </w:pPr>
      <w:r>
        <w:rPr>
          <w:rFonts w:ascii="Calibri" w:cs="Calibri" w:eastAsia="Calibri" w:hAnsi="Calibri"/>
          <w:sz w:val="22"/>
          <w:szCs w:val="22"/>
        </w:rPr>
        <w:t xml:space="preserve">2. Items</w:t>
      </w:r>
    </w:p>
    <w:p>
      <w:pPr>
        <w:spacing w:after="40" w:before="40"/>
        <w:ind w:left="240"/>
      </w:pPr>
      <w:r>
        <w:rPr>
          <w:rFonts w:ascii="Calibri" w:cs="Calibri" w:eastAsia="Calibri" w:hAnsi="Calibri"/>
          <w:sz w:val="22"/>
          <w:szCs w:val="22"/>
        </w:rPr>
        <w:t xml:space="preserve">3. Declarations and Registrations by Users (Whether Required)</w:t>
      </w:r>
    </w:p>
    <w:p>
      <w:pPr>
        <w:spacing w:after="40" w:before="40"/>
        <w:ind w:left="240"/>
      </w:pPr>
      <w:r>
        <w:rPr>
          <w:rFonts w:ascii="Calibri" w:cs="Calibri" w:eastAsia="Calibri" w:hAnsi="Calibri"/>
          <w:sz w:val="22"/>
          <w:szCs w:val="22"/>
        </w:rPr>
        <w:t xml:space="preserve">4. Sources</w:t>
      </w:r>
    </w:p>
    <w:p>
      <w:r>
        <w:br w:type="page"/>
      </w:r>
    </w:p>
    <w:p>
      <w:pPr>
        <w:pStyle w:val="Heading1"/>
      </w:pPr>
      <w:r>
        <w:rPr>
          <w:rFonts w:ascii="Calibri" w:eastAsia="Yu Gothic" w:hAnsi="Calibri"/>
        </w:rPr>
        <w:t xml:space="preserve">Position of This Document and Disclaimer</w:t>
      </w:r>
    </w:p>
    <w:p>
      <w:pPr>
        <w:pStyle w:val="ListParagraph"/>
        <w:keepNext/>
        <w:keepLines/>
        <w:numPr>
          <w:ilvl w:val="0"/>
          <w:numId w:val="2"/>
        </w:numPr>
        <w:spacing w:after="20" w:before="20" w:line="300"/>
      </w:pPr>
      <w:r>
        <w:rPr>
          <w:rFonts w:ascii="Calibri" w:eastAsia="Yu Gothic" w:hAnsi="Calibri"/>
        </w:rPr>
        <w:t xml:space="preserve">This document is the set of legal documents linked from Chapter 12 “Interface with Legal” of the Outline Design Document. The design documents refer to the items of this document (L numbers).</w:t>
      </w:r>
    </w:p>
    <w:p>
      <w:pPr>
        <w:pStyle w:val="ListParagraph"/>
        <w:keepNext/>
        <w:keepLines/>
        <w:numPr>
          <w:ilvl w:val="0"/>
          <w:numId w:val="2"/>
        </w:numPr>
        <w:spacing w:after="20" w:before="20" w:line="300"/>
      </w:pPr>
      <w:r>
        <w:rPr>
          <w:rFonts w:ascii="Calibri" w:eastAsia="Yu Gothic" w:hAnsi="Calibri"/>
        </w:rPr>
        <w:t xml:space="preserve">NRSD is not a lawyer or other legal expert. This document compiles interpretations generally presented for each law and their sources, and does not guarantee legal judgments. Consult experts about individual cases.</w:t>
      </w:r>
    </w:p>
    <w:p>
      <w:pPr>
        <w:pStyle w:val="ListParagraph"/>
        <w:keepNext/>
        <w:keepLines/>
        <w:numPr>
          <w:ilvl w:val="0"/>
          <w:numId w:val="2"/>
        </w:numPr>
        <w:spacing w:after="20" w:before="20" w:line="300"/>
      </w:pPr>
      <w:r>
        <w:rPr>
          <w:rFonts w:ascii="Calibri" w:eastAsia="Yu Gothic" w:hAnsi="Calibri"/>
        </w:rPr>
        <w:t xml:space="preserve">The System does not deal with legal problems. The purpose is to show Users “what to look at in order to respond”.</w:t>
      </w:r>
    </w:p>
    <w:p>
      <w:pPr>
        <w:pStyle w:val="ListParagraph"/>
        <w:keepNext/>
        <w:keepLines/>
        <w:numPr>
          <w:ilvl w:val="0"/>
          <w:numId w:val="2"/>
        </w:numPr>
        <w:spacing w:after="20" w:before="20" w:line="300"/>
      </w:pPr>
      <w:r>
        <w:rPr>
          <w:rFonts w:ascii="Calibri" w:eastAsia="Yu Gothic" w:hAnsi="Calibri"/>
        </w:rPr>
        <w:t xml:space="preserve">The System does not handle problems concerning the rights to the original works of cosplay (characters, etc.) (Outline Design Document “What the System protects and does not protect”). Neither does this document.</w:t>
      </w:r>
    </w:p>
    <w:p>
      <w:pPr>
        <w:pStyle w:val="ListParagraph"/>
        <w:keepNext/>
        <w:keepLines/>
        <w:numPr>
          <w:ilvl w:val="0"/>
          <w:numId w:val="2"/>
        </w:numPr>
        <w:spacing w:after="20" w:before="20" w:line="300"/>
      </w:pPr>
      <w:r>
        <w:rPr>
          <w:rFonts w:ascii="Calibri" w:eastAsia="Yu Gothic" w:hAnsi="Calibri"/>
        </w:rPr>
        <w:t xml:space="preserve">Edition 2 (2026-09-29): in line with Design Plan Edition 2 (not collecting Users' information, completed within the Client App), L-11“Personal information protection (User information) (Japan)”, L-12“Personal information protection and cross-border transfer (China)”, L-14“Export control of software containing cryptography (Japan, US)”, L-18“GitHub terms”, L-19“Font licenses”, L-24“Treatment of electronic signatures and electronic data as evidence (Japan, China, US)”, L-25“Terms of Use (standard terms) and disclaimers (Japan)”, L-28“Telecommunications Business Act (notification, external transmission rules) (Japan)”, and Section 3 “Declarations and Registrations by Users (Whether Required)” were revised, and L-30“Labeling of AI-generated and synthesized content (China)” and L-31“Contracts with foreign consumers (governing law and jurisdiction) (Japan)” were added.</w:t>
      </w:r>
    </w:p>
    <w:p>
      <w:pPr>
        <w:pStyle w:val="ListParagraph"/>
        <w:keepNext/>
        <w:keepLines/>
        <w:numPr>
          <w:ilvl w:val="0"/>
          <w:numId w:val="2"/>
        </w:numPr>
        <w:spacing w:after="20" w:before="20" w:line="300"/>
      </w:pPr>
      <w:r>
        <w:rPr>
          <w:rFonts w:ascii="Calibri" w:eastAsia="Yu Gothic" w:hAnsi="Calibri"/>
        </w:rPr>
        <w:t xml:space="preserve">Edition 3 (2026-09-30): following an external audit, L-1“Removal or alteration of rights management information (Japan)” (item numbers, prosecution on complaint), L-2“Removal or alteration of rights management information (China)” and L-3“Removal or alteration of rights management information (US)” (requirement of intent and exclusions), L-5“Portrait rights and publicity rights (Japan)” (case law on the limit of tolerance), L-7“Takedown request procedures (Japan)” (limited to requests by the published method), L-8“Takedown request procedures (China)” (Civil Code and E-Commerce Law), and L-24“Treatment of electronic signatures and electronic data as evidence (Japan, China, US)” (external means of reinforcing evidence) were revised, and L-32“Copyright infringement and remedies (Japan, China, US)”, L-33“Disclosure of sender information (Japan)”, and L-34“Third-party personal information in evidence (Japan)” were added.</w:t>
      </w:r>
    </w:p>
    <w:p>
      <w:pPr>
        <w:pStyle w:val="ListParagraph"/>
        <w:keepNext w:val="false"/>
        <w:keepLines/>
        <w:numPr>
          <w:ilvl w:val="0"/>
          <w:numId w:val="2"/>
        </w:numPr>
        <w:spacing w:after="20" w:before="20" w:line="300"/>
      </w:pPr>
      <w:r>
        <w:rPr>
          <w:rFonts w:ascii="Calibri" w:eastAsia="Yu Gothic" w:hAnsi="Calibri"/>
        </w:rPr>
        <w:t xml:space="preserve">Provisions are as of the time of research. Amendments are followed (Outline Design Document R-7-3-1“References to each country's laws are accumulated in an “all countries” frame and delivered to Users”, R-5-3-2“Updates can be delivered to Users (distribution of reference information; 1-3)”).</w:t>
      </w:r>
    </w:p>
    <w:p>
      <w:pPr>
        <w:pStyle w:val="Heading1"/>
      </w:pPr>
      <w:r>
        <w:rPr>
          <w:rFonts w:ascii="Calibri" w:eastAsia="Yu Gothic" w:hAnsi="Calibri"/>
        </w:rPr>
        <w:t xml:space="preserve">1. List (Area of Law, Country, Point in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120"/>
        <w:gridCol w:w="1620"/>
        <w:gridCol w:w="2789"/>
        <w:gridCol w:w="209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 number</w:t>
            </w:r>
          </w:p>
        </w:tc>
        <w:tc>
          <w:tcPr>
            <w:tcW w:type="dxa" w:w="2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w:t>
            </w:r>
          </w:p>
        </w:tc>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Country</w:t>
            </w:r>
          </w:p>
        </w:tc>
        <w:tc>
          <w:tcPr>
            <w:tcW w:type="dxa" w:w="27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Summary</w:t>
            </w:r>
          </w:p>
        </w:tc>
        <w:tc>
          <w:tcPr>
            <w:tcW w:type="dxa" w:w="20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Point in the design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Removal and alteration of rights management information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Act Article 2(1)(xxii), Article 113(8). Deemed infringement. Commercial purposes are subject to criminal penalties (prosecution on complaint). Removal due to technical constraints is excluded</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5 “Rights Documents”, Chapter 6 “Registration and Evidence Preservation”, 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Removal and alteration of rights management information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Law Articles 51, 53, 54 (Draft Project Proposal [16]). Prohibits intentional removal, except where technically unavoidable</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5 “Rights Documents”, Chapter 6 “Registration and Evidence Preservation”, 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Removal and alteration of rights management information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17 U.S.C. §1202, §1203 (statutory damages of USD 2,500 to 25,000 per violation). Requires intent and knowledge of the connection to infringement</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5 “Rights Documents”, Chapter 6 “Registration and Evidence Preservation”, 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L-4</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rights management information (treaty)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International</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WIPO Copyright Treaty Article 12 (Design Plan [27])</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L-5</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Portrait rights, publicity rights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Case law. Portrait rights: the limit-of-tolerance standard of the Supreme Court judgment of November 10, 2005. Publicity rights: the three categories of the Supreme Court judgment of February 2, 2012 (Pink Lady)</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L-6</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Portrait rights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Civil Code Articles 1018 and 1019 (Draft Project Proposal [17])</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L-7</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Procedures for takedown requests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Distribution Platform Act (in force April 1, 2025). Large providers in principle notify the result of their decision on requests made by the published method within 7 days</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L-8</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Procedures for takedown requests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Civil Code Articles 1195 and 1196, E-Commerce Law Articles 42 and 43, Regulations on the Protection of the Right of Communication through Information Network Articles 14 to 17. Notices require the rights holder's true identity information. After a counter, the measures end unless a complaint or suit is filed within a reasonable period (15 days for e-commerce)</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L-9</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Procedures for takedown requests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17 U.S.C. §512(c)(3). Notices require the complainant's contact information. Counter-notifications are forwarded to the complainant</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L-10</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Handling legal services (unauthorized practice of law)</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Attorney Act Article 72. Ministry of Justice guidelines (August 2023)</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L-11</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personal information (Users' information)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 on the Protection of Personal Information. Handling of feedback e-mails received by NRSD (publication under Article 32). Use of foreign cloud services and “understanding the external environment”</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L-12</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personal information, cross-border transfer</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Personal Information Protection Law Article 3 (extraterritorial application), Article 38 (conditions for cross-border transfer), Article 53 (domestic representative of foreign processors)</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L-13</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of personal information (extraterritorial application)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EU</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GDPR Article 3(2)</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L-14</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control of software containing cryptography</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providing programs whose source code is published does not require permission (Ministerial Order on Trade-Related Non-Trade Transactions Article 9(2)(ix)(d)). US: publicly available encryption source code is not subject to the EAR; notification only for non-standard cryptography (2021 amendment)</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“Distribution and Updates”, Chapter 11 “Development Base”,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L-15</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Evidential treatment of trusted timestamps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Over 100,000 court documents using trusted timestamps as evidence (April 2025)</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6 “Registration and Evidence Preservation”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L-16</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Trusted timestamp system</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Timestamp accreditation system by the Minister for Internal Affairs and Communications (from 2021)</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6 “Registration and Evidence Preservation”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L-17</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Terms of sales platforms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Patreon Terms of Use: creators own; members have a limited license for private use; no sharing without the creator's permission</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L-18</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GitHub's terms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DMCA policy. Prohibition on posting third parties' personal information</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“Repository and Data Management”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L-19</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Font licenses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SIL OFL allows bundling with software. Subsetting is a modification and the Reserved Font Name cannot be used. Images made are not subject to OFL</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“Image Editing and Batch Application”, Chapter 11 “Development Base”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L-20</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Periods for claiming damages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3 years from knowledge, 20 years from the act. CN: 3 years, at most 20 years. US: 3 years from accrual of the claim (many circuits count from discovery)</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(keeping evidence), Chapter 6 “Registration and Evidence Preservation”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L-21</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Copying for evidence</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Act Article 41-2: copying is permitted to the extent deemed necessary for judicial proceedings (except where it unreasonably prejudices the copyright holder's interests)</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“Registration and Evidence Preservation”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L-22</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registration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 of the real name (Article 75), registration of the date of first publication, etc. (Article 76). The register is public, and registrations can be searched</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“Interface with Legal” (guiding Users on registration)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L-23</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registration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Trial Measures for Voluntary Registration of Works. Optional. Foreign authors are under the jurisdiction of the National Copyright Administration</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L-24</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Evidential treatment of electronic signatures and electronic data</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Electronic Signatures Act Article 3 (presumption for electronic signatures by the principal). CN: Electronic Signature Law Articles 13 and 14, Provisions on Evidence in Civil Procedures Articles 93 and 94. US: Federal Rule of Evidence 902(14)</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6 “Registration and Evidence Preservation”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L-25</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Terms of Use (standard terms) and disclaimers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Civil Code Articles 548-2 to 548-4. Consumer Contract Act Article 8 (paragraph 3 by the 2022 amendment). Consumer contracts even when free of charge. Relation to the no-warranty clauses of OSS licenses. The Product Liability Act does not extend to software</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L-26</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Minor Users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majority at 18, rescission of minors' juridical acts (Civil Code Articles 4 and 5). CN: under 14 requires guardian consent (Personal Information Protection Law Article 31). US: COPPA (under 13)</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“Signing Information and Matching”, Chapter 10 “Screens and Design”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L-27</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Representatives of foreign businesses and applicability thresholds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EU, UK, 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GDPR and UK GDPR Article 27 (representative in the territory). Applicability thresholds of California's CCPA</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L-28</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Telecommunications Business Act (notification, external transmission rules)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“Item 3 businesses” that do not intermediate others' communications and have no line facilities do not require notification. The external transmission rules require notice, publication, or consent when users' terminals are made to send information to third parties in covered services. Information truly necessary to provide the service is excluded</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“Overall Architecture”, Chapter 10 “Screens and Design”,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L-29</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Commissioning design and characters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 a contract assigning copyright, unless the rights of translation, adaptation, etc. (Articles 27 and 28) are specifically mentioned, they are presumed reserved to the assignor (Article 61(2)). Moral rights cannot be assigned (Article 59)</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“Screens and Design”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L-30</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Labeling of AI generation and synthesis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CN</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Measures for Labeling AI-Generated Synthetic Content (in force September 1, 2025), GB 45438-2025. Posting sites check AI labels in metadata</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“Signing”, 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L-31</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Contracts with consumers abroad (governing law and jurisdiction)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 on General Rules for Application of Laws Article 11, Code of Civil Procedure Articles 3-4 and 3-7(5)</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“Interface with Legal”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L-32</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infringement and remedies</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CN, US</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 injunctions (Article 112), presumption of the amount of damage (Article 114), criminal penalties (Article 119; prosecution on complaint, with exceptions for paid works, etc.). CN: Articles 52 to 54. US: Sections 501, 502, 504</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“Rights Documents”, 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L-33</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Disclosure of sender information</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Distribution Platform Act Article 5 (request for disclosure), Article 8 (disclosure order)</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L-34</w:t>
            </w:r>
          </w:p>
        </w:tc>
        <w:tc>
          <w:tcPr>
            <w:tcW w:type="dxa" w:w="2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Third parties' personal information captured in evidence</w:t>
            </w:r>
          </w:p>
        </w:tc>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w:t>
            </w:r>
          </w:p>
        </w:tc>
        <w:tc>
          <w:tcPr>
            <w:tcW w:type="dxa" w:w="27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business handling personal information is one that uses it for business. NRSD does not receive it. Whether a User is one depends on the User's circumstances</w:t>
            </w:r>
          </w:p>
        </w:tc>
        <w:tc>
          <w:tcPr>
            <w:tcW w:type="dxa" w:w="20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“Registration and Evidence Preservation”, Chapter 8 “Repository and Data Management”</w:t>
            </w:r>
          </w:p>
        </w:tc>
      </w:tr>
    </w:tbl>
    <w:p>
      <w:pPr>
        <w:spacing w:after="100" w:before="0"/>
      </w:pPr>
    </w:p>
    <w:p>
      <w:pPr>
        <w:pStyle w:val="Heading1"/>
      </w:pPr>
      <w:r>
        <w:rPr>
          <w:rFonts w:ascii="Calibri" w:eastAsia="Yu Gothic" w:hAnsi="Calibri"/>
        </w:rPr>
        <w:t xml:space="preserve">2. Items</w:t>
      </w:r>
    </w:p>
    <w:p>
      <w:pPr>
        <w:pStyle w:val="Heading2"/>
      </w:pPr>
      <w:r>
        <w:rPr>
          <w:rFonts w:ascii="Calibri" w:eastAsia="Yu Gothic" w:hAnsi="Calibri"/>
        </w:rPr>
        <w:t xml:space="preserve">L-1“Removal or alteration of rights management information (Japan)” Japan: Rights management information</w:t>
      </w:r>
    </w:p>
    <w:p>
      <w:pPr>
        <w:pStyle w:val="ListParagraph"/>
        <w:keepNext/>
        <w:keepLines/>
        <w:numPr>
          <w:ilvl w:val="0"/>
          <w:numId w:val="2"/>
        </w:numPr>
        <w:spacing w:after="20" w:before="20" w:line="300"/>
      </w:pPr>
      <w:r>
        <w:rPr>
          <w:rFonts w:ascii="Calibri" w:eastAsia="Yu Gothic" w:hAnsi="Calibri"/>
        </w:rPr>
        <w:t xml:space="preserve">Definition (Copyright Act Article 2(1)(xxii); item (xxi) is technological measures restricting use): information on copyrights and the like that falls under any of (a) information identifying the work, the copyright holder, or other matters specified by Cabinet Order, (b) information on the manner and conditions of use when use is permitted, or (c) information that makes it possible to identify the matters of (a) or (b) by collating with other information, and that is recorded on a recording medium together with the work or transmitted together with it by electromagnetic means. However, excluding information “not used for managing copyrights and the like (limited to management by computer), such as understanding the use of works or processing affairs related to permitting their use”. [J1]</w:t>
      </w:r>
    </w:p>
    <w:p>
      <w:pPr>
        <w:pStyle w:val="ListParagraph"/>
        <w:keepNext/>
        <w:keepLines/>
        <w:numPr>
          <w:ilvl w:val="0"/>
          <w:numId w:val="2"/>
        </w:numPr>
        <w:spacing w:after="20" w:before="20" w:line="300"/>
      </w:pPr>
      <w:r>
        <w:rPr>
          <w:rFonts w:ascii="Calibri" w:eastAsia="Yu Gothic" w:hAnsi="Calibri"/>
        </w:rPr>
        <w:t xml:space="preserve">Deemed infringement (Article 113(8)): ① intentionally adding false information as rights management information; ② intentionally removing or altering rights management information (“except where it is due to technical constraints accompanying the conversion of the method of recording or transmission, or where it is otherwise found unavoidable in light of the purpose and manner of the use of the work or performance”); ③ knowingly distributing or publicly transmitting copies on which these have been done. [J1]</w:t>
      </w:r>
    </w:p>
    <w:p>
      <w:pPr>
        <w:pStyle w:val="ListParagraph"/>
        <w:keepNext/>
        <w:keepLines/>
        <w:numPr>
          <w:ilvl w:val="0"/>
          <w:numId w:val="2"/>
        </w:numPr>
        <w:spacing w:after="20" w:before="20" w:line="300"/>
      </w:pPr>
      <w:r>
        <w:rPr>
          <w:rFonts w:ascii="Calibri" w:eastAsia="Yu Gothic" w:hAnsi="Calibri"/>
        </w:rPr>
        <w:t xml:space="preserve">Penalties (Article 120-2(v)): anyone who performs the acts of Article 113(8) for commercial purposes is subject to imprisonment of up to 3 years, a fine of up to JPY 3 million, or both. This offense is prosecuted only on complaint (Article 123(1)). [J1]</w:t>
      </w:r>
    </w:p>
    <w:p>
      <w:pPr>
        <w:pStyle w:val="ListParagraph"/>
        <w:keepNext/>
        <w:keepLines/>
        <w:numPr>
          <w:ilvl w:val="0"/>
          <w:numId w:val="2"/>
        </w:numPr>
        <w:spacing w:after="20" w:before="20" w:line="300"/>
      </w:pPr>
      <w:r>
        <w:rPr>
          <w:rFonts w:ascii="Calibri" w:eastAsia="Yu Gothic" w:hAnsi="Calibri"/>
        </w:rPr>
        <w:t xml:space="preserve">The “information that makes identification possible by collation” of (c) is one basis for interpreting the identification number (placed in the watermark and manifest, and collated with the work data on the User's device to identify the work and the Rights Holder; Basic Design Chapter 3, 7.1 “Identification number”) as rights management information (requires confirmation by experts).</w:t>
      </w:r>
    </w:p>
    <w:p>
      <w:pPr>
        <w:pStyle w:val="ListParagraph"/>
        <w:keepNext/>
        <w:keepLines/>
        <w:numPr>
          <w:ilvl w:val="0"/>
          <w:numId w:val="2"/>
        </w:numPr>
        <w:spacing w:after="20" w:before="20" w:line="300"/>
      </w:pPr>
      <w:r>
        <w:rPr>
          <w:rFonts w:ascii="Calibri" w:eastAsia="Yu Gothic" w:hAnsi="Calibri"/>
        </w:rPr>
        <w:t xml:space="preserve">Consequences for the design</w:t>
      </w:r>
    </w:p>
    <w:p>
      <w:pPr>
        <w:pStyle w:val="ListParagraph"/>
        <w:keepNext/>
        <w:keepLines/>
        <w:numPr>
          <w:ilvl w:val="1"/>
          <w:numId w:val="2"/>
        </w:numPr>
        <w:spacing w:after="20" w:before="20" w:line="300"/>
      </w:pPr>
      <w:r>
        <w:rPr>
          <w:rFonts w:ascii="Calibri" w:eastAsia="Yu Gothic" w:hAnsi="Calibri"/>
        </w:rPr>
        <w:t xml:space="preserve">For the C2PA manifest and the watermark's identifier to be “rights management information”, they must contain information on copyrights and the like and be used for management by computer (collation, processing of permissions). The System uses them for collation, so there is room to interpret them as such (requires confirmation by experts). The design that records the Rights Holder and terms of use in the manifest (Chapter 3 “Signing”) supports this interpretation.</w:t>
      </w:r>
    </w:p>
    <w:p>
      <w:pPr>
        <w:pStyle w:val="ListParagraph"/>
        <w:keepNext w:val="false"/>
        <w:keepLines/>
        <w:numPr>
          <w:ilvl w:val="1"/>
          <w:numId w:val="2"/>
        </w:numPr>
        <w:spacing w:after="20" w:before="20" w:line="300"/>
      </w:pPr>
      <w:r>
        <w:rPr>
          <w:rFonts w:ascii="Calibri" w:eastAsia="Yu Gothic" w:hAnsi="Calibri"/>
        </w:rPr>
        <w:t xml:space="preserve">Removal “due to technical constraints accompanying the conversion of the method” is excluded. Loss through social media re-encoding, or loss when purchasers convert the format, may not be intentional removal. Design Plan D-7-6“A missing signature is treated as something that can be concluded to be intentional removal by the recipient” is therefore limited under Japanese law. China (L-2“Removal or alteration of rights management information (China)”) and the United States (L-3“Removal or alteration of rights management information (US)”) have limitations to the same effect. Declared as a gap in Outline Design Document 13-4 “Declaration of gaps”.</w:t>
      </w:r>
    </w:p>
    <w:p>
      <w:pPr>
        <w:pStyle w:val="Heading2"/>
      </w:pPr>
      <w:r>
        <w:rPr>
          <w:rFonts w:ascii="Calibri" w:eastAsia="Yu Gothic" w:hAnsi="Calibri"/>
        </w:rPr>
        <w:t xml:space="preserve">L-2“Removal or alteration of rights management information (China)” China: Rights management information</w:t>
      </w:r>
    </w:p>
    <w:p>
      <w:pPr>
        <w:pStyle w:val="ListParagraph"/>
        <w:keepNext/>
        <w:keepLines/>
        <w:numPr>
          <w:ilvl w:val="0"/>
          <w:numId w:val="2"/>
        </w:numPr>
        <w:spacing w:after="20" w:before="20" w:line="300"/>
      </w:pPr>
      <w:r>
        <w:rPr>
          <w:rFonts w:ascii="Calibri" w:eastAsia="Yu Gothic" w:hAnsi="Calibri"/>
        </w:rPr>
        <w:t xml:space="preserve">Copyright Law (2020 amendment) Article 51 (prohibition of removing and altering rights management information), Article 53 (infringing acts), Article 54 (damages; punitive damages of one to five times for intentional infringement; statutory damages up to CNY 5 million). From the source in Draft Project Proposal [16]. [C1]</w:t>
      </w:r>
    </w:p>
    <w:p>
      <w:pPr>
        <w:pStyle w:val="ListParagraph"/>
        <w:keepNext w:val="false"/>
        <w:keepLines/>
        <w:numPr>
          <w:ilvl w:val="0"/>
          <w:numId w:val="2"/>
        </w:numPr>
        <w:spacing w:after="20" w:before="20" w:line="300"/>
      </w:pPr>
      <w:r>
        <w:rPr>
          <w:rFonts w:ascii="Calibri" w:eastAsia="Yu Gothic" w:hAnsi="Calibri"/>
        </w:rPr>
        <w:t xml:space="preserve">Article 51(1) prohibits “intentionally” deleting or altering rights management information without the rights holder's permission, “由于技术上的原因无法避免的除外” (except where unavoidable for technical reasons). Loss through format conversion and recompression may fall under this exception. [C1]</w:t>
      </w:r>
    </w:p>
    <w:p>
      <w:pPr>
        <w:pStyle w:val="Heading2"/>
      </w:pPr>
      <w:r>
        <w:rPr>
          <w:rFonts w:ascii="Calibri" w:eastAsia="Yu Gothic" w:hAnsi="Calibri"/>
        </w:rPr>
        <w:t xml:space="preserve">L-3“Removal or alteration of rights management information (US)” United States: Copyright management information</w:t>
      </w:r>
    </w:p>
    <w:p>
      <w:pPr>
        <w:pStyle w:val="ListParagraph"/>
        <w:keepNext/>
        <w:keepLines/>
        <w:numPr>
          <w:ilvl w:val="0"/>
          <w:numId w:val="2"/>
        </w:numPr>
        <w:spacing w:after="20" w:before="20" w:line="300"/>
      </w:pPr>
      <w:r>
        <w:rPr>
          <w:rFonts w:ascii="Calibri" w:eastAsia="Yu Gothic" w:hAnsi="Calibri"/>
        </w:rPr>
        <w:t xml:space="preserve">17 U.S.C. §1202 (integrity of copyright management information). Section 1203(c)(3)(B): statutory damages of not less than USD 2,500 or more than USD 25,000 may be elected per violation of Section 1202. [U1] [U2]</w:t>
      </w:r>
    </w:p>
    <w:p>
      <w:pPr>
        <w:pStyle w:val="ListParagraph"/>
        <w:keepNext w:val="false"/>
        <w:keepLines/>
        <w:numPr>
          <w:ilvl w:val="0"/>
          <w:numId w:val="2"/>
        </w:numPr>
        <w:spacing w:after="20" w:before="20" w:line="300"/>
      </w:pPr>
      <w:r>
        <w:rPr>
          <w:rFonts w:ascii="Calibri" w:eastAsia="Yu Gothic" w:hAnsi="Calibri"/>
        </w:rPr>
        <w:t xml:space="preserve">Section 1202(b) prohibits, without the authority of the copyright owner or the law, “intentionally” removing or altering copyright management information and the like, knowing (or, with respect to civil remedies under Section 1203, having reasonable grounds to know) that it will induce, enable, facilitate, or conceal an infringement. There is a double requirement of intent and knowledge of the connection to infringement, and loss through format conversion and recompression usually does not fall under it. [U1]</w:t>
      </w:r>
    </w:p>
    <w:p>
      <w:pPr>
        <w:pStyle w:val="Heading2"/>
      </w:pPr>
      <w:r>
        <w:rPr>
          <w:rFonts w:ascii="Calibri" w:eastAsia="Yu Gothic" w:hAnsi="Calibri"/>
        </w:rPr>
        <w:t xml:space="preserve">L-4“Protection of rights management information (treaty) (international)” International: WIPO Copyright Treaty Article 12</w:t>
      </w:r>
    </w:p>
    <w:p>
      <w:pPr>
        <w:pStyle w:val="ListParagraph"/>
        <w:keepNext w:val="false"/>
        <w:keepLines/>
        <w:numPr>
          <w:ilvl w:val="0"/>
          <w:numId w:val="2"/>
        </w:numPr>
        <w:spacing w:after="20" w:before="20" w:line="300"/>
      </w:pPr>
      <w:r>
        <w:rPr>
          <w:rFonts w:ascii="Calibri" w:eastAsia="Yu Gothic" w:hAnsi="Calibri"/>
        </w:rPr>
        <w:t xml:space="preserve">Contracting parties are obliged to provide legal remedies against acts such as removing or altering electronic rights management information without authority. [Design Plan [27]]</w:t>
      </w:r>
    </w:p>
    <w:p>
      <w:pPr>
        <w:pStyle w:val="Heading2"/>
      </w:pPr>
      <w:r>
        <w:rPr>
          <w:rFonts w:ascii="Calibri" w:eastAsia="Yu Gothic" w:hAnsi="Calibri"/>
        </w:rPr>
        <w:t xml:space="preserve">L-5“Portrait rights and publicity rights (Japan)” Japan: Portrait rights, publicity rights</w:t>
      </w:r>
    </w:p>
    <w:p>
      <w:pPr>
        <w:pStyle w:val="ListParagraph"/>
        <w:keepNext/>
        <w:keepLines/>
        <w:numPr>
          <w:ilvl w:val="0"/>
          <w:numId w:val="2"/>
        </w:numPr>
        <w:spacing w:after="20" w:before="20" w:line="300"/>
      </w:pPr>
      <w:r>
        <w:rPr>
          <w:rFonts w:ascii="Calibri" w:eastAsia="Yu Gothic" w:hAnsi="Calibri"/>
        </w:rPr>
        <w:t xml:space="preserve">Portrait rights and publicity rights are based on case law. The Supreme Court judgment of February 2, 2012 recognized the right to exclusively use the customer-attracting power of names, portraits, and the like (publicity right) as derived from personality rights, and held that it is infringed where the purpose is “solely to use the customer-attracting power of the portrait, etc.”, such as ① using the portrait itself as a product to be appreciated independently, ② attaching the portrait to products to differentiate them, or ③ using the portrait as advertising for products. [J2]</w:t>
      </w:r>
    </w:p>
    <w:p>
      <w:pPr>
        <w:pStyle w:val="ListParagraph"/>
        <w:keepNext/>
        <w:keepLines/>
        <w:numPr>
          <w:ilvl w:val="0"/>
          <w:numId w:val="2"/>
        </w:numPr>
        <w:spacing w:after="20" w:before="20" w:line="300"/>
      </w:pPr>
      <w:r>
        <w:rPr>
          <w:rFonts w:ascii="Calibri" w:eastAsia="Yu Gothic" w:hAnsi="Calibri"/>
        </w:rPr>
        <w:t xml:space="preserve">On portrait rights (the personal interest in not being photographed or published without good reason, as distinct from publicity rights), the Supreme Court judgment of November 10, 2005 (Minshu Vol. 59 No. 9 p. 2428, 2003 (Ju) No. 281) held that a person has a personal interest in not having their appearance photographed without good reason, and that whether photographing constitutes a tort is determined by whether the infringement of the personal interest “exceeds the limit of tolerance in social life”, considering comprehensively the social status of the person photographed, the content of the activity photographed, and the place, purpose, manner, and necessity of the photographing; publishing the photographs is judged likewise. [J25] This judgment concerned publishing photographs taken in court without permission and an illustration. Since most subjects are not celebrities, NRSD thinks that this limit-of-tolerance standard, rather than publicity rights, also applies to the publication of portraits through unauthorized reposting of photographs taken with consent, but whether it applies requires confirmation by experts (reasoning without a source).</w:t>
      </w:r>
    </w:p>
    <w:p>
      <w:pPr>
        <w:pStyle w:val="ListParagraph"/>
        <w:keepNext w:val="false"/>
        <w:keepLines/>
        <w:numPr>
          <w:ilvl w:val="0"/>
          <w:numId w:val="2"/>
        </w:numPr>
        <w:spacing w:after="20" w:before="20" w:line="300"/>
      </w:pPr>
      <w:r>
        <w:rPr>
          <w:rFonts w:ascii="Calibri" w:eastAsia="Yu Gothic" w:hAnsi="Calibri"/>
        </w:rPr>
        <w:t xml:space="preserve">Consequences for the design: sale and advertising use of unauthorized reposts (“commercial use” in Section 8 of the Draft Project Proposal) are close to ② and ③. Portrait requests for non-celebrity subjects follow the standard of whether the limit of tolerance is exceeded (Basic Design Chapter 7, 3.4 “Standing of the complainant”). The guidance (Chapter 7 “Legal Action Guidance”) can show this as one basis for prioritizing commercial use.</w:t>
      </w:r>
    </w:p>
    <w:p>
      <w:pPr>
        <w:pStyle w:val="Heading2"/>
      </w:pPr>
      <w:r>
        <w:rPr>
          <w:rFonts w:ascii="Calibri" w:eastAsia="Yu Gothic" w:hAnsi="Calibri"/>
        </w:rPr>
        <w:t xml:space="preserve">L-6“Portrait rights (China)” China: Portrait rights</w:t>
      </w:r>
    </w:p>
    <w:p>
      <w:pPr>
        <w:pStyle w:val="ListParagraph"/>
        <w:keepNext w:val="false"/>
        <w:keepLines/>
        <w:numPr>
          <w:ilvl w:val="0"/>
          <w:numId w:val="2"/>
        </w:numPr>
        <w:spacing w:after="20" w:before="20" w:line="300"/>
      </w:pPr>
      <w:r>
        <w:rPr>
          <w:rFonts w:ascii="Calibri" w:eastAsia="Yu Gothic" w:hAnsi="Calibri"/>
        </w:rPr>
        <w:t xml:space="preserve">Civil Code Articles 1018 and 1019 (Draft Project Proposal [17]).</w:t>
      </w:r>
    </w:p>
    <w:p>
      <w:pPr>
        <w:pStyle w:val="Heading2"/>
      </w:pPr>
      <w:r>
        <w:rPr>
          <w:rFonts w:ascii="Calibri" w:eastAsia="Yu Gothic" w:hAnsi="Calibri"/>
        </w:rPr>
        <w:t xml:space="preserve">L-7“Takedown request procedures (Japan)” Japan: Takedown requests</w:t>
      </w:r>
    </w:p>
    <w:p>
      <w:pPr>
        <w:pStyle w:val="ListParagraph"/>
        <w:keepNext/>
        <w:keepLines/>
        <w:numPr>
          <w:ilvl w:val="0"/>
          <w:numId w:val="2"/>
        </w:numPr>
        <w:spacing w:after="20" w:before="20" w:line="300"/>
      </w:pPr>
      <w:r>
        <w:rPr>
          <w:rFonts w:ascii="Calibri" w:eastAsia="Yu Gothic" w:hAnsi="Calibri"/>
        </w:rPr>
        <w:t xml:space="preserve">On April 1, 2025, the Provider Liability Limitation Act was reorganized into the “Act on Measures against Infringement of Rights Arising from the Distribution of Information through Specified Telecommunications” (Information Distribution Platform Act). It obliges Large-Scale Specified Telecommunications Service Providers to respond to takedown requests, formulate and publish takedown criteria, and so on. The result of the decision on a request is notified to the requester within the period set by Ministerial Ordinance (7 days). [J3] [J4]</w:t>
      </w:r>
    </w:p>
    <w:p>
      <w:pPr>
        <w:pStyle w:val="ListParagraph"/>
        <w:keepNext/>
        <w:keepLines/>
        <w:numPr>
          <w:ilvl w:val="0"/>
          <w:numId w:val="2"/>
        </w:numPr>
        <w:spacing w:after="20" w:before="20" w:line="300"/>
      </w:pPr>
      <w:r>
        <w:rPr>
          <w:rFonts w:ascii="Calibri" w:eastAsia="Yu Gothic" w:hAnsi="Calibri"/>
        </w:rPr>
        <w:t xml:space="preserve">Provisions (obtained through the e-Gov law search API): Article 20 (designation of Large-Scale Specified Telecommunications Service Providers), Article 21 (notification within 3 months of designation), Article 22 (publication of request methods: electronic means, no excessive burden, the requester can know the time of receipt), Article 23 (investigation without delay), Article 25 (notify, within a period set by Ministerial Ordinance within 14 days of receiving the request, whether measures were taken and, if not, the reason; the Enforcement Regulations set 7 days; when hearing the sender's opinion or the like, notify that fact within the period and notify without delay after the decision), Article 27 (notice to the sender), Article 3(2)(ii) (if the sender is asked for consent and no objection is made within 7 days, the provider that removed it is not liable to the sender). [J3] [J22]</w:t>
      </w:r>
    </w:p>
    <w:p>
      <w:pPr>
        <w:pStyle w:val="ListParagraph"/>
        <w:keepNext/>
        <w:keepLines/>
        <w:numPr>
          <w:ilvl w:val="0"/>
          <w:numId w:val="2"/>
        </w:numPr>
        <w:spacing w:after="20" w:before="20" w:line="300"/>
      </w:pPr>
      <w:r>
        <w:rPr>
          <w:rFonts w:ascii="Calibri" w:eastAsia="Yu Gothic" w:hAnsi="Calibri"/>
        </w:rPr>
        <w:t xml:space="preserve">The duties of investigation under Article 23 and notification under Article 25 apply when the infringed person makes a request “in accordance with the method of paragraph 1 of the preceding Article” (the method the provider published under Article 22(1)). Even for the same provider, requests sent through contact points other than the published method, such as U.S. DMCA report forms, do not carry these duties. [J22]</w:t>
      </w:r>
    </w:p>
    <w:p>
      <w:pPr>
        <w:pStyle w:val="ListParagraph"/>
        <w:keepNext/>
        <w:keepLines/>
        <w:numPr>
          <w:ilvl w:val="0"/>
          <w:numId w:val="2"/>
        </w:numPr>
        <w:spacing w:after="20" w:before="20" w:line="300"/>
      </w:pPr>
      <w:r>
        <w:rPr>
          <w:rFonts w:ascii="Calibri" w:eastAsia="Yu Gothic" w:hAnsi="Calibri"/>
        </w:rPr>
        <w:t xml:space="preserve">The requester's liability for damage caused to the sender by a mistaken request is not provided for in this Act and follows general tort law (Civil Code Article 709) (requires confirmation by experts). [J10]</w:t>
      </w:r>
    </w:p>
    <w:p>
      <w:pPr>
        <w:pStyle w:val="ListParagraph"/>
        <w:keepNext/>
        <w:keepLines/>
        <w:numPr>
          <w:ilvl w:val="0"/>
          <w:numId w:val="2"/>
        </w:numPr>
        <w:spacing w:after="20" w:before="20" w:line="300"/>
      </w:pPr>
      <w:r>
        <w:rPr>
          <w:rFonts w:ascii="Calibri" w:eastAsia="Yu Gothic" w:hAnsi="Calibri"/>
        </w:rPr>
        <w:t xml:space="preserve">Designations (Ministry of Internal Affairs and Communications press releases): April 30, 2025: Google (YouTube), LY Corporation, Meta (Facebook, Instagram, Threads), TikTok, X. May 30, 2025: Pinterest, CyberAgent (Ameba Blog), Shonan Seibu Home (Bakusai.com), Dwango (Niconico). August 31, 2026: J Squared (Girls Channel), pixiv (pixiv), note, an individual (Sukikirai.com). Each company's request contact point appears in the Ministry's “List of takedown request contact points and takedown criteria notified under Article 21”. [J23]</w:t>
      </w:r>
    </w:p>
    <w:p>
      <w:pPr>
        <w:pStyle w:val="ListParagraph"/>
        <w:keepNext/>
        <w:keepLines/>
        <w:numPr>
          <w:ilvl w:val="0"/>
          <w:numId w:val="2"/>
        </w:numPr>
        <w:spacing w:after="20" w:before="20" w:line="300"/>
      </w:pPr>
      <w:r>
        <w:rPr>
          <w:rFonts w:ascii="Calibri" w:eastAsia="Yu Gothic" w:hAnsi="Calibri"/>
        </w:rPr>
        <w:t xml:space="preserve">Form for copyright requests: “Information Distribution Platform Act Copyright Guidelines”, 3rd edition (May 2025, Copyright WG of the Council for Reviewing Guidelines of the Information Distribution Platform Act). The items of Form A, confirmation of the requester's identity (for paper, name and seal and a copy of an official certificate, etc.; persons overseas may substitute a signature), materials confirming that one is the copyright holder or the like (certificate of registration, a copy of the display of the name, etc. (Copyright Act Article 14), materials publicly available before the request, an appropriately managed database), identification of the infringing information (URL and features), manner of infringement (verbatim copying, etc.), and a statement that permission was not given. [J24]</w:t>
      </w:r>
    </w:p>
    <w:p>
      <w:pPr>
        <w:pStyle w:val="ListParagraph"/>
        <w:keepNext/>
        <w:keepLines/>
        <w:numPr>
          <w:ilvl w:val="0"/>
          <w:numId w:val="2"/>
        </w:numPr>
        <w:spacing w:after="20" w:before="20" w:line="300"/>
      </w:pPr>
      <w:r>
        <w:rPr>
          <w:rFonts w:ascii="Calibri" w:eastAsia="Yu Gothic" w:hAnsi="Calibri"/>
        </w:rPr>
        <w:t xml:space="preserve">The Copyright Guidelines, 3rd edition, limit requesters to copyright holders and the like, and do not cover requests from third parties (note to II 1, III 1). Portrait requests by subjects are not covered by copyright requests. [J24]</w:t>
      </w:r>
    </w:p>
    <w:p>
      <w:pPr>
        <w:pStyle w:val="ListParagraph"/>
        <w:keepNext w:val="false"/>
        <w:keepLines/>
        <w:numPr>
          <w:ilvl w:val="0"/>
          <w:numId w:val="2"/>
        </w:numPr>
        <w:spacing w:after="20" w:before="20" w:line="300"/>
      </w:pPr>
      <w:r>
        <w:rPr>
          <w:rFonts w:ascii="Calibri" w:eastAsia="Yu Gothic" w:hAnsi="Calibri"/>
        </w:rPr>
        <w:t xml:space="preserve">Consequences for the design: the Japanese request model text follows Form A, and the 7-day notification deadline is shown only when the request is made through the contact point of the designated provider's published method. The complainant's standing (copyright holder, subject, agent) is chosen first (Basic Design Chapter 7, DD-7-5“The Japanese model text follows Form A”, 3.3.3 “Japan (request for measures to prevent transmission of infringing information; Form A of the Copyright Guidelines, 3rd edition)”, 3.4 “Standing of the complainant”, 6.3 “Display of procedural deadlines”).</w:t>
      </w:r>
    </w:p>
    <w:p>
      <w:pPr>
        <w:pStyle w:val="Heading2"/>
      </w:pPr>
      <w:r>
        <w:rPr>
          <w:rFonts w:ascii="Calibri" w:eastAsia="Yu Gothic" w:hAnsi="Calibri"/>
        </w:rPr>
        <w:t xml:space="preserve">L-8“Takedown request procedures (China)” China: Content of notices</w:t>
      </w:r>
    </w:p>
    <w:p>
      <w:pPr>
        <w:pStyle w:val="ListParagraph"/>
        <w:keepNext/>
        <w:keepLines/>
        <w:numPr>
          <w:ilvl w:val="0"/>
          <w:numId w:val="2"/>
        </w:numPr>
        <w:spacing w:after="20" w:before="20" w:line="300"/>
      </w:pPr>
      <w:r>
        <w:rPr>
          <w:rFonts w:ascii="Calibri" w:eastAsia="Yu Gothic" w:hAnsi="Calibri"/>
        </w:rPr>
        <w:t xml:space="preserve">Regulations on the Protection of the Right of Communication through Information Network Article 14: a rights holder may, in writing, ask providers of information storage space, search, or link services to remove or disconnect links, on the grounds that a work infringes the right of communication through information network or that rights management electronic information has been deleted or altered. The notice includes ① the rights holder's name, contact details, and address, ② the name and network address of the infringing work, and so on. [C2]</w:t>
      </w:r>
    </w:p>
    <w:p>
      <w:pPr>
        <w:pStyle w:val="ListParagraph"/>
        <w:keepNext/>
        <w:keepLines/>
        <w:numPr>
          <w:ilvl w:val="0"/>
          <w:numId w:val="2"/>
        </w:numPr>
        <w:spacing w:after="20" w:before="20" w:line="300"/>
      </w:pPr>
      <w:r>
        <w:rPr>
          <w:rFonts w:ascii="Calibri" w:eastAsia="Yu Gothic" w:hAnsi="Calibri"/>
        </w:rPr>
        <w:t xml:space="preserve">Article 15: after receiving the notice, the provider immediately removes or disconnects the link and forwards the notice to the service recipient. Article 16: a service recipient who considers it not infringing may request restoration with a written explanation (name, contact details, address, name and location of the work to be restored, and preliminary evidence of non-infringement). Article 17: after receiving the written explanation, the provider must immediately restore the removed work (“应当立即恢复”) and may restore disconnected links (“可以恢复”). At the same time it forwards the explanation to the rights holder. The rights holder may not again notify removal of the same work. Article 24: if the provider mistakenly removes because of the rights holder's notice and causes loss to the service recipient, the rights holder compensates. Article 26: rights management electronic information means information on the work and author, the rights holder, and the conditions of use, and the like. [C2]</w:t>
      </w:r>
    </w:p>
    <w:p>
      <w:pPr>
        <w:pStyle w:val="ListParagraph"/>
        <w:keepNext/>
        <w:keepLines/>
        <w:numPr>
          <w:ilvl w:val="0"/>
          <w:numId w:val="2"/>
        </w:numPr>
        <w:spacing w:after="20" w:before="20" w:line="300"/>
      </w:pPr>
      <w:r>
        <w:rPr>
          <w:rFonts w:ascii="Calibri" w:eastAsia="Yu Gothic" w:hAnsi="Calibri"/>
        </w:rPr>
        <w:t xml:space="preserve">Civil Code (in force 2021) Article 1195: a rights holder may notify a network service provider to take necessary measures such as deletion, blocking, or disconnecting links. The notice includes preliminary evidence constituting infringement and the rights holder's true identity information. The provider forwards the notice to the network user and takes measures. A rights holder whose mistaken notice causes damage to the network user or provider bears tort liability (paragraph 3). Article 1196: a network user may issue a statement of non-infringement (including preliminary evidence and true identity information). The provider forwards the statement to the rights holder and informs them that they may complain or sue. If, within a “reasonable period” after the forwarded statement reaches the rights holder, the provider does not receive notice that the rights holder has complained or sued, the provider promptly ends the measures. [C12]</w:t>
      </w:r>
    </w:p>
    <w:p>
      <w:pPr>
        <w:pStyle w:val="ListParagraph"/>
        <w:keepNext/>
        <w:keepLines/>
        <w:numPr>
          <w:ilvl w:val="0"/>
          <w:numId w:val="2"/>
        </w:numPr>
        <w:spacing w:after="20" w:before="20" w:line="300"/>
      </w:pPr>
      <w:r>
        <w:rPr>
          <w:rFonts w:ascii="Calibri" w:eastAsia="Yu Gothic" w:hAnsi="Calibri"/>
        </w:rPr>
        <w:t xml:space="preserve">E-Commerce Law (in force 2019) Articles 42 and 43: set the same framework for e-commerce platforms, with the period “within fifteen days”. Malicious false notices are compensated at double the loss (Article 42). [C13]</w:t>
      </w:r>
    </w:p>
    <w:p>
      <w:pPr>
        <w:pStyle w:val="ListParagraph"/>
        <w:keepNext/>
        <w:keepLines/>
        <w:numPr>
          <w:ilvl w:val="0"/>
          <w:numId w:val="2"/>
        </w:numPr>
        <w:spacing w:after="20" w:before="20" w:line="300"/>
      </w:pPr>
      <w:r>
        <w:rPr>
          <w:rFonts w:ascii="Calibri" w:eastAsia="Yu Gothic" w:hAnsi="Calibri"/>
        </w:rPr>
        <w:t xml:space="preserve">The relation between the Regulations (Articles 15 to 17: with a written counter explanation, the removed work must be restored immediately) and the Civil Code (the measures end if no complaint or suit is filed within a reasonable period) requires confirmation by experts.</w:t>
      </w:r>
    </w:p>
    <w:p>
      <w:pPr>
        <w:pStyle w:val="ListParagraph"/>
        <w:keepNext w:val="false"/>
        <w:keepLines/>
        <w:numPr>
          <w:ilvl w:val="0"/>
          <w:numId w:val="2"/>
        </w:numPr>
        <w:spacing w:after="20" w:before="20" w:line="300"/>
      </w:pPr>
      <w:r>
        <w:rPr>
          <w:rFonts w:ascii="Calibri" w:eastAsia="Yu Gothic" w:hAnsi="Calibri"/>
        </w:rPr>
        <w:t xml:space="preserve">Consequences for the design: complaints require the User's name and address (true identity information) (item breakdown omission A-21“Complaints passing the User's personal information to the other party”). That the repost is restored unless a complaint or suit is filed within a reasonable period after a counter (15 days for e-commerce platforms) is shown as a procedural deadline (Basic Design Chapter 7, 6.3 “Display of procedural deadlines”). This is stated in advance in the guidance (R-7-2-2“Users can know in advance that complaints may pass their personal information to the other party”). Liability for compensation for mistaken notices (Regulations Article 24, Civil Code Article 1195(3), E-Commerce Law Article 42) is shown before complaints (Basic Design Chapter 7, DD-7-6“Liability for wrongful complaints is shown first”). The definition of Article 26 supports the design of recording the Rights Holder and conditions of use in the C2PA manifest (Basic Design Chapter 3).</w:t>
      </w:r>
    </w:p>
    <w:p>
      <w:pPr>
        <w:pStyle w:val="Heading2"/>
      </w:pPr>
      <w:r>
        <w:rPr>
          <w:rFonts w:ascii="Calibri" w:eastAsia="Yu Gothic" w:hAnsi="Calibri"/>
        </w:rPr>
        <w:t xml:space="preserve">L-9“Takedown request procedures (US)” United States: DMCA notices</w:t>
      </w:r>
    </w:p>
    <w:p>
      <w:pPr>
        <w:pStyle w:val="ListParagraph"/>
        <w:keepNext/>
        <w:keepLines/>
        <w:numPr>
          <w:ilvl w:val="0"/>
          <w:numId w:val="2"/>
        </w:numPr>
        <w:spacing w:after="20" w:before="20" w:line="300"/>
      </w:pPr>
      <w:r>
        <w:rPr>
          <w:rFonts w:ascii="Calibri" w:eastAsia="Yu Gothic" w:hAnsi="Calibri"/>
        </w:rPr>
        <w:t xml:space="preserve">Section 512(c)(3)(A): a notice includes ① the signature of an authorized person, ② identification of the infringed work, ③ identification and location of the material claimed to be infringing, ④ information to contact the complainant (address, phone number, and e-mail if any), ⑤ a statement of good faith belief that it is not authorized, ⑥ a statement that the notice is accurate and, under penalty of perjury, that the complainant is authorized. [U3]</w:t>
      </w:r>
    </w:p>
    <w:p>
      <w:pPr>
        <w:pStyle w:val="ListParagraph"/>
        <w:keepNext/>
        <w:keepLines/>
        <w:numPr>
          <w:ilvl w:val="0"/>
          <w:numId w:val="2"/>
        </w:numPr>
        <w:spacing w:after="20" w:before="20" w:line="300"/>
      </w:pPr>
      <w:r>
        <w:rPr>
          <w:rFonts w:ascii="Calibri" w:eastAsia="Yu Gothic" w:hAnsi="Calibri"/>
        </w:rPr>
        <w:t xml:space="preserve">Section 512(g): upon a counter-notification, the provider sends a copy to the complainant, tells them it will restore the material in 10 business days, and, unless notified that the complainant has filed an action, restores it no less than 10 and no more than 14 business days after receiving the counter-notification ((g)(2)(B)(C)). A counter-notification includes a signature, identification of the removed material, a statement under penalty of perjury that it was removed by mistake, contact details, and consent to jurisdiction ((g)(3)). [U3]</w:t>
      </w:r>
    </w:p>
    <w:p>
      <w:pPr>
        <w:pStyle w:val="ListParagraph"/>
        <w:keepNext/>
        <w:keepLines/>
        <w:numPr>
          <w:ilvl w:val="0"/>
          <w:numId w:val="2"/>
        </w:numPr>
        <w:spacing w:after="20" w:before="20" w:line="300"/>
      </w:pPr>
      <w:r>
        <w:rPr>
          <w:rFonts w:ascii="Calibri" w:eastAsia="Yu Gothic" w:hAnsi="Calibri"/>
        </w:rPr>
        <w:t xml:space="preserve">Section 512(f): anyone who knowingly materially misrepresents that material is infringing is liable for damages (including costs and attorneys' fees) incurred by those harmed. [U3]</w:t>
      </w:r>
    </w:p>
    <w:p>
      <w:pPr>
        <w:pStyle w:val="ListParagraph"/>
        <w:keepNext/>
        <w:keepLines/>
        <w:numPr>
          <w:ilvl w:val="0"/>
          <w:numId w:val="2"/>
        </w:numPr>
        <w:spacing w:after="20" w:before="20" w:line="300"/>
      </w:pPr>
      <w:r>
        <w:rPr>
          <w:rFonts w:ascii="Calibri" w:eastAsia="Yu Gothic" w:hAnsi="Calibri"/>
        </w:rPr>
        <w:t xml:space="preserve">Consequences for the design: the complainant's contact information may also reach the other party (the counter-notifier). This is stated in advance in the guidance.</w:t>
      </w:r>
    </w:p>
    <w:p>
      <w:pPr>
        <w:pStyle w:val="ListParagraph"/>
        <w:keepNext w:val="false"/>
        <w:keepLines/>
        <w:numPr>
          <w:ilvl w:val="0"/>
          <w:numId w:val="2"/>
        </w:numPr>
        <w:spacing w:after="20" w:before="20" w:line="300"/>
      </w:pPr>
      <w:r>
        <w:rPr>
          <w:rFonts w:ascii="Calibri" w:eastAsia="Yu Gothic" w:hAnsi="Calibri"/>
        </w:rPr>
        <w:t xml:space="preserve">In the United States, there are court decisions holding that claims for removal of rights management information (Section 1202) do not require registration, while statutory damages for copyright infringement in principle require registration (Section 412). [U5] [U6] [U7] Therefore, removal of watermarks and C2PA may be a strong basis for claims in the United States for Users without registration (requires confirmation by experts).</w:t>
      </w:r>
    </w:p>
    <w:p>
      <w:pPr>
        <w:pStyle w:val="Heading2"/>
      </w:pPr>
      <w:r>
        <w:rPr>
          <w:rFonts w:ascii="Calibri" w:eastAsia="Yu Gothic" w:hAnsi="Calibri"/>
        </w:rPr>
        <w:t xml:space="preserve">L-10“Handling of legal business (unauthorized practice of law) (Japan)” Japan: Unauthorized practice of law (Attorney Act Article 72)</w:t>
      </w:r>
    </w:p>
    <w:p>
      <w:pPr>
        <w:pStyle w:val="ListParagraph"/>
        <w:keepNext/>
        <w:keepLines/>
        <w:numPr>
          <w:ilvl w:val="0"/>
          <w:numId w:val="2"/>
        </w:numPr>
        <w:spacing w:after="20" w:before="20" w:line="300"/>
      </w:pPr>
      <w:r>
        <w:rPr>
          <w:rFonts w:ascii="Calibri" w:eastAsia="Yu Gothic" w:hAnsi="Calibri"/>
        </w:rPr>
        <w:t xml:space="preserve">Requirements: a person who is not an attorney, for the purpose of obtaining remuneration, handling legal services concerning legal cases as a business (unlawful when all requirements are met). [J5]</w:t>
      </w:r>
    </w:p>
    <w:p>
      <w:pPr>
        <w:pStyle w:val="ListParagraph"/>
        <w:keepNext/>
        <w:keepLines/>
        <w:numPr>
          <w:ilvl w:val="0"/>
          <w:numId w:val="2"/>
        </w:numPr>
        <w:spacing w:after="20" w:before="20" w:line="300"/>
      </w:pPr>
      <w:r>
        <w:rPr>
          <w:rFonts w:ascii="Calibri" w:eastAsia="Yu Gothic" w:hAnsi="Calibri"/>
        </w:rPr>
        <w:t xml:space="preserve">Ministry of Justice guidelines (August 2023, “On the relationship between the provision of services supporting contract-related work using AI and the like and Article 72 of the Attorney Act”):</w:t>
      </w:r>
    </w:p>
    <w:p>
      <w:pPr>
        <w:pStyle w:val="ListParagraph"/>
        <w:keepNext/>
        <w:keepLines/>
        <w:numPr>
          <w:ilvl w:val="1"/>
          <w:numId w:val="2"/>
        </w:numPr>
        <w:spacing w:after="20" w:before="20" w:line="300"/>
      </w:pPr>
      <w:r>
        <w:rPr>
          <w:rFonts w:ascii="Calibri" w:eastAsia="Yu Gothic" w:hAnsi="Calibri"/>
        </w:rPr>
        <w:t xml:space="preserve">“Where a business provides the service without receiving any benefit whatsoever, including usage fees, it usually does not fall under ‘for the purpose of obtaining remuneration’ and does not violate the Article.” However, leading to other paid services, receiving consideration from third parties' paid services, and providing only to those who have paid membership fees and the like may fall under “for the purpose of obtaining remuneration”. [J5]</w:t>
      </w:r>
    </w:p>
    <w:p>
      <w:pPr>
        <w:pStyle w:val="ListParagraph"/>
        <w:keepNext/>
        <w:keepLines/>
        <w:numPr>
          <w:ilvl w:val="1"/>
          <w:numId w:val="2"/>
        </w:numPr>
        <w:spacing w:after="20" w:before="20" w:line="300"/>
      </w:pPr>
      <w:r>
        <w:rPr>
          <w:rFonts w:ascii="Calibri" w:eastAsia="Yu Gothic" w:hAnsi="Calibri"/>
        </w:rPr>
        <w:t xml:space="preserve">Preparing settlement agreements and the like after a dispute has arisen may be found to involve a “legal case”. [J5]</w:t>
      </w:r>
    </w:p>
    <w:p>
      <w:pPr>
        <w:pStyle w:val="ListParagraph"/>
        <w:keepNext/>
        <w:keepLines/>
        <w:numPr>
          <w:ilvl w:val="1"/>
          <w:numId w:val="2"/>
        </w:numPr>
        <w:spacing w:after="20" w:before="20" w:line="300"/>
      </w:pPr>
      <w:r>
        <w:rPr>
          <w:rFonts w:ascii="Calibri" w:eastAsia="Yu Gothic" w:hAnsi="Calibri"/>
        </w:rPr>
        <w:t xml:space="preserve">Cases are shown where functions such as selecting from registered model forms and displaying them as they are do not fall under “appraisal ... or other legal services” of the Article. [J5]</w:t>
      </w:r>
    </w:p>
    <w:p>
      <w:pPr>
        <w:pStyle w:val="ListParagraph"/>
        <w:keepNext w:val="false"/>
        <w:keepLines/>
        <w:numPr>
          <w:ilvl w:val="0"/>
          <w:numId w:val="2"/>
        </w:numPr>
        <w:spacing w:after="20" w:before="20" w:line="300"/>
      </w:pPr>
      <w:r>
        <w:rPr>
          <w:rFonts w:ascii="Calibri" w:eastAsia="Yu Gothic" w:hAnsi="Calibri"/>
        </w:rPr>
        <w:t xml:space="preserve">Consequences for the design: complaints about reposts involve a “legal case”. That the System is provided free of charge, does not lead to paid legal services of NRSD or third parties, and limits text to presenting general model forms without stating individual legal opinions is the basis for the line drawn in Chapter 7 (R-7-6-1“It is stated explicitly that this is not legal advice, and the sources of information are stated”). The “attorney in charge” in Section 9 of the Draft Project Proposal is for responding to lawsuits concerning the operation of the System, and must not become a path to handling Users' complaints for a fee.</w:t>
      </w:r>
    </w:p>
    <w:p>
      <w:pPr>
        <w:pStyle w:val="Heading2"/>
      </w:pPr>
      <w:r>
        <w:rPr>
          <w:rFonts w:ascii="Calibri" w:eastAsia="Yu Gothic" w:hAnsi="Calibri"/>
        </w:rPr>
        <w:t xml:space="preserve">L-11“Personal information protection (User information) (Japan)” Japan: Protection of personal information</w:t>
      </w:r>
    </w:p>
    <w:p>
      <w:pPr>
        <w:pStyle w:val="ListParagraph"/>
        <w:keepNext/>
        <w:keepLines/>
        <w:numPr>
          <w:ilvl w:val="0"/>
          <w:numId w:val="2"/>
        </w:numPr>
        <w:spacing w:after="20" w:before="20" w:line="300"/>
      </w:pPr>
      <w:r>
        <w:rPr>
          <w:rFonts w:ascii="Calibri" w:eastAsia="Yu Gothic" w:hAnsi="Calibri"/>
        </w:rPr>
        <w:t xml:space="preserve">When using a cloud provided by a third party located abroad, if the cloud provider is not to handle the personal data, it is not “provision” to a third party. However, the business must itself take security measures, and for retained personal data, must make known to the person the names of the foreign country where the provider is located and the foreign country where the servers are located, and the measures taken after understanding the systems of those countries (understanding the external environment). [J6]</w:t>
      </w:r>
    </w:p>
    <w:p>
      <w:pPr>
        <w:pStyle w:val="ListParagraph"/>
        <w:keepNext/>
        <w:keepLines/>
        <w:numPr>
          <w:ilvl w:val="0"/>
          <w:numId w:val="2"/>
        </w:numPr>
        <w:spacing w:after="20" w:before="20" w:line="300"/>
      </w:pPr>
      <w:r>
        <w:rPr>
          <w:rFonts w:ascii="Calibri" w:eastAsia="Yu Gothic" w:hAnsi="Calibri"/>
        </w:rPr>
        <w:t xml:space="preserve">A business handling personal information (Article 16(2)) is one that uses a personal information database or the like (systematically organized so that specific personal information can be searched by computer; Article 16(1)) for its business. The Personal Information Protection Commission's guidelines (general rules) 2-4 give “an e-mail address book stored in e-mail software (where information combining e-mail addresses and names is entered)” as an example of a personal information database. [J6] [J15]</w:t>
      </w:r>
    </w:p>
    <w:p>
      <w:pPr>
        <w:pStyle w:val="ListParagraph"/>
        <w:keepNext/>
        <w:keepLines/>
        <w:numPr>
          <w:ilvl w:val="0"/>
          <w:numId w:val="2"/>
        </w:numPr>
        <w:spacing w:after="20" w:before="20" w:line="300"/>
      </w:pPr>
      <w:r>
        <w:rPr>
          <w:rFonts w:ascii="Calibri" w:eastAsia="Yu Gothic" w:hAnsi="Calibri"/>
        </w:rPr>
        <w:t xml:space="preserve">A business handling personal information specifies the purpose of use as far as possible (Article 17), and upon acquisition promptly notifies or publishes it unless published in advance (Article 21(1)). For retained personal data, it makes ① its name and address (for a corporation, the name of its representative), ② the purposes of use of all retained personal data, ③ the procedure for responding to requests for disclosure and the like, and ④ matters specified by Cabinet Order (Enforcement Order Article 10: security measures taken, where to make complaints, the name of the accredited personal information protection organization) knowable to the person (including responding without delay on the person's request) (Article 32(1)). [J15]</w:t>
      </w:r>
    </w:p>
    <w:p>
      <w:pPr>
        <w:pStyle w:val="ListParagraph"/>
        <w:keepNext/>
        <w:keepLines/>
        <w:numPr>
          <w:ilvl w:val="0"/>
          <w:numId w:val="2"/>
        </w:numPr>
        <w:spacing w:after="20" w:before="20" w:line="300"/>
      </w:pPr>
      <w:r>
        <w:rPr>
          <w:rFonts w:ascii="Calibri" w:eastAsia="Yu Gothic" w:hAnsi="Calibri"/>
        </w:rPr>
        <w:t xml:space="preserve">Consequences for the design (Edition 2):</w:t>
      </w:r>
    </w:p>
    <w:p>
      <w:pPr>
        <w:pStyle w:val="ListParagraph"/>
        <w:keepNext/>
        <w:keepLines/>
        <w:numPr>
          <w:ilvl w:val="1"/>
          <w:numId w:val="2"/>
        </w:numPr>
        <w:spacing w:after="20" w:before="20" w:line="300"/>
      </w:pPr>
      <w:r>
        <w:rPr>
          <w:rFonts w:ascii="Calibri" w:eastAsia="Yu Gothic" w:hAnsi="Calibri"/>
        </w:rPr>
        <w:t xml:space="preserve">NRSD does not receive Users' C2PA signing information, photos, or records (Design Plan D-5-1“The System does not confirm Users and collects no User information. No registration is required in order to use the System”). No User information is placed in the Public Repository either (Basic Design Chapter 8, 3 “Public Repository”).</w:t>
      </w:r>
    </w:p>
    <w:p>
      <w:pPr>
        <w:pStyle w:val="ListParagraph"/>
        <w:keepNext/>
        <w:keepLines/>
        <w:numPr>
          <w:ilvl w:val="1"/>
          <w:numId w:val="2"/>
        </w:numPr>
        <w:spacing w:after="20" w:before="20" w:line="300"/>
      </w:pPr>
      <w:r>
        <w:rPr>
          <w:rFonts w:ascii="Calibri" w:eastAsia="Yu Gothic" w:hAnsi="Calibri"/>
        </w:rPr>
        <w:t xml:space="preserve">All NRSD receives is feedback e-mail Users send themselves (Basic Design Chapter 10, 9 “Feedback Channel”). The mailbox can be searched, so it may constitute a personal information database. NRSD treats it as such and publishes the matters of Article 32 in the Privacy Policy (Basic Design Chapter 12, DD-12-6“The Article 32 items are published”, 5 “Privacy Policy”).</w:t>
      </w:r>
    </w:p>
    <w:p>
      <w:pPr>
        <w:pStyle w:val="ListParagraph"/>
        <w:keepNext w:val="false"/>
        <w:keepLines/>
        <w:numPr>
          <w:ilvl w:val="1"/>
          <w:numId w:val="2"/>
        </w:numPr>
        <w:spacing w:after="20" w:before="20" w:line="300"/>
      </w:pPr>
      <w:r>
        <w:rPr>
          <w:rFonts w:ascii="Calibri" w:eastAsia="Yu Gothic" w:hAnsi="Calibri"/>
        </w:rPr>
        <w:t xml:space="preserve">If a foreign provider's cloud is used to receive e-mail, the names of the provider and the country where data is kept are shown as understanding the external environment.</w:t>
      </w:r>
    </w:p>
    <w:p>
      <w:pPr>
        <w:pStyle w:val="Heading2"/>
      </w:pPr>
      <w:r>
        <w:rPr>
          <w:rFonts w:ascii="Calibri" w:eastAsia="Yu Gothic" w:hAnsi="Calibri"/>
        </w:rPr>
        <w:t xml:space="preserve">L-12“Personal information protection and cross-border transfer (China)” China: Personal Information Protection Law</w:t>
      </w:r>
    </w:p>
    <w:p>
      <w:pPr>
        <w:pStyle w:val="ListParagraph"/>
        <w:keepNext/>
        <w:keepLines/>
        <w:numPr>
          <w:ilvl w:val="0"/>
          <w:numId w:val="2"/>
        </w:numPr>
        <w:spacing w:after="20" w:before="20" w:line="300"/>
      </w:pPr>
      <w:r>
        <w:rPr>
          <w:rFonts w:ascii="Calibri" w:eastAsia="Yu Gothic" w:hAnsi="Calibri"/>
        </w:rPr>
        <w:t xml:space="preserve">Article 3: it also applies to activities outside China processing the personal information of natural persons in China, for purposes such as providing products or services to natural persons in China. [C3]</w:t>
      </w:r>
    </w:p>
    <w:p>
      <w:pPr>
        <w:pStyle w:val="ListParagraph"/>
        <w:keepNext/>
        <w:keepLines/>
        <w:numPr>
          <w:ilvl w:val="0"/>
          <w:numId w:val="2"/>
        </w:numPr>
        <w:spacing w:after="20" w:before="20" w:line="300"/>
      </w:pPr>
      <w:r>
        <w:rPr>
          <w:rFonts w:ascii="Calibri" w:eastAsia="Yu Gothic" w:hAnsi="Calibri"/>
        </w:rPr>
        <w:t xml:space="preserve">Article 38: to provide personal information abroad, one of ① a national security assessment, ② personal information protection certification by a specialized institution, ③ concluding a standard contract, or ④ others must be met. [C3]</w:t>
      </w:r>
    </w:p>
    <w:p>
      <w:pPr>
        <w:pStyle w:val="ListParagraph"/>
        <w:keepNext/>
        <w:keepLines/>
        <w:numPr>
          <w:ilvl w:val="0"/>
          <w:numId w:val="2"/>
        </w:numPr>
        <w:spacing w:after="20" w:before="20" w:line="300"/>
      </w:pPr>
      <w:r>
        <w:rPr>
          <w:rFonts w:ascii="Calibri" w:eastAsia="Yu Gothic" w:hAnsi="Calibri"/>
        </w:rPr>
        <w:t xml:space="preserve">Article 53: personal information processors outside China falling under Article 3(2) must establish a specialized institution or designate a representative in China to handle personal information protection matters, and report the name and contact details to the competent department. [C3]</w:t>
      </w:r>
    </w:p>
    <w:p>
      <w:pPr>
        <w:pStyle w:val="ListParagraph"/>
        <w:keepNext/>
        <w:keepLines/>
        <w:numPr>
          <w:ilvl w:val="0"/>
          <w:numId w:val="2"/>
        </w:numPr>
        <w:spacing w:after="20" w:before="20" w:line="300"/>
      </w:pPr>
      <w:r>
        <w:rPr>
          <w:rFonts w:ascii="Calibri" w:eastAsia="Yu Gothic" w:hAnsi="Calibri"/>
        </w:rPr>
        <w:t xml:space="preserve">Consequences for the design:</w:t>
      </w:r>
    </w:p>
    <w:p>
      <w:pPr>
        <w:pStyle w:val="ListParagraph"/>
        <w:keepNext/>
        <w:keepLines/>
        <w:numPr>
          <w:ilvl w:val="1"/>
          <w:numId w:val="2"/>
        </w:numPr>
        <w:spacing w:after="20" w:before="20" w:line="300"/>
      </w:pPr>
      <w:r>
        <w:rPr>
          <w:rFonts w:ascii="Calibri" w:eastAsia="Yu Gothic" w:hAnsi="Calibri"/>
        </w:rPr>
        <w:t xml:space="preserve">In Edition 2, the System does not send Chinese Users' C2PA signing information, photos, or records to NRSD. The only way NRSD may process personal information of natural persons in China is feedback e-mails Users send themselves.</w:t>
      </w:r>
    </w:p>
    <w:p>
      <w:pPr>
        <w:pStyle w:val="ListParagraph"/>
        <w:keepNext w:val="false"/>
        <w:keepLines/>
        <w:numPr>
          <w:ilvl w:val="1"/>
          <w:numId w:val="2"/>
        </w:numPr>
        <w:spacing w:after="20" w:before="20" w:line="300"/>
      </w:pPr>
      <w:r>
        <w:rPr>
          <w:rFonts w:ascii="Calibri" w:eastAsia="Yu Gothic" w:hAnsi="Calibri"/>
        </w:rPr>
        <w:t xml:space="preserve">If this processing falls under Article 3(2) (the purpose of providing products or services to natural persons in China), designating a domestic representative under Article 53 becomes an issue. Whether it is needed is an operational issue for NRSD (Basic Design Chapter 12, 7 “Legal Issues (Placed in the Legal Research as Material for Operational Decisions)”). As in Design Plan 3.3 “Profile of Users”, Chinese Users are Users of the System, and the design does not narrow the range of Users on account of this issue.</w:t>
      </w:r>
    </w:p>
    <w:p>
      <w:pPr>
        <w:pStyle w:val="Heading2"/>
      </w:pPr>
      <w:r>
        <w:rPr>
          <w:rFonts w:ascii="Calibri" w:eastAsia="Yu Gothic" w:hAnsi="Calibri"/>
        </w:rPr>
        <w:t xml:space="preserve">L-13“Personal information protection (extraterritorial application) (EU)” EU: GDPR</w:t>
      </w:r>
    </w:p>
    <w:p>
      <w:pPr>
        <w:pStyle w:val="ListParagraph"/>
        <w:keepNext/>
        <w:keepLines/>
        <w:numPr>
          <w:ilvl w:val="0"/>
          <w:numId w:val="2"/>
        </w:numPr>
        <w:spacing w:after="20" w:before="20" w:line="300"/>
      </w:pPr>
      <w:r>
        <w:rPr>
          <w:rFonts w:ascii="Calibri" w:eastAsia="Yu Gothic" w:hAnsi="Calibri"/>
        </w:rPr>
        <w:t xml:space="preserve">Article 3(2): it applies even to controllers not established in the EU where they offer goods or services (irrespective of payment) to data subjects in the EU, and so on. [E1]</w:t>
      </w:r>
    </w:p>
    <w:p>
      <w:pPr>
        <w:pStyle w:val="ListParagraph"/>
        <w:keepNext w:val="false"/>
        <w:keepLines/>
        <w:numPr>
          <w:ilvl w:val="0"/>
          <w:numId w:val="2"/>
        </w:numPr>
        <w:spacing w:after="20" w:before="20" w:line="300"/>
      </w:pPr>
      <w:r>
        <w:rPr>
          <w:rFonts w:ascii="Calibri" w:eastAsia="Yu Gothic" w:hAnsi="Calibri"/>
        </w:rPr>
        <w:t xml:space="preserve">Consequences for the design: it concerns EU Users sending feedback e-mails to NRSD. It is an operational issue for NRSD (Basic Design Chapter 12, 7 “Legal Issues (Placed in the Legal Research as Material for Operational Decisions)”, L-27“Representatives of foreign businesses and applicability thresholds (EU, UK, US)”).</w:t>
      </w:r>
    </w:p>
    <w:p>
      <w:pPr>
        <w:pStyle w:val="Heading2"/>
      </w:pPr>
      <w:r>
        <w:rPr>
          <w:rFonts w:ascii="Calibri" w:eastAsia="Yu Gothic" w:hAnsi="Calibri"/>
        </w:rPr>
        <w:t xml:space="preserve">L-14“Export control of software containing cryptography (Japan, US)” Japan: Foreign Exchange Act; United States: Export control (EAR)</w:t>
      </w:r>
    </w:p>
    <w:p>
      <w:pPr>
        <w:pStyle w:val="ListParagraph"/>
        <w:keepNext/>
        <w:keepLines/>
        <w:numPr>
          <w:ilvl w:val="0"/>
          <w:numId w:val="2"/>
        </w:numPr>
        <w:spacing w:after="20" w:before="20" w:line="300"/>
      </w:pPr>
      <w:r>
        <w:rPr>
          <w:rFonts w:ascii="Calibri" w:eastAsia="Yu Gothic" w:hAnsi="Calibri"/>
        </w:rPr>
        <w:t xml:space="preserve">Japan: Article 9(2) of the Ministerial Order on Trade-Related Transactions and Other Non-Trade Transactions sets service transactions not requiring permission. Item (ix) is “transactions providing publicly known technology, or transactions providing technology in order to make it publicly known (excluding transactions making it publicly known for the purpose of providing it to specific persons)”, and its (d) lists “transactions providing programs whose source code is published”. Item (xiv)(a) lists transactions providing programs that are acquired without any restriction, “provided to users free of charge without any restriction”, and “designed so that technical support from the supplier or seller of the program is not required for use” (except where a notification or notice about the risk of use in developing nuclear weapons and the like applies). [J16]</w:t>
      </w:r>
    </w:p>
    <w:p>
      <w:pPr>
        <w:pStyle w:val="ListParagraph"/>
        <w:keepNext/>
        <w:keepLines/>
        <w:numPr>
          <w:ilvl w:val="0"/>
          <w:numId w:val="2"/>
        </w:numPr>
        <w:spacing w:after="20" w:before="20" w:line="300"/>
      </w:pPr>
      <w:r>
        <w:rPr>
          <w:rFonts w:ascii="Calibri" w:eastAsia="Yu Gothic" w:hAnsi="Calibri"/>
        </w:rPr>
        <w:t xml:space="preserve">United States: 15 CFR 742.15(b)(1): “publicly available encryption source code (5D002) is not subject to the EAR”. (b)(2): only for publicly available source code implementing “non-standard cryptography”, an e-mail notification is sent to BIS and the NSA's ENC Encryption Request Coordinator. The rule of March 29, 2021 abolished notification for publicly available source code of standard cryptography. [U4] [U13]</w:t>
      </w:r>
    </w:p>
    <w:p>
      <w:pPr>
        <w:pStyle w:val="ListParagraph"/>
        <w:keepNext/>
        <w:keepLines/>
        <w:numPr>
          <w:ilvl w:val="0"/>
          <w:numId w:val="2"/>
        </w:numPr>
        <w:spacing w:after="20" w:before="20" w:line="300"/>
      </w:pPr>
      <w:r>
        <w:rPr>
          <w:rFonts w:ascii="Calibri" w:eastAsia="Yu Gothic" w:hAnsi="Calibri"/>
        </w:rPr>
        <w:t xml:space="preserve">Consequences for the design: the System uses only public standard cryptography (ECDSA P-256, SHA-256, ChaCha20-Poly1305, HMAC-SHA-256, scrypt, TLS, and Ed25519 for update signatures (the format of Tauri's signing key)), publishes the source code, and distributes distributables free of charge without restriction. It is interpreted as a transaction not requiring permission in Japan and as not requiring notification in the United States (requires confirmation by experts). These conditions are checked every time in the release procedure (Basic Design Chapter 9, 6.3 “Export control of software containing cryptography”, Chapter 12, DD-12-8“Only public standard cryptography is used, distributed openly and free of charge”).</w:t>
      </w:r>
    </w:p>
    <w:p>
      <w:pPr>
        <w:pStyle w:val="ListParagraph"/>
        <w:keepNext w:val="false"/>
        <w:keepLines/>
        <w:numPr>
          <w:ilvl w:val="0"/>
          <w:numId w:val="2"/>
        </w:numPr>
        <w:spacing w:after="20" w:before="20" w:line="300"/>
      </w:pPr>
      <w:r>
        <w:rPr>
          <w:rFonts w:ascii="Calibri" w:eastAsia="Yu Gothic" w:hAnsi="Calibri"/>
        </w:rPr>
        <w:t xml:space="preserve">The first edition's “send the e-mail notification of 742.15(b)” relied on the provision before the 2021 amendment and was revised.</w:t>
      </w:r>
    </w:p>
    <w:p>
      <w:pPr>
        <w:pStyle w:val="Heading2"/>
      </w:pPr>
      <w:r>
        <w:rPr>
          <w:rFonts w:ascii="Calibri" w:eastAsia="Yu Gothic" w:hAnsi="Calibri"/>
        </w:rPr>
        <w:t xml:space="preserve">L-15“Treatment of timestamps as evidence (China)” China: Trusted timestamps</w:t>
      </w:r>
    </w:p>
    <w:p>
      <w:pPr>
        <w:pStyle w:val="ListParagraph"/>
        <w:keepNext w:val="false"/>
        <w:keepLines/>
        <w:numPr>
          <w:ilvl w:val="0"/>
          <w:numId w:val="2"/>
        </w:numPr>
        <w:spacing w:after="20" w:before="20" w:line="300"/>
      </w:pPr>
      <w:r>
        <w:rPr>
          <w:rFonts w:ascii="Calibri" w:eastAsia="Yu Gothic" w:hAnsi="Calibri"/>
        </w:rPr>
        <w:t xml:space="preserve">Provided by the United Trust Time Stamp Service Center (National Time Service Center and United Trust) based on RFC 3161 and GB/T 20520-2006. As of April 2025, over 100,000 court documents at 1,221 courts used trusted timestamps as evidence. [C4]</w:t>
      </w:r>
    </w:p>
    <w:p>
      <w:pPr>
        <w:pStyle w:val="Heading2"/>
      </w:pPr>
      <w:r>
        <w:rPr>
          <w:rFonts w:ascii="Calibri" w:eastAsia="Yu Gothic" w:hAnsi="Calibri"/>
        </w:rPr>
        <w:t xml:space="preserve">L-16“The timestamp system (Japan)” Japan: Timestamp accreditation system</w:t>
      </w:r>
    </w:p>
    <w:p>
      <w:pPr>
        <w:pStyle w:val="ListParagraph"/>
        <w:keepNext w:val="false"/>
        <w:keepLines/>
        <w:numPr>
          <w:ilvl w:val="0"/>
          <w:numId w:val="2"/>
        </w:numPr>
        <w:spacing w:after="20" w:before="20" w:line="300"/>
      </w:pPr>
      <w:r>
        <w:rPr>
          <w:rFonts w:ascii="Calibri" w:eastAsia="Yu Gothic" w:hAnsi="Calibri"/>
        </w:rPr>
        <w:t xml:space="preserve">In 2021, the timestamp accreditation system by the Minister for Internal Affairs and Communications began. Amano Timestamp Service 3161 received the first accreditation on February 16, 2023, renewed on February 16, 2025. [J7]</w:t>
      </w:r>
    </w:p>
    <w:p>
      <w:pPr>
        <w:pStyle w:val="Heading2"/>
      </w:pPr>
      <w:r>
        <w:rPr>
          <w:rFonts w:ascii="Calibri" w:eastAsia="Yu Gothic" w:hAnsi="Calibri"/>
        </w:rPr>
        <w:t xml:space="preserve">L-17“Terms of sales platforms” Patreon Terms of Use</w:t>
      </w:r>
    </w:p>
    <w:p>
      <w:pPr>
        <w:pStyle w:val="ListParagraph"/>
        <w:keepNext/>
        <w:keepLines/>
        <w:numPr>
          <w:ilvl w:val="0"/>
          <w:numId w:val="2"/>
        </w:numPr>
        <w:spacing w:after="20" w:before="20" w:line="300"/>
      </w:pPr>
      <w:r>
        <w:rPr>
          <w:rFonts w:ascii="Calibri" w:eastAsia="Yu Gothic" w:hAnsi="Calibri"/>
        </w:rPr>
        <w:t xml:space="preserve">Creators retain ownership of their works. Members are granted a limited, non-exclusive, non-transferable, non-sublicensable, revocable license for private, personal, non-promotional, non-commercial viewing. Members may not use works in ways the creator does not permit, including sharing with others. [P1]</w:t>
      </w:r>
    </w:p>
    <w:p>
      <w:pPr>
        <w:pStyle w:val="ListParagraph"/>
        <w:keepNext w:val="false"/>
        <w:keepLines/>
        <w:numPr>
          <w:ilvl w:val="0"/>
          <w:numId w:val="2"/>
        </w:numPr>
        <w:spacing w:after="20" w:before="20" w:line="300"/>
      </w:pPr>
      <w:r>
        <w:rPr>
          <w:rFonts w:ascii="Calibri" w:eastAsia="Yu Gothic" w:hAnsi="Calibri"/>
        </w:rPr>
        <w:t xml:space="preserve">Consequences for the design: the Permitted Scope in the Enclosed Document (Chapter 5 “Rights Documents”) works as the “creator's permission” under Patreon's terms. It can be read that broadening the Permitted Scope beyond Patreon's default is also possible at the creator's discretion (requires confirmation by experts).</w:t>
      </w:r>
    </w:p>
    <w:p>
      <w:pPr>
        <w:pStyle w:val="Heading2"/>
      </w:pPr>
      <w:r>
        <w:rPr>
          <w:rFonts w:ascii="Calibri" w:eastAsia="Yu Gothic" w:hAnsi="Calibri"/>
        </w:rPr>
        <w:t xml:space="preserve">L-18“GitHub terms” GitHub's terms</w:t>
      </w:r>
    </w:p>
    <w:p>
      <w:pPr>
        <w:pStyle w:val="ListParagraph"/>
        <w:keepNext/>
        <w:keepLines/>
        <w:numPr>
          <w:ilvl w:val="0"/>
          <w:numId w:val="2"/>
        </w:numPr>
        <w:spacing w:after="20" w:before="20" w:line="300"/>
      </w:pPr>
      <w:r>
        <w:rPr>
          <w:rFonts w:ascii="Calibri" w:eastAsia="Yu Gothic" w:hAnsi="Calibri"/>
        </w:rPr>
        <w:t xml:space="preserve">GitHub's DMCA policy extends to the content of public and private repositories. [G1]</w:t>
      </w:r>
    </w:p>
    <w:p>
      <w:pPr>
        <w:pStyle w:val="ListParagraph"/>
        <w:keepNext/>
        <w:keepLines/>
        <w:numPr>
          <w:ilvl w:val="0"/>
          <w:numId w:val="2"/>
        </w:numPr>
        <w:spacing w:after="20" w:before="20" w:line="300"/>
      </w:pPr>
      <w:r>
        <w:rPr>
          <w:rFonts w:ascii="Calibri" w:eastAsia="Yu Gothic" w:hAnsi="Calibri"/>
        </w:rPr>
        <w:t xml:space="preserve">Content that invades third parties' privacy, such as posting third parties' personal information without consent, is not allowed. [G2]</w:t>
      </w:r>
    </w:p>
    <w:p>
      <w:pPr>
        <w:pStyle w:val="ListParagraph"/>
        <w:keepNext w:val="false"/>
        <w:keepLines/>
        <w:numPr>
          <w:ilvl w:val="0"/>
          <w:numId w:val="2"/>
        </w:numPr>
        <w:spacing w:after="20" w:before="20" w:line="300"/>
      </w:pPr>
      <w:r>
        <w:rPr>
          <w:rFonts w:ascii="Calibri" w:eastAsia="Yu Gothic" w:hAnsi="Calibri"/>
        </w:rPr>
        <w:t xml:space="preserve">Consequences for the design: in Edition 2, evidence (records of reposted pages) is placed only on the User's device and not on GitHub. The Public Repository holds only reference information, distributables, and the README, and no names or URLs of reposting sites or User information (Basic Design Chapter 8, 3 “Public Repository”).</w:t>
      </w:r>
    </w:p>
    <w:p>
      <w:pPr>
        <w:pStyle w:val="Heading2"/>
      </w:pPr>
      <w:r>
        <w:rPr>
          <w:rFonts w:ascii="Calibri" w:eastAsia="Yu Gothic" w:hAnsi="Calibri"/>
        </w:rPr>
        <w:t xml:space="preserve">L-19“Font licenses” Fonts</w:t>
      </w:r>
    </w:p>
    <w:p>
      <w:pPr>
        <w:pStyle w:val="ListParagraph"/>
        <w:keepNext/>
        <w:keepLines/>
        <w:numPr>
          <w:ilvl w:val="0"/>
          <w:numId w:val="2"/>
        </w:numPr>
        <w:spacing w:after="20" w:before="20" w:line="300"/>
      </w:pPr>
      <w:r>
        <w:rPr>
          <w:rFonts w:ascii="Calibri" w:eastAsia="Yu Gothic" w:hAnsi="Calibri"/>
        </w:rPr>
        <w:t xml:space="preserve">SIL OFL fonts can be bundled, embedded, and redistributed with software. When bundling, at least the copyright notice, license notice, and license text are included. The fonts themselves remain under OFL. [F1]</w:t>
      </w:r>
    </w:p>
    <w:p>
      <w:pPr>
        <w:pStyle w:val="ListParagraph"/>
        <w:keepNext/>
        <w:keepLines/>
        <w:numPr>
          <w:ilvl w:val="0"/>
          <w:numId w:val="2"/>
        </w:numPr>
        <w:spacing w:after="20" w:before="20" w:line="300"/>
      </w:pPr>
      <w:r>
        <w:rPr>
          <w:rFonts w:ascii="Calibri" w:eastAsia="Yu Gothic" w:hAnsi="Calibri"/>
        </w:rPr>
        <w:t xml:space="preserve">Reducing characters (subsetting) is a modification. Modified versions cannot use the Reserved Font Name (RFN), except where functionally identical to the original. [F1]</w:t>
      </w:r>
    </w:p>
    <w:p>
      <w:pPr>
        <w:pStyle w:val="ListParagraph"/>
        <w:keepNext/>
        <w:keepLines/>
        <w:numPr>
          <w:ilvl w:val="0"/>
          <w:numId w:val="2"/>
        </w:numPr>
        <w:spacing w:after="20" w:before="20" w:line="300"/>
      </w:pPr>
      <w:r>
        <w:rPr>
          <w:rFonts w:ascii="Calibri" w:eastAsia="Yu Gothic" w:hAnsi="Calibri"/>
        </w:rPr>
        <w:t xml:space="preserve">Referencing or embedding OFL fonts in documents does not change the documents' license. Rights to figures and images made with the fonts belong to their maker. [F1]</w:t>
      </w:r>
    </w:p>
    <w:p>
      <w:pPr>
        <w:pStyle w:val="ListParagraph"/>
        <w:keepNext w:val="false"/>
        <w:keepLines/>
        <w:numPr>
          <w:ilvl w:val="0"/>
          <w:numId w:val="2"/>
        </w:numPr>
        <w:spacing w:after="20" w:before="20" w:line="300"/>
      </w:pPr>
      <w:r>
        <w:rPr>
          <w:rFonts w:ascii="Calibri" w:eastAsia="Yu Gothic" w:hAnsi="Calibri"/>
        </w:rPr>
        <w:t xml:space="preserve">Consequences for the design: fonts are bundled unmodified (without subsetting) (Basic Design Chapter 4, 6.1 “Bundled fonts”). Images with the Visible Signature drawn are not subject to OFL, and Users can distribute them freely. The conditions for using fonts Users import differ per font, so Users check them (Basic Design Chapter 4, 6.4 “Imported fonts”).</w:t>
      </w:r>
    </w:p>
    <w:p>
      <w:pPr>
        <w:pStyle w:val="Heading2"/>
      </w:pPr>
      <w:r>
        <w:rPr>
          <w:rFonts w:ascii="Calibri" w:eastAsia="Yu Gothic" w:hAnsi="Calibri"/>
        </w:rPr>
        <w:t xml:space="preserve">L-20“Limitation periods for damages claims (Japan, China, US)” Periods for claiming damages</w:t>
      </w:r>
    </w:p>
    <w:p>
      <w:pPr>
        <w:pStyle w:val="ListParagraph"/>
        <w:keepNext/>
        <w:keepLines/>
        <w:numPr>
          <w:ilvl w:val="0"/>
          <w:numId w:val="2"/>
        </w:numPr>
        <w:spacing w:after="20" w:before="20" w:line="300"/>
      </w:pPr>
      <w:r>
        <w:rPr>
          <w:rFonts w:ascii="Calibri" w:eastAsia="Yu Gothic" w:hAnsi="Calibri"/>
        </w:rPr>
        <w:t xml:space="preserve">Japan: damages for copyright infringement, under Civil Code Article 724, within 3 years from knowing of the damage and the perpetrator, or 20 years from the infringement. [T1]</w:t>
      </w:r>
    </w:p>
    <w:p>
      <w:pPr>
        <w:pStyle w:val="ListParagraph"/>
        <w:keepNext/>
        <w:keepLines/>
        <w:numPr>
          <w:ilvl w:val="0"/>
          <w:numId w:val="2"/>
        </w:numPr>
        <w:spacing w:after="20" w:before="20" w:line="300"/>
      </w:pPr>
      <w:r>
        <w:rPr>
          <w:rFonts w:ascii="Calibri" w:eastAsia="Yu Gothic" w:hAnsi="Calibri"/>
        </w:rPr>
        <w:t xml:space="preserve">China: under Civil Code Article 188, the limitation period is 3 years. At most 20 years from the infringement of rights. [T2]</w:t>
      </w:r>
    </w:p>
    <w:p>
      <w:pPr>
        <w:pStyle w:val="ListParagraph"/>
        <w:keepNext/>
        <w:keepLines/>
        <w:numPr>
          <w:ilvl w:val="0"/>
          <w:numId w:val="2"/>
        </w:numPr>
        <w:spacing w:after="20" w:before="20" w:line="300"/>
      </w:pPr>
      <w:r>
        <w:rPr>
          <w:rFonts w:ascii="Calibri" w:eastAsia="Yu Gothic" w:hAnsi="Calibri"/>
        </w:rPr>
        <w:t xml:space="preserve">United States: 17 U.S.C. §507(b): “No civil action shall be maintained ... unless it is commenced within three years after the claim accrued.” At least 11 circuits count from “discovery”. Warner Chappell Music v. Nealy (2024) held that if the suit is timely, there is no separate three-year limit on the retrospective recovery of damages. [T3] [T4]</w:t>
      </w:r>
    </w:p>
    <w:p>
      <w:pPr>
        <w:pStyle w:val="ListParagraph"/>
        <w:keepNext w:val="false"/>
        <w:keepLines/>
        <w:numPr>
          <w:ilvl w:val="0"/>
          <w:numId w:val="2"/>
        </w:numPr>
        <w:spacing w:after="20" w:before="20" w:line="300"/>
      </w:pPr>
      <w:r>
        <w:rPr>
          <w:rFonts w:ascii="Calibri" w:eastAsia="Yu Gothic" w:hAnsi="Calibri"/>
        </w:rPr>
        <w:t xml:space="preserve">Consequences for the design: evidence is kept unless the User deletes it. Before deletion, the period for claims is shown and exporting the evidence package is recommended (Basic Design Chapter 1, 8.4 “Retention and deletion”).</w:t>
      </w:r>
    </w:p>
    <w:p>
      <w:pPr>
        <w:pStyle w:val="Heading2"/>
      </w:pPr>
      <w:r>
        <w:rPr>
          <w:rFonts w:ascii="Calibri" w:eastAsia="Yu Gothic" w:hAnsi="Calibri"/>
        </w:rPr>
        <w:t xml:space="preserve">L-21“Copying for evidence (Japan, China, US)” Japan: Copying in judicial proceedings (preserving evidence)</w:t>
      </w:r>
    </w:p>
    <w:p>
      <w:pPr>
        <w:pStyle w:val="ListParagraph"/>
        <w:keepNext/>
        <w:keepLines/>
        <w:numPr>
          <w:ilvl w:val="0"/>
          <w:numId w:val="2"/>
        </w:numPr>
        <w:spacing w:after="20" w:before="20" w:line="300"/>
      </w:pPr>
      <w:r>
        <w:rPr>
          <w:rFonts w:ascii="Calibri" w:eastAsia="Yu Gothic" w:hAnsi="Calibri"/>
        </w:rPr>
        <w:t xml:space="preserve">Copyright Act Article 41-2(1): “A work may be reproduced where it is deemed necessary for judicial proceedings and administrative adjudication proceedings, to the extent deemed necessary.” However, excluding where it unreasonably prejudices the copyright holder's interests in light of the type and use of the work and the number and manner of copies. [J1]</w:t>
      </w:r>
    </w:p>
    <w:p>
      <w:pPr>
        <w:pStyle w:val="ListParagraph"/>
        <w:keepNext/>
        <w:keepLines/>
        <w:numPr>
          <w:ilvl w:val="0"/>
          <w:numId w:val="2"/>
        </w:numPr>
        <w:spacing w:after="20" w:before="20" w:line="300"/>
      </w:pPr>
      <w:r>
        <w:rPr>
          <w:rFonts w:ascii="Calibri" w:eastAsia="Yu Gothic" w:hAnsi="Calibri"/>
        </w:rPr>
        <w:t xml:space="preserve">Consequences for the design:</w:t>
      </w:r>
    </w:p>
    <w:p>
      <w:pPr>
        <w:pStyle w:val="ListParagraph"/>
        <w:keepNext/>
        <w:keepLines/>
        <w:numPr>
          <w:ilvl w:val="1"/>
          <w:numId w:val="2"/>
        </w:numPr>
        <w:spacing w:after="20" w:before="20" w:line="300"/>
      </w:pPr>
      <w:r>
        <w:rPr>
          <w:rFonts w:ascii="Calibri" w:eastAsia="Yu Gothic" w:hAnsi="Calibri"/>
        </w:rPr>
        <w:t xml:space="preserve">Most evidence consists of reposts of the User's own works (the User is the rights holder), and copying poses no problem.</w:t>
      </w:r>
    </w:p>
    <w:p>
      <w:pPr>
        <w:pStyle w:val="ListParagraph"/>
        <w:keepNext/>
        <w:keepLines/>
        <w:numPr>
          <w:ilvl w:val="1"/>
          <w:numId w:val="2"/>
        </w:numPr>
        <w:spacing w:after="20" w:before="20" w:line="300"/>
      </w:pPr>
      <w:r>
        <w:rPr>
          <w:rFonts w:ascii="Calibri" w:eastAsia="Yu Gothic" w:hAnsi="Calibri"/>
        </w:rPr>
        <w:t xml:space="preserve">Third parties' works (other images and text) captured in screen records of reposted pages may be treated as copying to the extent necessary for judicial proceedings. However, whether preservation before filing a suit falls under “deemed necessary for judicial proceedings” of this Article requires confirmation by experts.</w:t>
      </w:r>
    </w:p>
    <w:p>
      <w:pPr>
        <w:pStyle w:val="ListParagraph"/>
        <w:keepNext/>
        <w:keepLines/>
        <w:numPr>
          <w:ilvl w:val="1"/>
          <w:numId w:val="2"/>
        </w:numPr>
        <w:spacing w:after="20" w:before="20" w:line="300"/>
      </w:pPr>
      <w:r>
        <w:rPr>
          <w:rFonts w:ascii="Calibri" w:eastAsia="Yu Gothic" w:hAnsi="Calibri"/>
        </w:rPr>
        <w:t xml:space="preserve">Fetching is limited to the one page the User specifies, and there is no exhaustive fetching of whole sites (crawling) (Chapter 6 “Registration and Evidence Preservation”; also consistent with automated detection being out of scope).</w:t>
      </w:r>
    </w:p>
    <w:p>
      <w:pPr>
        <w:pStyle w:val="ListParagraph"/>
        <w:keepNext/>
        <w:keepLines/>
        <w:numPr>
          <w:ilvl w:val="1"/>
          <w:numId w:val="2"/>
        </w:numPr>
        <w:spacing w:after="20" w:before="20" w:line="300"/>
      </w:pPr>
      <w:r>
        <w:rPr>
          <w:rFonts w:ascii="Calibri" w:eastAsia="Yu Gothic" w:hAnsi="Calibri"/>
        </w:rPr>
        <w:t xml:space="preserve">The danger of saving pages containing illegal content (obscene material, etc.) is explained to Users (caution on screen in Chapter 6 “Registration and Evidence Preservation”).</w:t>
      </w:r>
    </w:p>
    <w:p>
      <w:pPr>
        <w:pStyle w:val="ListParagraph"/>
        <w:keepNext/>
        <w:keepLines/>
        <w:numPr>
          <w:ilvl w:val="0"/>
          <w:numId w:val="2"/>
        </w:numPr>
        <w:spacing w:after="20" w:before="20" w:line="300"/>
      </w:pPr>
      <w:r>
        <w:rPr>
          <w:rFonts w:ascii="Calibri" w:eastAsia="Yu Gothic" w:hAnsi="Calibri"/>
        </w:rPr>
        <w:t xml:space="preserve">United States: Bond v. Blum, 317 F.3d 385 (4th Cir. 2003) found copying a work as evidence in litigation to be fair use as used for its content rather than its expression (though it is a judgment by the factors of Section 107, not a uniform rule). [U8]</w:t>
      </w:r>
    </w:p>
    <w:p>
      <w:pPr>
        <w:pStyle w:val="ListParagraph"/>
        <w:keepNext w:val="false"/>
        <w:keepLines/>
        <w:numPr>
          <w:ilvl w:val="0"/>
          <w:numId w:val="2"/>
        </w:numPr>
        <w:spacing w:after="20" w:before="20" w:line="300"/>
      </w:pPr>
      <w:r>
        <w:rPr>
          <w:rFonts w:ascii="Calibri" w:eastAsia="Yu Gothic" w:hAnsi="Calibri"/>
        </w:rPr>
        <w:t xml:space="preserve">China: Copyright Law Article 24 limits fair use (合理使用) to 12 enumerated categories and “other cases provided by laws and administrative regulations”. No category explicitly covering private persons copying others' works as evidence for litigation could be confirmed in public information (there is a category for official duties of state organs). [C5] Therefore the treatment of third parties' works captured requires confirmation by experts (kept as unresolved).</w:t>
      </w:r>
    </w:p>
    <w:p>
      <w:pPr>
        <w:pStyle w:val="Heading2"/>
      </w:pPr>
      <w:r>
        <w:rPr>
          <w:rFonts w:ascii="Calibri" w:eastAsia="Yu Gothic" w:hAnsi="Calibri"/>
        </w:rPr>
        <w:t xml:space="preserve">L-22“Copyright registration (Japan)” Japan: Copyright registration</w:t>
      </w:r>
    </w:p>
    <w:p>
      <w:pPr>
        <w:pStyle w:val="ListParagraph"/>
        <w:keepNext/>
        <w:keepLines/>
        <w:numPr>
          <w:ilvl w:val="0"/>
          <w:numId w:val="2"/>
        </w:numPr>
        <w:spacing w:after="20" w:before="20" w:line="300"/>
      </w:pPr>
      <w:r>
        <w:rPr>
          <w:rFonts w:ascii="Calibri" w:eastAsia="Yu Gothic" w:hAnsi="Calibri"/>
        </w:rPr>
        <w:t xml:space="preserve">Registration is not a requirement for rights to arise. Optional registrations include the following. [J8]</w:t>
      </w:r>
    </w:p>
    <w:p>
      <w:pPr>
        <w:pStyle w:val="ListParagraph"/>
        <w:keepNext/>
        <w:keepLines/>
        <w:numPr>
          <w:ilvl w:val="1"/>
          <w:numId w:val="2"/>
        </w:numPr>
        <w:spacing w:after="20" w:before="20" w:line="300"/>
      </w:pPr>
      <w:r>
        <w:rPr>
          <w:rFonts w:ascii="Calibri" w:eastAsia="Yu Gothic" w:hAnsi="Calibri"/>
        </w:rPr>
        <w:t xml:space="preserve">Registration of the real name (Article 75): authors who published anonymously or under a pseudonym (handle name, etc.) can apply. The registrant is presumed to be the author. Registration tax JPY 9,000 per registration.</w:t>
      </w:r>
    </w:p>
    <w:p>
      <w:pPr>
        <w:pStyle w:val="ListParagraph"/>
        <w:keepNext/>
        <w:keepLines/>
        <w:numPr>
          <w:ilvl w:val="1"/>
          <w:numId w:val="2"/>
        </w:numPr>
        <w:spacing w:after="20" w:before="20" w:line="300"/>
      </w:pPr>
      <w:r>
        <w:rPr>
          <w:rFonts w:ascii="Calibri" w:eastAsia="Yu Gothic" w:hAnsi="Calibri"/>
        </w:rPr>
        <w:t xml:space="preserve">Registration of the date of first publication, etc. (Article 76): copyright holders and publishers of anonymous or pseudonymous works can apply. The work is presumed to have been first published on the registered date. Registration tax JPY 3,000 per registration.</w:t>
      </w:r>
    </w:p>
    <w:p>
      <w:pPr>
        <w:pStyle w:val="ListParagraph"/>
        <w:keepNext/>
        <w:keepLines/>
        <w:numPr>
          <w:ilvl w:val="1"/>
          <w:numId w:val="2"/>
        </w:numPr>
        <w:spacing w:after="20" w:before="20" w:line="300"/>
      </w:pPr>
      <w:r>
        <w:rPr>
          <w:rFonts w:ascii="Calibri" w:eastAsia="Yu Gothic" w:hAnsi="Calibri"/>
        </w:rPr>
        <w:t xml:space="preserve">Copies and inspection of the register can be requested, and a search system for registrations is public. [J8]</w:t>
      </w:r>
    </w:p>
    <w:p>
      <w:pPr>
        <w:pStyle w:val="ListParagraph"/>
        <w:keepNext w:val="false"/>
        <w:keepLines/>
        <w:numPr>
          <w:ilvl w:val="0"/>
          <w:numId w:val="2"/>
        </w:numPr>
        <w:spacing w:after="20" w:before="20" w:line="300"/>
      </w:pPr>
      <w:r>
        <w:rPr>
          <w:rFonts w:ascii="Calibri" w:eastAsia="Yu Gothic" w:hAnsi="Calibri"/>
        </w:rPr>
        <w:t xml:space="preserve">Consequences for the design: registering the real name puts the real name in the public register. Users whose policy is not to reveal their real name (R-2-5-2“Real names are not unintentionally made public in signatures or on screen”) are first guided to registration of the date of first publication, etc., and registration of the real name is guided after stating clearly that the real name becomes public (Basic Design Chapter 12 “Interface with Legal”).</w:t>
      </w:r>
    </w:p>
    <w:p>
      <w:pPr>
        <w:pStyle w:val="Heading2"/>
      </w:pPr>
      <w:r>
        <w:rPr>
          <w:rFonts w:ascii="Calibri" w:eastAsia="Yu Gothic" w:hAnsi="Calibri"/>
        </w:rPr>
        <w:t xml:space="preserve">L-23“Work registration (China)” China: Work registration</w:t>
      </w:r>
    </w:p>
    <w:p>
      <w:pPr>
        <w:pStyle w:val="ListParagraph"/>
        <w:keepNext/>
        <w:keepLines/>
        <w:numPr>
          <w:ilvl w:val="0"/>
          <w:numId w:val="2"/>
        </w:numPr>
        <w:spacing w:after="20" w:before="20" w:line="300"/>
      </w:pPr>
      <w:r>
        <w:rPr>
          <w:rFonts w:ascii="Calibri" w:eastAsia="Yu Gothic" w:hAnsi="Calibri"/>
        </w:rPr>
        <w:t xml:space="preserve">Trial Measures for Voluntary Registration of Works Article 2: whether registered or not does not affect the acquisition of copyright. Article 3: registration of works by authors from abroad, Taiwan, Hong Kong, and Macao is handled by the National Copyright Administration. [C6]</w:t>
      </w:r>
    </w:p>
    <w:p>
      <w:pPr>
        <w:pStyle w:val="ListParagraph"/>
        <w:keepNext/>
        <w:keepLines/>
        <w:numPr>
          <w:ilvl w:val="0"/>
          <w:numId w:val="2"/>
        </w:numPr>
        <w:spacing w:after="20" w:before="20" w:line="300"/>
      </w:pPr>
      <w:r>
        <w:rPr>
          <w:rFonts w:ascii="Calibri" w:eastAsia="Yu Gothic" w:hAnsi="Calibri"/>
        </w:rPr>
        <w:t xml:space="preserve">Registration involves only formal examination, without substantive examination of originality. Work registration certificates are treated as preliminary evidence of ownership of rights (commentary). [C6]</w:t>
      </w:r>
    </w:p>
    <w:p>
      <w:pPr>
        <w:pStyle w:val="ListParagraph"/>
        <w:keepNext w:val="false"/>
        <w:keepLines/>
        <w:numPr>
          <w:ilvl w:val="0"/>
          <w:numId w:val="2"/>
        </w:numPr>
        <w:spacing w:after="20" w:before="20" w:line="300"/>
      </w:pPr>
      <w:r>
        <w:rPr>
          <w:rFonts w:ascii="Calibri" w:eastAsia="Yu Gothic" w:hAnsi="Calibri"/>
        </w:rPr>
        <w:t xml:space="preserve">Consequences for the design: guided as an optional means of reinforcing evidence of ownership of rights in China (Draft Project Proposal Section 8).</w:t>
      </w:r>
    </w:p>
    <w:p>
      <w:pPr>
        <w:pStyle w:val="Heading2"/>
      </w:pPr>
      <w:r>
        <w:rPr>
          <w:rFonts w:ascii="Calibri" w:eastAsia="Yu Gothic" w:hAnsi="Calibri"/>
        </w:rPr>
        <w:t xml:space="preserve">L-24“Treatment of electronic signatures and electronic data as evidence (Japan, China, US)” Evidential treatment of electronic signatures and electronic data</w:t>
      </w:r>
    </w:p>
    <w:p>
      <w:pPr>
        <w:pStyle w:val="ListParagraph"/>
        <w:keepNext/>
        <w:keepLines/>
        <w:numPr>
          <w:ilvl w:val="0"/>
          <w:numId w:val="2"/>
        </w:numPr>
        <w:spacing w:after="20" w:before="20" w:line="300"/>
      </w:pPr>
      <w:r>
        <w:rPr>
          <w:rFonts w:ascii="Calibri" w:eastAsia="Yu Gothic" w:hAnsi="Calibri"/>
        </w:rPr>
        <w:t xml:space="preserve">Japan: Electronic Signatures Act Article 3 presumes an electromagnetic record to be authentically made when “an electronic signature by the principal (limited to one that only the principal can perform by properly managing the codes and articles necessary to perform it)” has been made. [J9]</w:t>
      </w:r>
    </w:p>
    <w:p>
      <w:pPr>
        <w:pStyle w:val="ListParagraph"/>
        <w:keepNext/>
        <w:keepLines/>
        <w:numPr>
          <w:ilvl w:val="0"/>
          <w:numId w:val="2"/>
        </w:numPr>
        <w:spacing w:after="20" w:before="20" w:line="300"/>
      </w:pPr>
      <w:r>
        <w:rPr>
          <w:rFonts w:ascii="Calibri" w:eastAsia="Yu Gothic" w:hAnsi="Calibri"/>
        </w:rPr>
        <w:t xml:space="preserve">China: Electronic Signature Law Article 13 defines as a “reliable electronic signature” one that meets all of: ① the signature creation data is exclusively owned by the signatory, ② at the time of signing, only the signatory controls the creation data, ③ any alteration of the signature after signing can be detected, ④ any alteration of the content and form after signing can be detected; Article 14 gives it the same effect as a handwritten signature or seal. [C7]</w:t>
      </w:r>
    </w:p>
    <w:p>
      <w:pPr>
        <w:pStyle w:val="ListParagraph"/>
        <w:keepNext/>
        <w:keepLines/>
        <w:numPr>
          <w:ilvl w:val="0"/>
          <w:numId w:val="2"/>
        </w:numPr>
        <w:spacing w:after="20" w:before="20" w:line="300"/>
      </w:pPr>
      <w:r>
        <w:rPr>
          <w:rFonts w:ascii="Calibri" w:eastAsia="Yu Gothic" w:hAnsi="Calibri"/>
        </w:rPr>
        <w:t xml:space="preserve">China: Provisions on Evidence in Civil Procedures (2019 amendment) Article 93 determines the authenticity of electronic data comprehensively from the integrity and reliability of the systems for its generation, storage, and transmission, and Article 94 allows the authenticity of electronic data provided or confirmed by a neutral third-party platform that records and stores it to be confirmed unless there is contrary evidence. [C8]</w:t>
      </w:r>
    </w:p>
    <w:p>
      <w:pPr>
        <w:pStyle w:val="ListParagraph"/>
        <w:keepNext/>
        <w:keepLines/>
        <w:numPr>
          <w:ilvl w:val="0"/>
          <w:numId w:val="2"/>
        </w:numPr>
        <w:spacing w:after="20" w:before="20" w:line="300"/>
      </w:pPr>
      <w:r>
        <w:rPr>
          <w:rFonts w:ascii="Calibri" w:eastAsia="Yu Gothic" w:hAnsi="Calibri"/>
        </w:rPr>
        <w:t xml:space="preserve">United States: Federal Rule of Evidence 902(14) allows data copied from electronic devices, storage media, or files, verified by a process of digital identification (usually matching hash values), to be self-authenticating (proving authenticity without a witness) by a certification of a qualified person. [U10]</w:t>
      </w:r>
    </w:p>
    <w:p>
      <w:pPr>
        <w:pStyle w:val="ListParagraph"/>
        <w:keepNext/>
        <w:keepLines/>
        <w:numPr>
          <w:ilvl w:val="0"/>
          <w:numId w:val="2"/>
        </w:numPr>
        <w:spacing w:after="20" w:before="20" w:line="300"/>
      </w:pPr>
      <w:r>
        <w:rPr>
          <w:rFonts w:ascii="Calibri" w:eastAsia="Yu Gothic" w:hAnsi="Calibri"/>
        </w:rPr>
        <w:t xml:space="preserve">Consequences for the design:</w:t>
      </w:r>
    </w:p>
    <w:p>
      <w:pPr>
        <w:pStyle w:val="ListParagraph"/>
        <w:keepNext/>
        <w:keepLines/>
        <w:numPr>
          <w:ilvl w:val="1"/>
          <w:numId w:val="2"/>
        </w:numPr>
        <w:spacing w:after="20" w:before="20" w:line="300"/>
      </w:pPr>
      <w:r>
        <w:rPr>
          <w:rFonts w:ascii="Calibri" w:eastAsia="Yu Gothic" w:hAnsi="Calibri"/>
        </w:rPr>
        <w:t xml:space="preserve">The System's signing keys are kept in the OS keystore and leave the device only in backup files encrypted with the User's passphrase (on Linux without Secret Service, in a key file encrypted with a passphrase; Basic Design Chapter 2, 7 “Signing Keys”, Chapter 8, 5 “Backup Files”). The keys can be used by the device's user and by those who have the backup file and its passphrase. This design aims to follow ① (creation data exclusively owned by the signatory) and ② (only the signatory controls it at signing) of China's Article 13, and “only the principal can perform” of Japan's Article 3, but management of backup files and passphrases is left to the User (requires confirmation by experts). However, the certificate is from the User's own certificate authority made on the device (Basic Design Chapter 2, 3 “Certificates”); no third party has verified the principal and it does not prove a link to the real name, so it cannot be said that the presumption of Japan's Article 3 can be claimed as a matter of course (requires confirmation by experts).</w:t>
      </w:r>
    </w:p>
    <w:p>
      <w:pPr>
        <w:pStyle w:val="ListParagraph"/>
        <w:keepNext/>
        <w:keepLines/>
        <w:numPr>
          <w:ilvl w:val="1"/>
          <w:numId w:val="2"/>
        </w:numPr>
        <w:spacing w:after="20" w:before="20" w:line="300"/>
      </w:pPr>
      <w:r>
        <w:rPr>
          <w:rFonts w:ascii="Calibri" w:eastAsia="Yu Gothic" w:hAnsi="Calibri"/>
        </w:rPr>
        <w:t xml:space="preserve">Timestamps come from external TSAs (trusted timestamps in China). They may count as confirmation by a “neutral third party” under China's Article 94.</w:t>
      </w:r>
    </w:p>
    <w:p>
      <w:pPr>
        <w:pStyle w:val="ListParagraph"/>
        <w:keepNext/>
        <w:keepLines/>
        <w:numPr>
          <w:ilvl w:val="1"/>
          <w:numId w:val="2"/>
        </w:numPr>
        <w:spacing w:after="20" w:before="20" w:line="300"/>
      </w:pPr>
      <w:r>
        <w:rPr>
          <w:rFonts w:ascii="Calibri" w:eastAsia="Yu Gothic" w:hAnsi="Calibri"/>
        </w:rPr>
        <w:t xml:space="preserve">The exported evidence package includes a list of SHA-256 of all files (Basic Design Chapter 6 “Registration and Evidence Preservation”). It is material from which a qualified person can make the certification of U.S. 902(14).</w:t>
      </w:r>
    </w:p>
    <w:p>
      <w:pPr>
        <w:pStyle w:val="ListParagraph"/>
        <w:keepNext/>
        <w:keepLines/>
        <w:numPr>
          <w:ilvl w:val="0"/>
          <w:numId w:val="2"/>
        </w:numPr>
        <w:spacing w:after="20" w:before="20" w:line="300"/>
      </w:pPr>
      <w:r>
        <w:rPr>
          <w:rFonts w:ascii="Calibri" w:eastAsia="Yu Gothic" w:hAnsi="Calibri"/>
        </w:rPr>
        <w:t xml:space="preserve">External means of reinforcing evidence (those for which Design Plan 10.3 sets references)</w:t>
      </w:r>
    </w:p>
    <w:p>
      <w:pPr>
        <w:pStyle w:val="ListParagraph"/>
        <w:keepNext/>
        <w:keepLines/>
        <w:numPr>
          <w:ilvl w:val="1"/>
          <w:numId w:val="2"/>
        </w:numPr>
        <w:spacing w:after="20" w:before="20" w:line="300"/>
      </w:pPr>
      <w:r>
        <w:rPr>
          <w:rFonts w:ascii="Calibri" w:eastAsia="Yu Gothic" w:hAnsi="Calibri"/>
        </w:rPr>
        <w:t xml:space="preserve">China: the Provisions of the Supreme People's Court on Several Issues Concerning the Trial of Cases by Internet Courts (in force September 7, 2018) Article 11 provides that internet courts confirm electronic data submitted by parties whose authenticity can be proven by technical means of collection, fixing, and tamper prevention such as electronic signatures, trusted timestamps, hash value verification, and blockchain, or by certification from electronic evidence-collection and preservation platforms. [C14]</w:t>
      </w:r>
    </w:p>
    <w:p>
      <w:pPr>
        <w:pStyle w:val="ListParagraph"/>
        <w:keepNext/>
        <w:keepLines/>
        <w:numPr>
          <w:ilvl w:val="1"/>
          <w:numId w:val="2"/>
        </w:numPr>
        <w:spacing w:after="20" w:before="20" w:line="300"/>
      </w:pPr>
      <w:r>
        <w:rPr>
          <w:rFonts w:ascii="Calibri" w:eastAsia="Yu Gothic" w:hAnsi="Calibri"/>
        </w:rPr>
        <w:t xml:space="preserve">Japan: notarial deeds of factual experiments, in which a notary records facts directly experienced with the five senses, have their originals kept at the notary office and are used to preserve evidence such as the display state of web pages. Fees are determined by time and workload. [J26]</w:t>
      </w:r>
    </w:p>
    <w:p>
      <w:pPr>
        <w:pStyle w:val="ListParagraph"/>
        <w:keepNext w:val="false"/>
        <w:keepLines/>
        <w:numPr>
          <w:ilvl w:val="1"/>
          <w:numId w:val="2"/>
        </w:numPr>
        <w:spacing w:after="20" w:before="20" w:line="300"/>
      </w:pPr>
      <w:r>
        <w:rPr>
          <w:rFonts w:ascii="Calibri" w:eastAsia="Yu Gothic" w:hAnsi="Calibri"/>
        </w:rPr>
        <w:t xml:space="preserve">Consequences for the design: the System does not perform these procedures. The export of the evidence package (Basic Design Chapter 6, 3.4 “Export”) is in a file form that can be brought as is into these procedures, and names and links are shown as guidance (Chapter 6, 3.2 “Trusted timestamps”).</w:t>
      </w:r>
    </w:p>
    <w:p>
      <w:pPr>
        <w:pStyle w:val="Heading2"/>
      </w:pPr>
      <w:r>
        <w:rPr>
          <w:rFonts w:ascii="Calibri" w:eastAsia="Yu Gothic" w:hAnsi="Calibri"/>
        </w:rPr>
        <w:t xml:space="preserve">L-25“Terms of Use (standard terms) and disclaimers (Japan)” Japan: Terms of Use (standard terms) and disclaimers</w:t>
      </w:r>
    </w:p>
    <w:p>
      <w:pPr>
        <w:pStyle w:val="ListParagraph"/>
        <w:keepNext/>
        <w:keepLines/>
        <w:numPr>
          <w:ilvl w:val="0"/>
          <w:numId w:val="2"/>
        </w:numPr>
        <w:spacing w:after="20" w:before="20" w:line="300"/>
      </w:pPr>
      <w:r>
        <w:rPr>
          <w:rFonts w:ascii="Calibri" w:eastAsia="Yu Gothic" w:hAnsi="Calibri"/>
        </w:rPr>
        <w:t xml:space="preserve">Civil Code Article 548-2: when parties agree that standard terms become the content of the contract, or the party has indicated so to the other party in advance, they are deemed to have agreed to the individual clauses. [J10]</w:t>
      </w:r>
    </w:p>
    <w:p>
      <w:pPr>
        <w:pStyle w:val="ListParagraph"/>
        <w:keepNext/>
        <w:keepLines/>
        <w:numPr>
          <w:ilvl w:val="0"/>
          <w:numId w:val="2"/>
        </w:numPr>
        <w:spacing w:after="20" w:before="20" w:line="300"/>
      </w:pPr>
      <w:r>
        <w:rPr>
          <w:rFonts w:ascii="Calibri" w:eastAsia="Yu Gothic" w:hAnsi="Calibri"/>
        </w:rPr>
        <w:t xml:space="preserve">Civil Code Article 548-4: changes can be made without individual agreement where they conform to the general interests of the other party, or are not contrary to the purpose of the contract and are reasonable. For a change, the effective time is set, and the fact, content, and effective time of the change are announced via the internet or the like. A change of the latter kind does not take effect unless announced by the effective time. [J10]</w:t>
      </w:r>
    </w:p>
    <w:p>
      <w:pPr>
        <w:pStyle w:val="ListParagraph"/>
        <w:keepNext/>
        <w:keepLines/>
        <w:numPr>
          <w:ilvl w:val="0"/>
          <w:numId w:val="2"/>
        </w:numPr>
        <w:spacing w:after="20" w:before="20" w:line="300"/>
      </w:pPr>
      <w:r>
        <w:rPr>
          <w:rFonts w:ascii="Calibri" w:eastAsia="Yu Gothic" w:hAnsi="Calibri"/>
        </w:rPr>
        <w:t xml:space="preserve">Consumer Contract Act Article 8: clauses exempting a business from all liability for damages and the like are void. Paragraph 3 (2022 amendment, in force June 2023) makes void clauses exempting part of the liability that do not make clear that they apply only to negligence other than gross negligence (slight negligence). Even free provision is a consumer contract. [J11]</w:t>
      </w:r>
    </w:p>
    <w:p>
      <w:pPr>
        <w:pStyle w:val="ListParagraph"/>
        <w:keepNext/>
        <w:keepLines/>
        <w:numPr>
          <w:ilvl w:val="0"/>
          <w:numId w:val="2"/>
        </w:numPr>
        <w:spacing w:after="20" w:before="20" w:line="300"/>
      </w:pPr>
      <w:r>
        <w:rPr>
          <w:rFonts w:ascii="Calibri" w:eastAsia="Yu Gothic" w:hAnsi="Calibri"/>
        </w:rPr>
        <w:t xml:space="preserve">Civil Code Article 548-2(2): clauses restricting the other party's rights or aggravating their obligations that unilaterally harm the other party's interests contrary to good faith are deemed not agreed to. Article 548-3: if the other party requests before agreement or within a reasonable period after, the content is shown without delay. If a request before agreement is refused, Article 548-2 does not apply. [J10]</w:t>
      </w:r>
    </w:p>
    <w:p>
      <w:pPr>
        <w:pStyle w:val="ListParagraph"/>
        <w:keepNext/>
        <w:keepLines/>
        <w:numPr>
          <w:ilvl w:val="0"/>
          <w:numId w:val="2"/>
        </w:numPr>
        <w:spacing w:after="20" w:before="20" w:line="300"/>
      </w:pPr>
      <w:r>
        <w:rPr>
          <w:rFonts w:ascii="Calibri" w:eastAsia="Yu Gothic" w:hAnsi="Calibri"/>
        </w:rPr>
        <w:t xml:space="preserve">Consumer Contract Act Article 2(3): a consumer contract is a contract between a consumer and a business, whether for consideration or not. There is commentary that it applies to free apps too if the user is a consumer. [J11] [J17]</w:t>
      </w:r>
    </w:p>
    <w:p>
      <w:pPr>
        <w:pStyle w:val="ListParagraph"/>
        <w:keepNext/>
        <w:keepLines/>
        <w:numPr>
          <w:ilvl w:val="0"/>
          <w:numId w:val="2"/>
        </w:numPr>
        <w:spacing w:after="20" w:before="20" w:line="300"/>
      </w:pPr>
      <w:r>
        <w:rPr>
          <w:rFonts w:ascii="Calibri" w:eastAsia="Yu Gothic" w:hAnsi="Calibri"/>
        </w:rPr>
        <w:t xml:space="preserve">There is commentary that the no-warranty and disclaimer clauses of open source licenses (Apache-2.0, MIT) may be void under Consumer Contract Act Article 8(1)(i) and (iii) where the user is a consumer. [J18]</w:t>
      </w:r>
    </w:p>
    <w:p>
      <w:pPr>
        <w:pStyle w:val="ListParagraph"/>
        <w:keepNext/>
        <w:keepLines/>
        <w:numPr>
          <w:ilvl w:val="0"/>
          <w:numId w:val="2"/>
        </w:numPr>
        <w:spacing w:after="20" w:before="20" w:line="300"/>
      </w:pPr>
      <w:r>
        <w:rPr>
          <w:rFonts w:ascii="Calibri" w:eastAsia="Yu Gothic" w:hAnsi="Calibri"/>
        </w:rPr>
        <w:t xml:space="preserve">A “product” under the Product Liability Act is a manufactured or processed movable, and software (intangible) is not covered. [J19]</w:t>
      </w:r>
    </w:p>
    <w:p>
      <w:pPr>
        <w:pStyle w:val="ListParagraph"/>
        <w:keepNext w:val="false"/>
        <w:keepLines/>
        <w:numPr>
          <w:ilvl w:val="0"/>
          <w:numId w:val="2"/>
        </w:numPr>
        <w:spacing w:after="20" w:before="20" w:line="300"/>
      </w:pPr>
      <w:r>
        <w:rPr>
          <w:rFonts w:ascii="Calibri" w:eastAsia="Yu Gothic" w:hAnsi="Calibri"/>
        </w:rPr>
        <w:t xml:space="preserve">Consequences for the design: the Terms of Use are shown in full on the first-run screen (G-02“Consent”), and the consent operation is recorded on the device. Disclaimers do not say “bears no liability whatsoever” but state the scope, “except in cases of NRSD's intent or gross negligence”. The software license and the Terms of Use are written separately. Changes are announced on the public page and in the app's notifications, with the effective date shown (Basic Design Chapter 12, DD-12-2“Terms of Use and Privacy Policy are agreed as standard terms”, DD-12-4“The scope of disclaimers is stated explicitly”, DD-12-5“The license and the Terms of Use are written separately”, 4 “Terms of Use”).</w:t>
      </w:r>
    </w:p>
    <w:p>
      <w:pPr>
        <w:pStyle w:val="Heading2"/>
      </w:pPr>
      <w:r>
        <w:rPr>
          <w:rFonts w:ascii="Calibri" w:eastAsia="Yu Gothic" w:hAnsi="Calibri"/>
        </w:rPr>
        <w:t xml:space="preserve">L-26“Minor Users (Japan, China, US)” Minor Users</w:t>
      </w:r>
    </w:p>
    <w:p>
      <w:pPr>
        <w:pStyle w:val="ListParagraph"/>
        <w:keepNext/>
        <w:keepLines/>
        <w:numPr>
          <w:ilvl w:val="0"/>
          <w:numId w:val="2"/>
        </w:numPr>
        <w:spacing w:after="20" w:before="20" w:line="300"/>
      </w:pPr>
      <w:r>
        <w:rPr>
          <w:rFonts w:ascii="Calibri" w:eastAsia="Yu Gothic" w:hAnsi="Calibri"/>
        </w:rPr>
        <w:t xml:space="preserve">Japan: majority is 18 (Civil Code Article 4). A minor needs the consent of a legal representative to perform a juridical act, and acts without consent can be rescinded (Civil Code Article 5). However, they cannot be rescinded if the minor used fraudulent means to make others believe they have capacity (Civil Code Article 21). Whether simply misstating one's age is fraudulent means depends on the case. [J12]</w:t>
      </w:r>
    </w:p>
    <w:p>
      <w:pPr>
        <w:pStyle w:val="ListParagraph"/>
        <w:keepNext/>
        <w:keepLines/>
        <w:numPr>
          <w:ilvl w:val="0"/>
          <w:numId w:val="2"/>
        </w:numPr>
        <w:spacing w:after="20" w:before="20" w:line="300"/>
      </w:pPr>
      <w:r>
        <w:rPr>
          <w:rFonts w:ascii="Calibri" w:eastAsia="Yu Gothic" w:hAnsi="Calibri"/>
        </w:rPr>
        <w:t xml:space="preserve">China: processing personal information of those under 14 requires the consent of parents or other guardians, and dedicated processing rules must be set. Personal information of those under 14 is sensitive personal information (Personal Information Protection Law Articles 28 and 31). [C3]</w:t>
      </w:r>
    </w:p>
    <w:p>
      <w:pPr>
        <w:pStyle w:val="ListParagraph"/>
        <w:keepNext/>
        <w:keepLines/>
        <w:numPr>
          <w:ilvl w:val="0"/>
          <w:numId w:val="2"/>
        </w:numPr>
        <w:spacing w:after="20" w:before="20" w:line="300"/>
      </w:pPr>
      <w:r>
        <w:rPr>
          <w:rFonts w:ascii="Calibri" w:eastAsia="Yu Gothic" w:hAnsi="Calibri"/>
        </w:rPr>
        <w:t xml:space="preserve">United States: COPPA applies even to general-audience services whose operators have actual knowledge that they collect personal information from those under 13. Age can be asked in a neutral manner and the answer relied on. [U11]</w:t>
      </w:r>
    </w:p>
    <w:p>
      <w:pPr>
        <w:pStyle w:val="ListParagraph"/>
        <w:keepNext w:val="false"/>
        <w:keepLines/>
        <w:numPr>
          <w:ilvl w:val="0"/>
          <w:numId w:val="2"/>
        </w:numPr>
        <w:spacing w:after="20" w:before="20" w:line="300"/>
      </w:pPr>
      <w:r>
        <w:rPr>
          <w:rFonts w:ascii="Calibri" w:eastAsia="Yu Gothic" w:hAnsi="Calibri"/>
        </w:rPr>
        <w:t xml:space="preserve">The System does not collect age (Basic Design Chapter 2 “Signing Information and Matching”). The treatment of minor Users (age of majority in each country: 18 in Japan and China, 18 to 21 by state in the United States) is an operational issue for NRSD (Basic Design Chapter 12, 7 “Legal Issues (Placed in the Legal Research as Material for Operational Decisions)”).</w:t>
      </w:r>
    </w:p>
    <w:p>
      <w:pPr>
        <w:pStyle w:val="Heading2"/>
      </w:pPr>
      <w:r>
        <w:rPr>
          <w:rFonts w:ascii="Calibri" w:eastAsia="Yu Gothic" w:hAnsi="Calibri"/>
        </w:rPr>
        <w:t xml:space="preserve">L-27“Representatives of foreign businesses and applicability thresholds (EU, UK, US)” Representatives of foreign businesses and applicability thresholds</w:t>
      </w:r>
    </w:p>
    <w:p>
      <w:pPr>
        <w:pStyle w:val="ListParagraph"/>
        <w:keepNext/>
        <w:keepLines/>
        <w:numPr>
          <w:ilvl w:val="0"/>
          <w:numId w:val="2"/>
        </w:numPr>
        <w:spacing w:after="20" w:before="20" w:line="300"/>
      </w:pPr>
      <w:r>
        <w:rPr>
          <w:rFonts w:ascii="Calibri" w:eastAsia="Yu Gothic" w:hAnsi="Calibri"/>
        </w:rPr>
        <w:t xml:space="preserve">EU: controllers outside the EU to which GDPR Article 3(2) applies designate in writing a representative in the EU (Article 27). The exception is limited to processing that is “occasional”, does not include large-scale processing of special categories of data, and is unlikely to result in risk to rights, and it is interpreted narrowly. [E2]</w:t>
      </w:r>
    </w:p>
    <w:p>
      <w:pPr>
        <w:pStyle w:val="ListParagraph"/>
        <w:keepNext/>
        <w:keepLines/>
        <w:numPr>
          <w:ilvl w:val="0"/>
          <w:numId w:val="2"/>
        </w:numPr>
        <w:spacing w:after="20" w:before="20" w:line="300"/>
      </w:pPr>
      <w:r>
        <w:rPr>
          <w:rFonts w:ascii="Calibri" w:eastAsia="Yu Gothic" w:hAnsi="Calibri"/>
        </w:rPr>
        <w:t xml:space="preserve">UK: UK GDPR Article 27 requires controllers outside the UK to which Article 3(2) applies to designate in writing a representative in the UK. [E3]</w:t>
      </w:r>
    </w:p>
    <w:p>
      <w:pPr>
        <w:pStyle w:val="ListParagraph"/>
        <w:keepNext/>
        <w:keepLines/>
        <w:numPr>
          <w:ilvl w:val="0"/>
          <w:numId w:val="2"/>
        </w:numPr>
        <w:spacing w:after="20" w:before="20" w:line="300"/>
      </w:pPr>
      <w:r>
        <w:rPr>
          <w:rFonts w:ascii="Calibri" w:eastAsia="Yu Gothic" w:hAnsi="Calibri"/>
        </w:rPr>
        <w:t xml:space="preserve">United States: California's CCPA applies to businesses whose annual gross revenue exceeds a threshold (USD 26.625 million in 2026), that buy, sell, or share personal information of 100,000 or more California consumers, or that derive half or more of their revenue from selling personal information. [U12]</w:t>
      </w:r>
    </w:p>
    <w:p>
      <w:pPr>
        <w:pStyle w:val="ListParagraph"/>
        <w:keepNext w:val="false"/>
        <w:keepLines/>
        <w:numPr>
          <w:ilvl w:val="0"/>
          <w:numId w:val="2"/>
        </w:numPr>
        <w:spacing w:after="20" w:before="20" w:line="300"/>
      </w:pPr>
      <w:r>
        <w:rPr>
          <w:rFonts w:ascii="Calibri" w:eastAsia="Yu Gothic" w:hAnsi="Calibri"/>
        </w:rPr>
        <w:t xml:space="preserve">Whether a representative in the territory is needed when EU and UK residents use the System is an operational issue for NRSD (Basic Design Chapter 12, 7 “Legal Issues (Placed in the Legal Research as Material for Operational Decisions)”). The CCPA is not expected to reach its thresholds at NRSD's scale.</w:t>
      </w:r>
    </w:p>
    <w:p>
      <w:pPr>
        <w:pStyle w:val="Heading2"/>
      </w:pPr>
      <w:r>
        <w:rPr>
          <w:rFonts w:ascii="Calibri" w:eastAsia="Yu Gothic" w:hAnsi="Calibri"/>
        </w:rPr>
        <w:t xml:space="preserve">L-28“Telecommunications Business Act (notification, external transmission rules) (Japan)” Japan: Telecommunications Business Act</w:t>
      </w:r>
    </w:p>
    <w:p>
      <w:pPr>
        <w:pStyle w:val="ListParagraph"/>
        <w:keepNext/>
        <w:keepLines/>
        <w:numPr>
          <w:ilvl w:val="0"/>
          <w:numId w:val="2"/>
        </w:numPr>
        <w:spacing w:after="20" w:before="20" w:line="300"/>
      </w:pPr>
      <w:r>
        <w:rPr>
          <w:rFonts w:ascii="Calibri" w:eastAsia="Yu Gothic" w:hAnsi="Calibri"/>
        </w:rPr>
        <w:t xml:space="preserve">Businesses that do not intermediate others' communications and do not install telecommunications line facilities (“item 3 businesses” under Article 164(1)(iii)) require neither registration nor notification. Examples include social media, search, and online provision of various information. [J13]</w:t>
      </w:r>
    </w:p>
    <w:p>
      <w:pPr>
        <w:pStyle w:val="ListParagraph"/>
        <w:keepNext/>
        <w:keepLines/>
        <w:numPr>
          <w:ilvl w:val="0"/>
          <w:numId w:val="2"/>
        </w:numPr>
        <w:spacing w:after="20" w:before="20" w:line="300"/>
      </w:pPr>
      <w:r>
        <w:rPr>
          <w:rFonts w:ascii="Calibri" w:eastAsia="Yu Gothic" w:hAnsi="Calibri"/>
        </w:rPr>
        <w:t xml:space="preserve">External transmission rules (Article 27-12, in force June 2023): in services that have a not-insignificant effect on users' interests (including apps providing various information online), when users' terminals are made to send users' information to third parties, one of notice, publication, or consent (or opt-out) is required. Sending information truly necessary to provide the service is excluded. [J14]</w:t>
      </w:r>
    </w:p>
    <w:p>
      <w:pPr>
        <w:pStyle w:val="ListParagraph"/>
        <w:keepNext/>
        <w:keepLines/>
        <w:numPr>
          <w:ilvl w:val="0"/>
          <w:numId w:val="2"/>
        </w:numPr>
        <w:spacing w:after="20" w:before="20" w:line="300"/>
      </w:pPr>
      <w:r>
        <w:rPr>
          <w:rFonts w:ascii="Calibri" w:eastAsia="Yu Gothic" w:hAnsi="Calibri"/>
        </w:rPr>
        <w:t xml:space="preserve">Consequences for the design:</w:t>
      </w:r>
    </w:p>
    <w:p>
      <w:pPr>
        <w:pStyle w:val="ListParagraph"/>
        <w:keepNext/>
        <w:keepLines/>
        <w:numPr>
          <w:ilvl w:val="1"/>
          <w:numId w:val="2"/>
        </w:numPr>
        <w:spacing w:after="20" w:before="20" w:line="300"/>
      </w:pPr>
      <w:r>
        <w:rPr>
          <w:rFonts w:ascii="Calibri" w:eastAsia="Yu Gothic" w:hAnsi="Calibri"/>
        </w:rPr>
        <w:t xml:space="preserve">The System does not intermediate communications between Users, and NRSD has no servers (Edition 2). Whether distributing reference information from the Public Repository is “online provision of various information” making it an item 3 business, or whether it is not a telecommunications business at all, requires confirmation by experts.</w:t>
      </w:r>
    </w:p>
    <w:p>
      <w:pPr>
        <w:pStyle w:val="ListParagraph"/>
        <w:keepNext w:val="false"/>
        <w:keepLines/>
        <w:numPr>
          <w:ilvl w:val="1"/>
          <w:numId w:val="2"/>
        </w:numPr>
        <w:spacing w:after="20" w:before="20" w:line="300"/>
      </w:pPr>
      <w:r>
        <w:rPr>
          <w:rFonts w:ascii="Calibri" w:eastAsia="Yu Gothic" w:hAnsi="Calibri"/>
        </w:rPr>
        <w:t xml:space="preserve">The app sends nothing for analytics or advertising. Destinations are limited to the Public Repository (GitHub), the Hong Kong mirror, TSAs, reposted pages specified by the User, and RDAP and DNS, all of which are sending necessary for functions (Basic Design Chapter 1, 4.2 “Communication with the outside”). Regardless of whether the rules apply, the list of destinations and the information sent is published in the Privacy Policy (publication is one of the ways of giving the opportunity to confirm under the rules).</w:t>
      </w:r>
    </w:p>
    <w:p>
      <w:pPr>
        <w:pStyle w:val="Heading2"/>
      </w:pPr>
      <w:r>
        <w:rPr>
          <w:rFonts w:ascii="Calibri" w:eastAsia="Yu Gothic" w:hAnsi="Calibri"/>
        </w:rPr>
        <w:t xml:space="preserve">L-29“Commissioning design and characters (Japan)” Japan: Commissioning design and characters</w:t>
      </w:r>
    </w:p>
    <w:p>
      <w:pPr>
        <w:pStyle w:val="ListParagraph"/>
        <w:keepNext/>
        <w:keepLines/>
        <w:numPr>
          <w:ilvl w:val="0"/>
          <w:numId w:val="2"/>
        </w:numPr>
        <w:spacing w:after="20" w:before="20" w:line="300"/>
      </w:pPr>
      <w:r>
        <w:rPr>
          <w:rFonts w:ascii="Calibri" w:eastAsia="Yu Gothic" w:hAnsi="Calibri"/>
        </w:rPr>
        <w:t xml:space="preserve">Copyright Act Article 61(2): in a contract assigning copyright, where the rights in Article 27 (rights of translation, adaptation, etc.) or Article 28 (rights of the original author regarding use of derivative works) are not specifically mentioned as objects of the assignment, these rights are presumed reserved to the assignor. [J1]</w:t>
      </w:r>
    </w:p>
    <w:p>
      <w:pPr>
        <w:pStyle w:val="ListParagraph"/>
        <w:keepNext/>
        <w:keepLines/>
        <w:numPr>
          <w:ilvl w:val="0"/>
          <w:numId w:val="2"/>
        </w:numPr>
        <w:spacing w:after="20" w:before="20" w:line="300"/>
      </w:pPr>
      <w:r>
        <w:rPr>
          <w:rFonts w:ascii="Calibri" w:eastAsia="Yu Gothic" w:hAnsi="Calibri"/>
        </w:rPr>
        <w:t xml:space="preserve">Copyright Act Article 59: moral rights of authors belong exclusively to the author and cannot be assigned. [J1]</w:t>
      </w:r>
    </w:p>
    <w:p>
      <w:pPr>
        <w:pStyle w:val="ListParagraph"/>
        <w:keepNext/>
        <w:keepLines/>
        <w:numPr>
          <w:ilvl w:val="0"/>
          <w:numId w:val="2"/>
        </w:numPr>
        <w:spacing w:after="20" w:before="20" w:line="300"/>
      </w:pPr>
      <w:r>
        <w:rPr>
          <w:rFonts w:ascii="Calibri" w:eastAsia="Yu Gothic" w:hAnsi="Calibri"/>
        </w:rPr>
        <w:t xml:space="preserve">Consequences for the design: as of 2026-09-30 there is no designer to commission, and design is done by NRSD's Lead Developer (Basic Design Chapter 10, DD-10-2“Design is done and judged by NRSD's Lead Developer”). If the screen design and guide character are commissioned externally in the future, the contract includes “assignment of copyright including the rights of Articles 27 and 28” and “a statement not to exercise moral rights”. This is so that NRSD can freely add expressions and poses, make versions for other languages, and use them on the public page and in the README (Basic Design Chapter 10 “Screens and Design”).</w:t>
      </w:r>
    </w:p>
    <w:p>
      <w:pPr>
        <w:pStyle w:val="ListParagraph"/>
        <w:keepNext w:val="false"/>
        <w:keepLines/>
        <w:numPr>
          <w:ilvl w:val="0"/>
          <w:numId w:val="2"/>
        </w:numPr>
        <w:spacing w:after="20" w:before="20" w:line="300"/>
      </w:pPr>
      <w:r>
        <w:rPr>
          <w:rFonts w:ascii="Calibri" w:eastAsia="Yu Gothic" w:hAnsi="Calibri"/>
        </w:rPr>
        <w:t xml:space="preserve">The character does not imitate characters of existing works (so that a system that does not handle the rights of original works does not itself touch others' rights; Outline Design Document “What the System protects and does not protect”).</w:t>
      </w:r>
    </w:p>
    <w:p>
      <w:pPr>
        <w:pStyle w:val="Heading2"/>
      </w:pPr>
      <w:r>
        <w:rPr>
          <w:rFonts w:ascii="Calibri" w:eastAsia="Yu Gothic" w:hAnsi="Calibri"/>
        </w:rPr>
        <w:t xml:space="preserve">L-30“Labeling of AI-generated and synthesized content (China)” China: Measures for Labeling AI-Generated Synthetic Content</w:t>
      </w:r>
    </w:p>
    <w:p>
      <w:pPr>
        <w:pStyle w:val="ListParagraph"/>
        <w:keepNext/>
        <w:keepLines/>
        <w:numPr>
          <w:ilvl w:val="0"/>
          <w:numId w:val="2"/>
        </w:numPr>
        <w:spacing w:after="20" w:before="20" w:line="300"/>
      </w:pPr>
      <w:r>
        <w:rPr>
          <w:rFonts w:ascii="Calibri" w:eastAsia="Yu Gothic" w:hAnsi="Calibri"/>
        </w:rPr>
        <w:t xml:space="preserve">“Measures for Labeling AI-Generated Synthetic Content” (Cyberspace Administration of China, Ministry of Industry and Information Technology, Ministry of Public Security, National Radio and Television Administration; in force September 1, 2025). Article 2: applies to labeling activities of network information service providers covered by existing provisions on algorithmic recommendation, deep synthesis, and generative AI. Article 3: generated synthetic content is text, images, audio, video, virtual scenes, and the like generated or synthesized with AI technology. Explicit labels (visible to users) and implicit labels (added within file data by technical measures). Platforms that disseminate content check whether file metadata contains implicit labels and show this to users. [C9]</w:t>
      </w:r>
    </w:p>
    <w:p>
      <w:pPr>
        <w:pStyle w:val="ListParagraph"/>
        <w:keepNext/>
        <w:keepLines/>
        <w:numPr>
          <w:ilvl w:val="0"/>
          <w:numId w:val="2"/>
        </w:numPr>
        <w:spacing w:after="20" w:before="20" w:line="300"/>
      </w:pPr>
      <w:r>
        <w:rPr>
          <w:rFonts w:ascii="Calibri" w:eastAsia="Yu Gothic" w:hAnsi="Calibri"/>
        </w:rPr>
        <w:t xml:space="preserve">GB 45438-2025 “Cybersecurity technology: Labeling method for content generated by artificial intelligence” (mandatory national standard, published February 28, 2025, in force September 1). It sets metadata fields and watermark formats. [C10]</w:t>
      </w:r>
    </w:p>
    <w:p>
      <w:pPr>
        <w:pStyle w:val="ListParagraph"/>
        <w:keepNext/>
        <w:keepLines/>
        <w:numPr>
          <w:ilvl w:val="0"/>
          <w:numId w:val="2"/>
        </w:numPr>
        <w:spacing w:after="20" w:before="20" w:line="300"/>
      </w:pPr>
      <w:r>
        <w:rPr>
          <w:rFonts w:ascii="Calibri" w:eastAsia="Yu Gothic" w:hAnsi="Calibri"/>
        </w:rPr>
        <w:t xml:space="preserve">Consequences for the design: the System does not provide AI generation or synthesis services. The auto-placement model (u2netp) only chooses positions and does not generate pixels. Output is interpreted as not being generated synthetic content. Giving a generative AI value to the C2PA digital source type might make posting sites attach AI labels to Users' photos, so it is not given (Basic Design Chapter 3, 3.4 “Recording of actions”, Chapter 12, DD-12-9“No generative-AI values are attached”).</w:t>
      </w:r>
    </w:p>
    <w:p>
      <w:pPr>
        <w:pStyle w:val="ListParagraph"/>
        <w:keepNext w:val="false"/>
        <w:keepLines/>
        <w:numPr>
          <w:ilvl w:val="0"/>
          <w:numId w:val="2"/>
        </w:numPr>
        <w:spacing w:after="20" w:before="20" w:line="300"/>
      </w:pPr>
      <w:r>
        <w:rPr>
          <w:rFonts w:ascii="Calibri" w:eastAsia="Yu Gothic" w:hAnsi="Calibri"/>
        </w:rPr>
        <w:t xml:space="preserve">Addendum: China's App filing (Ministry of Industry and Information Technology “Notice on Carrying Out the Filing of Mobile Internet Applications”, MIIT Xinguan [2023] No. 105) covers operators of mobile internet applications (apps, mini programs, quick apps) providing internet information services within China. The System is a PC app and does not provide information services within China. It is interpreted as not covered (requires confirmation by experts). [C11]</w:t>
      </w:r>
    </w:p>
    <w:p>
      <w:pPr>
        <w:pStyle w:val="Heading2"/>
      </w:pPr>
      <w:r>
        <w:rPr>
          <w:rFonts w:ascii="Calibri" w:eastAsia="Yu Gothic" w:hAnsi="Calibri"/>
        </w:rPr>
        <w:t xml:space="preserve">L-31“Contracts with foreign consumers (governing law and jurisdiction) (Japan)” Japan: Act on General Rules for Application of Laws, Code of Civil Procedure</w:t>
      </w:r>
    </w:p>
    <w:p>
      <w:pPr>
        <w:pStyle w:val="ListParagraph"/>
        <w:keepNext/>
        <w:keepLines/>
        <w:numPr>
          <w:ilvl w:val="0"/>
          <w:numId w:val="2"/>
        </w:numPr>
        <w:spacing w:after="20" w:before="20" w:line="300"/>
      </w:pPr>
      <w:r>
        <w:rPr>
          <w:rFonts w:ascii="Calibri" w:eastAsia="Yu Gothic" w:hAnsi="Calibri"/>
        </w:rPr>
        <w:t xml:space="preserve">Act on General Rules for Application of Laws Article 11(1): regarding the formation and effect of a consumer contract, even if the chosen law is not the law of the consumer's habitual residence, when the consumer indicates to the business that specific mandatory provisions of the law of habitual residence should apply, those mandatory provisions also apply. [J20]</w:t>
      </w:r>
    </w:p>
    <w:p>
      <w:pPr>
        <w:pStyle w:val="ListParagraph"/>
        <w:keepNext/>
        <w:keepLines/>
        <w:numPr>
          <w:ilvl w:val="0"/>
          <w:numId w:val="2"/>
        </w:numPr>
        <w:spacing w:after="20" w:before="20" w:line="300"/>
      </w:pPr>
      <w:r>
        <w:rPr>
          <w:rFonts w:ascii="Calibri" w:eastAsia="Yu Gothic" w:hAnsi="Calibri"/>
        </w:rPr>
        <w:t xml:space="preserve">Code of Civil Procedure Article 3-4(1): an action by a consumer against a business can be filed in the courts of Japan when the consumer's domicile at the time of filing or of concluding the contract is in Japan. Article 3-7(5): an agreement on jurisdiction covering future disputes over consumer contracts is effective only if it is an agreement that suit may be filed in the courts of the country of the consumer's domicile at the time of concluding the contract, or if the consumer files suit based on the agreement or invokes it. [J21]</w:t>
      </w:r>
    </w:p>
    <w:p>
      <w:pPr>
        <w:pStyle w:val="ListParagraph"/>
        <w:keepNext w:val="false"/>
        <w:keepLines/>
        <w:numPr>
          <w:ilvl w:val="0"/>
          <w:numId w:val="2"/>
        </w:numPr>
        <w:spacing w:after="20" w:before="20" w:line="300"/>
      </w:pPr>
      <w:r>
        <w:rPr>
          <w:rFonts w:ascii="Calibri" w:eastAsia="Yu Gothic" w:hAnsi="Calibri"/>
        </w:rPr>
        <w:t xml:space="preserve">Consequences for the design: even if the Terms of Use set Japanese law as the governing law and the courts of Japan as jurisdiction, consumer Users abroad retain the mandatory provisions of their habitual residence and the courts of their domicile country. The Terms of Use are written so as not to exclude these (Basic Design Chapter 12, DD-12-7“The governing law is Japanese law without precluding mandatory rules of the User's country”).</w:t>
      </w:r>
    </w:p>
    <w:p>
      <w:pPr>
        <w:pStyle w:val="Heading2"/>
      </w:pPr>
      <w:r>
        <w:rPr>
          <w:rFonts w:ascii="Calibri" w:eastAsia="Yu Gothic" w:hAnsi="Calibri"/>
        </w:rPr>
        <w:t xml:space="preserve">L-32“Copyright infringement and remedies (Japan, China, US)” Copyright infringement and remedies</w:t>
      </w:r>
    </w:p>
    <w:p>
      <w:pPr>
        <w:pStyle w:val="ListParagraph"/>
        <w:keepNext/>
        <w:keepLines/>
        <w:numPr>
          <w:ilvl w:val="0"/>
          <w:numId w:val="2"/>
        </w:numPr>
        <w:spacing w:after="20" w:before="20" w:line="300"/>
      </w:pPr>
      <w:r>
        <w:rPr>
          <w:rFonts w:ascii="Calibri" w:eastAsia="Yu Gothic" w:hAnsi="Calibri"/>
        </w:rPr>
        <w:t xml:space="preserve">Japan: unauthorized reposting may infringe the right of public transmission (including the right of making transmittable; Copyright Act Article 23) and the right of reproduction (Article 21). The copyright holder can demand cessation and prevention of infringement (injunction; Article 112), and can claim damages for intentional or negligent infringement. Where the infringer made public transmissions of the infringement, the amount of damage can be computed from the number of copies made by reception and the like (Article 114). Criminal penalties are imprisonment of up to 10 years, a fine of up to JPY 10 million, or both (Article 119(1)). The offense of Article 119(1) is prosecuted on complaint (Article 123(1)), but no complaint is required in cases such as publicly transmitting paid works as they are for consideration (paragraphs 2 and 3 of the same Article). Whether sold photos are “paid works” (provided or presented to the public for a fee) requires confirmation by experts. [J1]</w:t>
      </w:r>
    </w:p>
    <w:p>
      <w:pPr>
        <w:pStyle w:val="ListParagraph"/>
        <w:keepNext/>
        <w:keepLines/>
        <w:numPr>
          <w:ilvl w:val="0"/>
          <w:numId w:val="2"/>
        </w:numPr>
        <w:spacing w:after="20" w:before="20" w:line="300"/>
      </w:pPr>
      <w:r>
        <w:rPr>
          <w:rFonts w:ascii="Calibri" w:eastAsia="Yu Gothic" w:hAnsi="Calibri"/>
        </w:rPr>
        <w:t xml:space="preserve">China: Copyright Law Articles 52 and 53 list infringing acts, and Article 54 sets damages (punitive damages of one to five times for intentional infringement; statutory damages of CNY 500 to 5 million) (the same source as L-2“Removal or alteration of rights management information (China)”). [C1]</w:t>
      </w:r>
    </w:p>
    <w:p>
      <w:pPr>
        <w:pStyle w:val="ListParagraph"/>
        <w:keepNext/>
        <w:keepLines/>
        <w:numPr>
          <w:ilvl w:val="0"/>
          <w:numId w:val="2"/>
        </w:numPr>
        <w:spacing w:after="20" w:before="20" w:line="300"/>
      </w:pPr>
      <w:r>
        <w:rPr>
          <w:rFonts w:ascii="Calibri" w:eastAsia="Yu Gothic" w:hAnsi="Calibri"/>
        </w:rPr>
        <w:t xml:space="preserve">United States: Section 501 (infringement), Section 502 (injunctions), Section 504 (damages: actual damages and profits, or statutory damages of USD 750 to 30,000 per work, increasable up to USD 150,000 for willful infringement). Statutory damages and attorneys' fees in principle require registration (Section 412; the end of L-9“Takedown request procedures (US)”, Section 3 “Declarations and Registrations by Users (Whether Required)”). [U14] [U6]</w:t>
      </w:r>
    </w:p>
    <w:p>
      <w:pPr>
        <w:pStyle w:val="ListParagraph"/>
        <w:keepNext w:val="false"/>
        <w:keepLines/>
        <w:numPr>
          <w:ilvl w:val="0"/>
          <w:numId w:val="2"/>
        </w:numPr>
        <w:spacing w:after="20" w:before="20" w:line="300"/>
      </w:pPr>
      <w:r>
        <w:rPr>
          <w:rFonts w:ascii="Calibri" w:eastAsia="Yu Gothic" w:hAnsi="Calibri"/>
        </w:rPr>
        <w:t xml:space="preserve">Consequences for the design: the System does not judge infringement (Design Plan D-2-6“Representation in legal proceedings and legal judgment are not performed”). This item is referred to as the basis for naming the rights that “may be infringed” in Rights Documents (Basic Design Chapter 5) and the guidance (Chapter 7).</w:t>
      </w:r>
    </w:p>
    <w:p>
      <w:pPr>
        <w:pStyle w:val="Heading2"/>
      </w:pPr>
      <w:r>
        <w:rPr>
          <w:rFonts w:ascii="Calibri" w:eastAsia="Yu Gothic" w:hAnsi="Calibri"/>
        </w:rPr>
        <w:t xml:space="preserve">L-33“Disclosure of sender information (Japan)” Japan: Requests and orders for disclosure of sender information</w:t>
      </w:r>
    </w:p>
    <w:p>
      <w:pPr>
        <w:pStyle w:val="ListParagraph"/>
        <w:keepNext/>
        <w:keepLines/>
        <w:numPr>
          <w:ilvl w:val="0"/>
          <w:numId w:val="2"/>
        </w:numPr>
        <w:spacing w:after="20" w:before="20" w:line="300"/>
      </w:pPr>
      <w:r>
        <w:rPr>
          <w:rFonts w:ascii="Calibri" w:eastAsia="Yu Gothic" w:hAnsi="Calibri"/>
        </w:rPr>
        <w:t xml:space="preserve">Information Distribution Platform Act Article 5: a person claiming that their rights have been infringed by the distribution of information through specified telecommunications can request a specified telecommunications service provider to disclose sender information when the infringement is clear and there is a legitimate reason such as necessity for exercising a claim for damages. Article 8: a court can, upon petition, order disclosure of sender information by decision (sender information disclosure order; a non-contentious procedure in force October 2022). [J22]</w:t>
      </w:r>
    </w:p>
    <w:p>
      <w:pPr>
        <w:pStyle w:val="ListParagraph"/>
        <w:keepNext/>
        <w:keepLines/>
        <w:numPr>
          <w:ilvl w:val="0"/>
          <w:numId w:val="2"/>
        </w:numPr>
        <w:spacing w:after="20" w:before="20" w:line="300"/>
      </w:pPr>
      <w:r>
        <w:rPr>
          <w:rFonts w:ascii="Calibri" w:eastAsia="Yu Gothic" w:hAnsi="Calibri"/>
        </w:rPr>
        <w:t xml:space="preserve">Under Design Plan D-9-6“The party pursued is the Infringer, regardless of whether it is a purchaser”, this is the procedure that is the entry point to identifying the Reposter. The procedure is a petition to a court, and the System does not perform it (D-2-6“Representation in legal proceedings and legal judgment are not performed”).</w:t>
      </w:r>
    </w:p>
    <w:p>
      <w:pPr>
        <w:pStyle w:val="ListParagraph"/>
        <w:keepNext/>
        <w:keepLines/>
        <w:numPr>
          <w:ilvl w:val="0"/>
          <w:numId w:val="2"/>
        </w:numPr>
        <w:spacing w:after="20" w:before="20" w:line="300"/>
      </w:pPr>
      <w:r>
        <w:rPr>
          <w:rFonts w:ascii="Calibri" w:eastAsia="Yu Gothic" w:hAnsi="Calibri"/>
        </w:rPr>
        <w:t xml:space="preserve">The period for which providers keep records of the communications subject to disclosure (access logs) is not set by law and differs by provider. As time passes after discovery, records may disappear and identification may become impossible.</w:t>
      </w:r>
    </w:p>
    <w:p>
      <w:pPr>
        <w:pStyle w:val="ListParagraph"/>
        <w:keepNext w:val="false"/>
        <w:keepLines/>
        <w:numPr>
          <w:ilvl w:val="0"/>
          <w:numId w:val="2"/>
        </w:numPr>
        <w:spacing w:after="20" w:before="20" w:line="300"/>
      </w:pPr>
      <w:r>
        <w:rPr>
          <w:rFonts w:ascii="Calibri" w:eastAsia="Yu Gothic" w:hAnsi="Calibri"/>
        </w:rPr>
        <w:t xml:space="preserve">Consequences for the design: in the references to each country's law (Basic Design Chapter 7, 4 “References to Each Country's Law”), Japan's requests and orders for disclosure are placed as one item, with a link to the court's guidance (the Supreme Court's page on “sender information disclosure order cases”) and export as preparation for consulting experts (Chapter 6, 8 “List and Means”). Contact points of authorities (police, administration) are placed only as names and links in per-country references, as places to consult on criminal complaints (prosecution on complaint in L-32“Copyright infringement and remedies (Japan, China, US)”).</w:t>
      </w:r>
    </w:p>
    <w:p>
      <w:pPr>
        <w:pStyle w:val="Heading2"/>
      </w:pPr>
      <w:r>
        <w:rPr>
          <w:rFonts w:ascii="Calibri" w:eastAsia="Yu Gothic" w:hAnsi="Calibri"/>
        </w:rPr>
        <w:t xml:space="preserve">L-34“Third-party personal information in evidence (Japan)” Japan: Protection of personal information (records on the User's device)</w:t>
      </w:r>
    </w:p>
    <w:p>
      <w:pPr>
        <w:pStyle w:val="ListParagraph"/>
        <w:keepNext/>
        <w:keepLines/>
        <w:numPr>
          <w:ilvl w:val="0"/>
          <w:numId w:val="2"/>
        </w:numPr>
        <w:spacing w:after="20" w:before="20" w:line="300"/>
      </w:pPr>
      <w:r>
        <w:rPr>
          <w:rFonts w:ascii="Calibri" w:eastAsia="Yu Gothic" w:hAnsi="Calibri"/>
        </w:rPr>
        <w:t xml:space="preserve">Those who bear duties under the Act on the Protection of Personal Information are businesses handling personal information (those using a personal information database or the like for their business; Article 16(2)). The Personal Information Protection Commission's guidelines (general rules) 2-5 define “business” as acts of the same kind carried out repeatedly and continuously for a certain purpose and recognized as business by social norms, whether for profit or not, and state that associations without legal personality and individuals may also qualify. [J15] NRSD interprets use for purely private purposes as not being “business” (reasoning from the guidelines' definition; guidelines 2-5 do not contain this sentence).</w:t>
      </w:r>
    </w:p>
    <w:p>
      <w:pPr>
        <w:pStyle w:val="ListParagraph"/>
        <w:keepNext/>
        <w:keepLines/>
        <w:numPr>
          <w:ilvl w:val="0"/>
          <w:numId w:val="2"/>
        </w:numPr>
        <w:spacing w:after="20" w:before="20" w:line="300"/>
      </w:pPr>
      <w:r>
        <w:rPr>
          <w:rFonts w:ascii="Calibri" w:eastAsia="Yu Gothic" w:hAnsi="Calibri"/>
        </w:rPr>
        <w:t xml:space="preserve">Records of reposted pages may contain third parties' personal information such as the Reposter's display name and account name. The System's ledger can be searched by reposting site and may constitute a personal information database. Where a User who continuously sells photos uses the ledger as part of that activity, there is room for the User themselves to be a business handling personal information (requires confirmation by experts).</w:t>
      </w:r>
    </w:p>
    <w:p>
      <w:pPr>
        <w:pStyle w:val="ListParagraph"/>
        <w:keepNext/>
        <w:keepLines/>
        <w:numPr>
          <w:ilvl w:val="0"/>
          <w:numId w:val="2"/>
        </w:numPr>
        <w:spacing w:after="20" w:before="20" w:line="300"/>
      </w:pPr>
      <w:r>
        <w:rPr>
          <w:rFonts w:ascii="Calibri" w:eastAsia="Yu Gothic" w:hAnsi="Calibri"/>
        </w:rPr>
        <w:t xml:space="preserve">NRSD does not receive Users' ledgers or evidence (Design Plan D-10-7“Evidence is stored on the User’s device and not published. The System does not collect evidence”). NRSD bears no duties of a business handling personal information for these records.</w:t>
      </w:r>
    </w:p>
    <w:p>
      <w:pPr>
        <w:pStyle w:val="ListParagraph"/>
        <w:keepNext w:val="false"/>
        <w:keepLines/>
        <w:numPr>
          <w:ilvl w:val="0"/>
          <w:numId w:val="2"/>
        </w:numPr>
        <w:spacing w:after="20" w:before="20" w:line="300"/>
      </w:pPr>
      <w:r>
        <w:rPr>
          <w:rFonts w:ascii="Calibri" w:eastAsia="Yu Gothic" w:hAnsi="Calibri"/>
        </w:rPr>
        <w:t xml:space="preserve">Consequences for the design: the System keeps Users' records on the device and does not let them out except when the User exports them (Basic Design Chapter 8). The purpose of fetching (preserving evidence for asserting rights) is shown on screen (Chapter 6). Whether a User is a business depends on the User's circumstances, so no judgment is made.</w:t>
      </w:r>
    </w:p>
    <w:p>
      <w:pPr>
        <w:pStyle w:val="Heading1"/>
      </w:pPr>
      <w:r>
        <w:rPr>
          <w:rFonts w:ascii="Calibri" w:eastAsia="Yu Gothic" w:hAnsi="Calibri"/>
        </w:rPr>
        <w:t xml:space="preserve">3. Declarations and Registrations by Users (Whether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2"/>
        <w:gridCol w:w="4319"/>
        <w:gridCol w:w="3457"/>
      </w:tblGrid>
      <w:tr>
        <w:trPr>
          <w:cantSplit/>
          <w:tblHeader/>
        </w:trPr>
        <w:tc>
          <w:tcPr>
            <w:tcW w:type="dxa" w:w="18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Matter</w:t>
            </w:r>
          </w:p>
        </w:tc>
        <w:tc>
          <w:tcPr>
            <w:tcW w:type="dxa" w:w="43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Whether required</w:t>
            </w:r>
          </w:p>
        </w:tc>
        <w:tc>
          <w:tcPr>
            <w:tcW w:type="dxa" w:w="34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18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Posting the Notice</w:t>
            </w:r>
          </w:p>
        </w:tc>
        <w:tc>
          <w:tcPr>
            <w:tcW w:type="dxa" w:w="4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Required as a premise of the System's effectiveness (not a legal obligation)</w:t>
            </w:r>
          </w:p>
        </w:tc>
        <w:tc>
          <w:tcPr>
            <w:tcW w:type="dxa" w:w="3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Draft Project Proposal Section 3</w:t>
            </w:r>
          </w:p>
        </w:tc>
      </w:tr>
      <w:tr>
        <w:trPr>
          <w:cantSplit/>
          <w:tblHeader w:val="off"/>
        </w:trPr>
        <w:tc>
          <w:tcPr>
            <w:tcW w:type="dxa" w:w="18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registration (Copyright Protection Center of China)</w:t>
            </w:r>
          </w:p>
        </w:tc>
        <w:tc>
          <w:tcPr>
            <w:tcW w:type="dxa" w:w="4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Optional. Reinforces evidence of ownership of rights in China</w:t>
            </w:r>
          </w:p>
        </w:tc>
        <w:tc>
          <w:tcPr>
            <w:tcW w:type="dxa" w:w="3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Draft Project Proposal Section 8, [C1], L-23“Work registration (China)”</w:t>
            </w:r>
          </w:p>
        </w:tc>
      </w:tr>
      <w:tr>
        <w:trPr>
          <w:cantSplit/>
          <w:tblHeader w:val="off"/>
        </w:trPr>
        <w:tc>
          <w:tcPr>
            <w:tcW w:type="dxa" w:w="18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registration in Japan</w:t>
            </w:r>
          </w:p>
        </w:tc>
        <w:tc>
          <w:tcPr>
            <w:tcW w:type="dxa" w:w="4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Optional. Registration of the date of first publication, etc. (JPY 3,000) gives a presumption of the publication date. Registration of the real name (JPY 9,000) gives a presumption of authorship, but the real name goes into the public register</w:t>
            </w:r>
          </w:p>
        </w:tc>
        <w:tc>
          <w:tcPr>
            <w:tcW w:type="dxa" w:w="3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L-22“Copyright registration (Japan)”</w:t>
            </w:r>
          </w:p>
        </w:tc>
      </w:tr>
      <w:tr>
        <w:trPr>
          <w:cantSplit/>
          <w:tblHeader w:val="off"/>
        </w:trPr>
        <w:tc>
          <w:tcPr>
            <w:tcW w:type="dxa" w:w="18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registration in the United States</w:t>
            </w:r>
          </w:p>
        </w:tc>
        <w:tc>
          <w:tcPr>
            <w:tcW w:type="dxa" w:w="4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Optional. Works from outside the United States (photos of Users in Japan, China, and Canada) do not require the registration that is a prerequisite for suit (Section 411(a) is limited to “United States works”). However, statutory damages and attorneys' fees for copyright infringement in principle require registration before infringement or within 3 months after publication (Section 412). On the other hand, there are court decisions holding that claims for removal of rights management information (Section 1202) are not infringement actions and do not require registration. Published photos: up to 750 photos by the same author published in the same year can be registered in one registration (fee USD 55) (GRPPH)</w:t>
            </w:r>
          </w:p>
        </w:tc>
        <w:tc>
          <w:tcPr>
            <w:tcW w:type="dxa" w:w="3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[U5] [U6] [U7] [U9]</w:t>
            </w:r>
          </w:p>
        </w:tc>
      </w:tr>
      <w:tr>
        <w:trPr>
          <w:cantSplit/>
          <w:tblHeader w:val="off"/>
        </w:trPr>
        <w:tc>
          <w:tcPr>
            <w:tcW w:type="dxa" w:w="18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Consent to the Terms of Use and Privacy Policy</w:t>
            </w:r>
          </w:p>
        </w:tc>
        <w:tc>
          <w:tcPr>
            <w:tcW w:type="dxa" w:w="4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Required for obtaining NRSD's reference information. Not needed for other functions (Basic Design Chapter 12, DD-12-3“Consent gates only the fetching of reference information”). Consent is recorded on the device and not sent to NRSD. E-mail, name, and ID are not asked for</w:t>
            </w:r>
          </w:p>
        </w:tc>
        <w:tc>
          <w:tcPr>
            <w:tcW w:type="dxa" w:w="34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D-5-1“The System does not confirm Users and collects no User information. No registration is required in order to use the System”, L-25“Terms of Use (standard terms) and disclaimers (Japan)”</w:t>
            </w:r>
          </w:p>
        </w:tc>
      </w:tr>
    </w:tbl>
    <w:p>
      <w:pPr>
        <w:spacing w:after="100" w:before="0"/>
      </w:pPr>
    </w:p>
    <w:p>
      <w:pPr>
        <w:pStyle w:val="Heading1"/>
      </w:pPr>
      <w:r>
        <w:rPr>
          <w:rFonts w:ascii="Calibri" w:eastAsia="Yu Gothic" w:hAnsi="Calibri"/>
        </w:rPr>
        <w:t xml:space="preserve">4. Sources</w:t>
      </w:r>
    </w:p>
    <w:p>
      <w:pPr>
        <w:pStyle w:val="ListParagraph"/>
        <w:keepNext/>
        <w:keepLines/>
        <w:numPr>
          <w:ilvl w:val="0"/>
          <w:numId w:val="2"/>
        </w:numPr>
        <w:spacing w:after="20" w:before="20" w:line="300"/>
      </w:pPr>
      <w:r>
        <w:rPr>
          <w:rFonts w:ascii="Calibri" w:eastAsia="Yu Gothic" w:hAnsi="Calibri"/>
        </w:rPr>
        <w:t xml:space="preserve">J1 Copyright Act (Act No. 48 of 1970), e-Gov law search API: https://laws.e-gov.go.jp/api/1/lawdata/345AC0000000048</w:t>
      </w:r>
    </w:p>
    <w:p>
      <w:pPr>
        <w:pStyle w:val="ListParagraph"/>
        <w:keepNext/>
        <w:keepLines/>
        <w:numPr>
          <w:ilvl w:val="0"/>
          <w:numId w:val="2"/>
        </w:numPr>
        <w:spacing w:after="20" w:before="20" w:line="300"/>
      </w:pPr>
      <w:r>
        <w:rPr>
          <w:rFonts w:ascii="Calibri" w:eastAsia="Yu Gothic" w:hAnsi="Calibri"/>
        </w:rPr>
        <w:t xml:space="preserve">J2 Supreme Court judgment of February 2, 2012 (Minshu Vol. 66 No. 2 p. 89, 2009 (Ju) No. 2056), full text: https://www.courts.go.jp/assets/hanrei/hanrei-pdf-81957.pdf . Commentary: https://chosakukenhou.jp/pinklady/ , https://www.kottolaw.com/column/000371.html</w:t>
      </w:r>
    </w:p>
    <w:p>
      <w:pPr>
        <w:pStyle w:val="ListParagraph"/>
        <w:keepNext/>
        <w:keepLines/>
        <w:numPr>
          <w:ilvl w:val="0"/>
          <w:numId w:val="2"/>
        </w:numPr>
        <w:spacing w:after="20" w:before="20" w:line="300"/>
      </w:pPr>
      <w:r>
        <w:rPr>
          <w:rFonts w:ascii="Calibri" w:eastAsia="Yu Gothic" w:hAnsi="Calibri"/>
        </w:rPr>
        <w:t xml:space="preserve">J3 Ministry of Internal Affairs and Communications, “Information Distribution Platform Act”: https://www.soumu.go.jp/main_sosiki/joho_tsusin/d_syohi/ihoyugai.html</w:t>
      </w:r>
    </w:p>
    <w:p>
      <w:pPr>
        <w:pStyle w:val="ListParagraph"/>
        <w:keepNext/>
        <w:keepLines/>
        <w:numPr>
          <w:ilvl w:val="0"/>
          <w:numId w:val="2"/>
        </w:numPr>
        <w:spacing w:after="20" w:before="20" w:line="300"/>
      </w:pPr>
      <w:r>
        <w:rPr>
          <w:rFonts w:ascii="Calibri" w:eastAsia="Yu Gothic" w:hAnsi="Calibri"/>
        </w:rPr>
        <w:t xml:space="preserve">J4 https://keiyaku-watch.jp/media/hourei/joho-platform-2024/ , https://www.clo.jp/wp-content/uploads/2025/04/I_D_P_2.pdf</w:t>
      </w:r>
    </w:p>
    <w:p>
      <w:pPr>
        <w:pStyle w:val="ListParagraph"/>
        <w:keepNext/>
        <w:keepLines/>
        <w:numPr>
          <w:ilvl w:val="0"/>
          <w:numId w:val="2"/>
        </w:numPr>
        <w:spacing w:after="20" w:before="20" w:line="300"/>
      </w:pPr>
      <w:r>
        <w:rPr>
          <w:rFonts w:ascii="Calibri" w:eastAsia="Yu Gothic" w:hAnsi="Calibri"/>
        </w:rPr>
        <w:t xml:space="preserve">J5 Ministry of Justice, Minister's Secretariat, Judicial System Department, “On the relationship between the provision of services supporting contract-related work using AI and the like and Article 72 of the Attorney Act” (August 2023): https://www.moj.go.jp/content/001400675.pdf</w:t>
      </w:r>
    </w:p>
    <w:p>
      <w:pPr>
        <w:pStyle w:val="ListParagraph"/>
        <w:keepNext/>
        <w:keepLines/>
        <w:numPr>
          <w:ilvl w:val="0"/>
          <w:numId w:val="2"/>
        </w:numPr>
        <w:spacing w:after="20" w:before="20" w:line="300"/>
      </w:pPr>
      <w:r>
        <w:rPr>
          <w:rFonts w:ascii="Calibri" w:eastAsia="Yu Gothic" w:hAnsi="Calibri"/>
        </w:rPr>
        <w:t xml:space="preserve">J6 Personal Information Protection Commission Q&amp;A: https://www.ppc.go.jp/all_faq_index/faq5-q16-4/ , guidelines (provision to third parties in foreign countries): https://www.ppc.go.jp/personalinfo/legal/guidelines_offshore/</w:t>
      </w:r>
    </w:p>
    <w:p>
      <w:pPr>
        <w:pStyle w:val="ListParagraph"/>
        <w:keepNext/>
        <w:keepLines/>
        <w:numPr>
          <w:ilvl w:val="0"/>
          <w:numId w:val="2"/>
        </w:numPr>
        <w:spacing w:after="20" w:before="20" w:line="300"/>
      </w:pPr>
      <w:r>
        <w:rPr>
          <w:rFonts w:ascii="Calibri" w:eastAsia="Yu Gothic" w:hAnsi="Calibri"/>
        </w:rPr>
        <w:t xml:space="preserve">J7 https://www.e-timing.ne.jp/news/detail/145 , https://www.soumu.go.jp/main_sosiki/joho_tsusin/top/ninshou-law/timestamp.html</w:t>
      </w:r>
    </w:p>
    <w:p>
      <w:pPr>
        <w:pStyle w:val="ListParagraph"/>
        <w:keepNext/>
        <w:keepLines/>
        <w:numPr>
          <w:ilvl w:val="0"/>
          <w:numId w:val="2"/>
        </w:numPr>
        <w:spacing w:after="20" w:before="20" w:line="300"/>
      </w:pPr>
      <w:r>
        <w:rPr>
          <w:rFonts w:ascii="Calibri" w:eastAsia="Yu Gothic" w:hAnsi="Calibri"/>
        </w:rPr>
        <w:t xml:space="preserve">C1 Copyright Law of the People's Republic of China (Draft Project Proposal [16]): https://www.wipo.int/wipolex/zh/legislation/details/21065</w:t>
      </w:r>
    </w:p>
    <w:p>
      <w:pPr>
        <w:pStyle w:val="ListParagraph"/>
        <w:keepNext/>
        <w:keepLines/>
        <w:numPr>
          <w:ilvl w:val="0"/>
          <w:numId w:val="2"/>
        </w:numPr>
        <w:spacing w:after="20" w:before="20" w:line="300"/>
      </w:pPr>
      <w:r>
        <w:rPr>
          <w:rFonts w:ascii="Calibri" w:eastAsia="Yu Gothic" w:hAnsi="Calibri"/>
        </w:rPr>
        <w:t xml:space="preserve">C2 Regulations on the Protection of the Right of Communication through Information Network: https://www.cac.gov.cn/2013-02/18/c_126468776.htm</w:t>
      </w:r>
    </w:p>
    <w:p>
      <w:pPr>
        <w:pStyle w:val="ListParagraph"/>
        <w:keepNext/>
        <w:keepLines/>
        <w:numPr>
          <w:ilvl w:val="0"/>
          <w:numId w:val="2"/>
        </w:numPr>
        <w:spacing w:after="20" w:before="20" w:line="300"/>
      </w:pPr>
      <w:r>
        <w:rPr>
          <w:rFonts w:ascii="Calibri" w:eastAsia="Yu Gothic" w:hAnsi="Calibri"/>
        </w:rPr>
        <w:t xml:space="preserve">C3 Personal Information Protection Law of the People's Republic of China: https://www.cac.gov.cn/2021-08/20/c_1631050028355286.htm</w:t>
      </w:r>
    </w:p>
    <w:p>
      <w:pPr>
        <w:pStyle w:val="ListParagraph"/>
        <w:keepNext/>
        <w:keepLines/>
        <w:numPr>
          <w:ilvl w:val="0"/>
          <w:numId w:val="2"/>
        </w:numPr>
        <w:spacing w:after="20" w:before="20" w:line="300"/>
      </w:pPr>
      <w:r>
        <w:rPr>
          <w:rFonts w:ascii="Calibri" w:eastAsia="Yu Gothic" w:hAnsi="Calibri"/>
        </w:rPr>
        <w:t xml:space="preserve">C4 https://www.tsa.cn/ , https://www.chinaiprlaw.cn/index.php?id=5357</w:t>
      </w:r>
    </w:p>
    <w:p>
      <w:pPr>
        <w:pStyle w:val="ListParagraph"/>
        <w:keepNext/>
        <w:keepLines/>
        <w:numPr>
          <w:ilvl w:val="0"/>
          <w:numId w:val="2"/>
        </w:numPr>
        <w:spacing w:after="20" w:before="20" w:line="300"/>
      </w:pPr>
      <w:r>
        <w:rPr>
          <w:rFonts w:ascii="Calibri" w:eastAsia="Yu Gothic" w:hAnsi="Calibri"/>
        </w:rPr>
        <w:t xml:space="preserve">U1 17 U.S.C. §1202: https://www.law.cornell.edu/uscode/text/17/1202</w:t>
      </w:r>
    </w:p>
    <w:p>
      <w:pPr>
        <w:pStyle w:val="ListParagraph"/>
        <w:keepNext/>
        <w:keepLines/>
        <w:numPr>
          <w:ilvl w:val="0"/>
          <w:numId w:val="2"/>
        </w:numPr>
        <w:spacing w:after="20" w:before="20" w:line="300"/>
      </w:pPr>
      <w:r>
        <w:rPr>
          <w:rFonts w:ascii="Calibri" w:eastAsia="Yu Gothic" w:hAnsi="Calibri"/>
        </w:rPr>
        <w:t xml:space="preserve">U2 17 U.S.C. §1203: https://www.law.cornell.edu/uscode/text/17/1203</w:t>
      </w:r>
    </w:p>
    <w:p>
      <w:pPr>
        <w:pStyle w:val="ListParagraph"/>
        <w:keepNext/>
        <w:keepLines/>
        <w:numPr>
          <w:ilvl w:val="0"/>
          <w:numId w:val="2"/>
        </w:numPr>
        <w:spacing w:after="20" w:before="20" w:line="300"/>
      </w:pPr>
      <w:r>
        <w:rPr>
          <w:rFonts w:ascii="Calibri" w:eastAsia="Yu Gothic" w:hAnsi="Calibri"/>
        </w:rPr>
        <w:t xml:space="preserve">U3 17 U.S.C. §512: https://www.law.cornell.edu/uscode/text/17/512</w:t>
      </w:r>
    </w:p>
    <w:p>
      <w:pPr>
        <w:pStyle w:val="ListParagraph"/>
        <w:keepNext/>
        <w:keepLines/>
        <w:numPr>
          <w:ilvl w:val="0"/>
          <w:numId w:val="2"/>
        </w:numPr>
        <w:spacing w:after="20" w:before="20" w:line="300"/>
      </w:pPr>
      <w:r>
        <w:rPr>
          <w:rFonts w:ascii="Calibri" w:eastAsia="Yu Gothic" w:hAnsi="Calibri"/>
        </w:rPr>
        <w:t xml:space="preserve">U4 BIS, “Encryption items not subject to the EAR”: https://www.bis.gov/learn-support/encryption-controls/encryption-items-not-subject-to-ear</w:t>
      </w:r>
    </w:p>
    <w:p>
      <w:pPr>
        <w:pStyle w:val="ListParagraph"/>
        <w:keepNext/>
        <w:keepLines/>
        <w:numPr>
          <w:ilvl w:val="0"/>
          <w:numId w:val="2"/>
        </w:numPr>
        <w:spacing w:after="20" w:before="20" w:line="300"/>
      </w:pPr>
      <w:r>
        <w:rPr>
          <w:rFonts w:ascii="Calibri" w:eastAsia="Yu Gothic" w:hAnsi="Calibri"/>
        </w:rPr>
        <w:t xml:space="preserve">E1 GDPR Article 3: https://gdpr-info.eu/art-3-gdpr/</w:t>
      </w:r>
    </w:p>
    <w:p>
      <w:pPr>
        <w:pStyle w:val="ListParagraph"/>
        <w:keepNext/>
        <w:keepLines/>
        <w:numPr>
          <w:ilvl w:val="0"/>
          <w:numId w:val="2"/>
        </w:numPr>
        <w:spacing w:after="20" w:before="20" w:line="300"/>
      </w:pPr>
      <w:r>
        <w:rPr>
          <w:rFonts w:ascii="Calibri" w:eastAsia="Yu Gothic" w:hAnsi="Calibri"/>
        </w:rPr>
        <w:t xml:space="preserve">P1 Patreon Terms of Use: https://www.patreon.com/policy/legal</w:t>
      </w:r>
    </w:p>
    <w:p>
      <w:pPr>
        <w:pStyle w:val="ListParagraph"/>
        <w:keepNext/>
        <w:keepLines/>
        <w:numPr>
          <w:ilvl w:val="0"/>
          <w:numId w:val="2"/>
        </w:numPr>
        <w:spacing w:after="20" w:before="20" w:line="300"/>
      </w:pPr>
      <w:r>
        <w:rPr>
          <w:rFonts w:ascii="Calibri" w:eastAsia="Yu Gothic" w:hAnsi="Calibri"/>
        </w:rPr>
        <w:t xml:space="preserve">G1 GitHub DMCA Takedown Policy: https://docs.github.com/en/site-policy/content-removal-policies/dmca-takedown-policy , https://github.com/orgs/community/discussions/22709</w:t>
      </w:r>
    </w:p>
    <w:p>
      <w:pPr>
        <w:pStyle w:val="ListParagraph"/>
        <w:keepNext/>
        <w:keepLines/>
        <w:numPr>
          <w:ilvl w:val="0"/>
          <w:numId w:val="2"/>
        </w:numPr>
        <w:spacing w:after="20" w:before="20" w:line="300"/>
      </w:pPr>
      <w:r>
        <w:rPr>
          <w:rFonts w:ascii="Calibri" w:eastAsia="Yu Gothic" w:hAnsi="Calibri"/>
        </w:rPr>
        <w:t xml:space="preserve">G2 GitHub Acceptable Use Policies: https://docs.github.com/en/site-policy/acceptable-use-policies/github-acceptable-use-policies</w:t>
      </w:r>
    </w:p>
    <w:p>
      <w:pPr>
        <w:pStyle w:val="ListParagraph"/>
        <w:keepNext/>
        <w:keepLines/>
        <w:numPr>
          <w:ilvl w:val="0"/>
          <w:numId w:val="2"/>
        </w:numPr>
        <w:spacing w:after="20" w:before="20" w:line="300"/>
      </w:pPr>
      <w:r>
        <w:rPr>
          <w:rFonts w:ascii="Calibri" w:eastAsia="Yu Gothic" w:hAnsi="Calibri"/>
        </w:rPr>
        <w:t xml:space="preserve">F1 OFL-FAQ: https://openfontlicense.org/ofl-faq/</w:t>
      </w:r>
    </w:p>
    <w:p>
      <w:pPr>
        <w:pStyle w:val="ListParagraph"/>
        <w:keepNext/>
        <w:keepLines/>
        <w:numPr>
          <w:ilvl w:val="0"/>
          <w:numId w:val="2"/>
        </w:numPr>
        <w:spacing w:after="20" w:before="20" w:line="300"/>
      </w:pPr>
      <w:r>
        <w:rPr>
          <w:rFonts w:ascii="Calibri" w:eastAsia="Yu Gothic" w:hAnsi="Calibri"/>
        </w:rPr>
        <w:t xml:space="preserve">T1 https://practiceguides.chambers.com/practice-guides/copyright-2023/japan , https://www.lexology.com/library/detail.aspx?g=65dfe5c5-7093-44ed-8a4a-5b3efe85c2be</w:t>
      </w:r>
    </w:p>
    <w:p>
      <w:pPr>
        <w:pStyle w:val="ListParagraph"/>
        <w:keepNext/>
        <w:keepLines/>
        <w:numPr>
          <w:ilvl w:val="0"/>
          <w:numId w:val="2"/>
        </w:numPr>
        <w:spacing w:after="20" w:before="20" w:line="300"/>
      </w:pPr>
      <w:r>
        <w:rPr>
          <w:rFonts w:ascii="Calibri" w:eastAsia="Yu Gothic" w:hAnsi="Calibri"/>
        </w:rPr>
        <w:t xml:space="preserve">T2 https://www.chinalegalexperts.com/news/statute-of-limitations-in-china-civil-code , https://www.lexology.com/library/detail.aspx?g=9985cb60-36c4-490b-a16a-86ba0fa32bba</w:t>
      </w:r>
    </w:p>
    <w:p>
      <w:pPr>
        <w:pStyle w:val="ListParagraph"/>
        <w:keepNext/>
        <w:keepLines/>
        <w:numPr>
          <w:ilvl w:val="0"/>
          <w:numId w:val="2"/>
        </w:numPr>
        <w:spacing w:after="20" w:before="20" w:line="300"/>
      </w:pPr>
      <w:r>
        <w:rPr>
          <w:rFonts w:ascii="Calibri" w:eastAsia="Yu Gothic" w:hAnsi="Calibri"/>
        </w:rPr>
        <w:t xml:space="preserve">T3 17 U.S.C. §507: https://www.law.cornell.edu/uscode/text/17/507</w:t>
      </w:r>
    </w:p>
    <w:p>
      <w:pPr>
        <w:pStyle w:val="ListParagraph"/>
        <w:keepNext/>
        <w:keepLines/>
        <w:numPr>
          <w:ilvl w:val="0"/>
          <w:numId w:val="2"/>
        </w:numPr>
        <w:spacing w:after="20" w:before="20" w:line="300"/>
      </w:pPr>
      <w:r>
        <w:rPr>
          <w:rFonts w:ascii="Calibri" w:eastAsia="Yu Gothic" w:hAnsi="Calibri"/>
        </w:rPr>
        <w:t xml:space="preserve">U8 https://copyright.gov/fair-use/summaries/bond-blum-4thcir2003.pdf , https://caselaw.findlaw.com/court/us-4th-circuit/1361728.html</w:t>
      </w:r>
    </w:p>
    <w:p>
      <w:pPr>
        <w:pStyle w:val="ListParagraph"/>
        <w:keepNext/>
        <w:keepLines/>
        <w:numPr>
          <w:ilvl w:val="0"/>
          <w:numId w:val="2"/>
        </w:numPr>
        <w:spacing w:after="20" w:before="20" w:line="300"/>
      </w:pPr>
      <w:r>
        <w:rPr>
          <w:rFonts w:ascii="Calibri" w:eastAsia="Yu Gothic" w:hAnsi="Calibri"/>
        </w:rPr>
        <w:t xml:space="preserve">C5 https://enipc.court.gov.cn/zh-cn/news/view-405.html , http://ip.people.com.cn/n1/2020/0710/c136655-31778614.html</w:t>
      </w:r>
    </w:p>
    <w:p>
      <w:pPr>
        <w:pStyle w:val="ListParagraph"/>
        <w:keepNext/>
        <w:keepLines/>
        <w:numPr>
          <w:ilvl w:val="0"/>
          <w:numId w:val="2"/>
        </w:numPr>
        <w:spacing w:after="20" w:before="20" w:line="300"/>
      </w:pPr>
      <w:r>
        <w:rPr>
          <w:rFonts w:ascii="Calibri" w:eastAsia="Yu Gothic" w:hAnsi="Calibri"/>
        </w:rPr>
        <w:t xml:space="preserve">T4 https://www.skadden.com/insights/publications/2024/05/supreme-court-clarifies-that-copyright-damages-are-not-limited-to-three-years</w:t>
      </w:r>
    </w:p>
    <w:p>
      <w:pPr>
        <w:pStyle w:val="ListParagraph"/>
        <w:keepNext/>
        <w:keepLines/>
        <w:numPr>
          <w:ilvl w:val="0"/>
          <w:numId w:val="2"/>
        </w:numPr>
        <w:spacing w:after="20" w:before="20" w:line="300"/>
      </w:pPr>
      <w:r>
        <w:rPr>
          <w:rFonts w:ascii="Calibri" w:eastAsia="Yu Gothic" w:hAnsi="Calibri"/>
        </w:rPr>
        <w:t xml:space="preserve">U5 17 U.S.C. §411: https://www.law.cornell.edu/uscode/text/17/411</w:t>
      </w:r>
    </w:p>
    <w:p>
      <w:pPr>
        <w:pStyle w:val="ListParagraph"/>
        <w:keepNext/>
        <w:keepLines/>
        <w:numPr>
          <w:ilvl w:val="0"/>
          <w:numId w:val="2"/>
        </w:numPr>
        <w:spacing w:after="20" w:before="20" w:line="300"/>
      </w:pPr>
      <w:r>
        <w:rPr>
          <w:rFonts w:ascii="Calibri" w:eastAsia="Yu Gothic" w:hAnsi="Calibri"/>
        </w:rPr>
        <w:t xml:space="preserve">U6 17 U.S.C. §412: https://www.law.cornell.edu/uscode/text/17/412</w:t>
      </w:r>
    </w:p>
    <w:p>
      <w:pPr>
        <w:pStyle w:val="ListParagraph"/>
        <w:keepNext/>
        <w:keepLines/>
        <w:numPr>
          <w:ilvl w:val="0"/>
          <w:numId w:val="2"/>
        </w:numPr>
        <w:spacing w:after="20" w:before="20" w:line="300"/>
      </w:pPr>
      <w:r>
        <w:rPr>
          <w:rFonts w:ascii="Calibri" w:eastAsia="Yu Gothic" w:hAnsi="Calibri"/>
        </w:rPr>
        <w:t xml:space="preserve">U7 Commentary on court decisions on Section 1202 and the registration requirement: https://internetcases.com/2019/11/10/dmca-copyright-management-information-cmi-lawsuit/ , https://www.vondranlegal.com/updates-on-17-usc-1202-removal-or-alteration-of-copyright-management-information</w:t>
      </w:r>
    </w:p>
    <w:p>
      <w:pPr>
        <w:pStyle w:val="ListParagraph"/>
        <w:keepNext/>
        <w:keepLines/>
        <w:numPr>
          <w:ilvl w:val="0"/>
          <w:numId w:val="2"/>
        </w:numPr>
        <w:spacing w:after="20" w:before="20" w:line="300"/>
      </w:pPr>
      <w:r>
        <w:rPr>
          <w:rFonts w:ascii="Calibri" w:eastAsia="Yu Gothic" w:hAnsi="Calibri"/>
        </w:rPr>
        <w:t xml:space="preserve">J8 Agency for Cultural Affairs, “Frequently asked questions about the copyright registration system”: https://www.bunka.go.jp/seisaku/chosakuken/seidokaisetsu/toroku_seido/faq.html , “Copyright registration procedures”: https://www.bunka.go.jp/seisaku/chosakuken/seidokaisetsu/toroku_seido/</w:t>
      </w:r>
    </w:p>
    <w:p>
      <w:pPr>
        <w:pStyle w:val="ListParagraph"/>
        <w:keepNext/>
        <w:keepLines/>
        <w:numPr>
          <w:ilvl w:val="0"/>
          <w:numId w:val="2"/>
        </w:numPr>
        <w:spacing w:after="20" w:before="20" w:line="300"/>
      </w:pPr>
      <w:r>
        <w:rPr>
          <w:rFonts w:ascii="Calibri" w:eastAsia="Yu Gothic" w:hAnsi="Calibri"/>
        </w:rPr>
        <w:t xml:space="preserve">J9 Commentary on Electronic Signatures Act Article 3: Ministry of Economy, Trade and Industry, “Q&amp;A on Article 3 of the Electronic Signatures Act” https://www.meti.go.jp/covid-19/denshishomei3_qa.html</w:t>
      </w:r>
    </w:p>
    <w:p>
      <w:pPr>
        <w:pStyle w:val="ListParagraph"/>
        <w:keepNext/>
        <w:keepLines/>
        <w:numPr>
          <w:ilvl w:val="0"/>
          <w:numId w:val="2"/>
        </w:numPr>
        <w:spacing w:after="20" w:before="20" w:line="300"/>
      </w:pPr>
      <w:r>
        <w:rPr>
          <w:rFonts w:ascii="Calibri" w:eastAsia="Yu Gothic" w:hAnsi="Calibri"/>
        </w:rPr>
        <w:t xml:space="preserve">J10 Civil Code Articles 548-2 to 548-4 (standard terms): https://laws.e-gov.go.jp/law/129AC0000000089 , Ministry of Economy, Trade and Industry material https://www.egc.meti.go.jp/activity/emsc_keika/pdf/004_10_00.pdf</w:t>
      </w:r>
    </w:p>
    <w:p>
      <w:pPr>
        <w:pStyle w:val="ListParagraph"/>
        <w:keepNext/>
        <w:keepLines/>
        <w:numPr>
          <w:ilvl w:val="0"/>
          <w:numId w:val="2"/>
        </w:numPr>
        <w:spacing w:after="20" w:before="20" w:line="300"/>
      </w:pPr>
      <w:r>
        <w:rPr>
          <w:rFonts w:ascii="Calibri" w:eastAsia="Yu Gothic" w:hAnsi="Calibri"/>
        </w:rPr>
        <w:t xml:space="preserve">J11 Consumer Affairs Agency, “Article-by-article commentary, Articles 8 to 10”: https://www.caa.go.jp/policies/policy/consumer_system/consumer_contract_act/annotations/assets/consumer_system_cms203_230915_12.pdf , https://www.businesslawyers.jp/articles/1189</w:t>
      </w:r>
    </w:p>
    <w:p>
      <w:pPr>
        <w:pStyle w:val="ListParagraph"/>
        <w:keepNext/>
        <w:keepLines/>
        <w:numPr>
          <w:ilvl w:val="0"/>
          <w:numId w:val="2"/>
        </w:numPr>
        <w:spacing w:after="20" w:before="20" w:line="300"/>
      </w:pPr>
      <w:r>
        <w:rPr>
          <w:rFonts w:ascii="Calibri" w:eastAsia="Yu Gothic" w:hAnsi="Calibri"/>
        </w:rPr>
        <w:t xml:space="preserve">J12 Civil Code Articles 4, 5, and 21: https://laws.e-gov.go.jp/law/129AC0000000089</w:t>
      </w:r>
    </w:p>
    <w:p>
      <w:pPr>
        <w:pStyle w:val="ListParagraph"/>
        <w:keepNext/>
        <w:keepLines/>
        <w:numPr>
          <w:ilvl w:val="0"/>
          <w:numId w:val="2"/>
        </w:numPr>
        <w:spacing w:after="20" w:before="20" w:line="300"/>
      </w:pPr>
      <w:r>
        <w:rPr>
          <w:rFonts w:ascii="Calibri" w:eastAsia="Yu Gothic" w:hAnsi="Calibri"/>
        </w:rPr>
        <w:t xml:space="preserve">C6 Trial Measures for Voluntary Registration of Works: https://www.gov.cn/zhengce/1994-12/31/content_5724626.htm , Beijing government services, “Voluntary registration of works”: https://banshi.beijing.gov.cn/pubtask/task/1/110000000000/b59addd1-50b7-478f-bbe5-5c9a2b9f9169.html</w:t>
      </w:r>
    </w:p>
    <w:p>
      <w:pPr>
        <w:pStyle w:val="ListParagraph"/>
        <w:keepNext/>
        <w:keepLines/>
        <w:numPr>
          <w:ilvl w:val="0"/>
          <w:numId w:val="2"/>
        </w:numPr>
        <w:spacing w:after="20" w:before="20" w:line="300"/>
      </w:pPr>
      <w:r>
        <w:rPr>
          <w:rFonts w:ascii="Calibri" w:eastAsia="Yu Gothic" w:hAnsi="Calibri"/>
        </w:rPr>
        <w:t xml:space="preserve">C7 Electronic Signature Law of the People's Republic of China: https://www.cac.gov.cn/2004-08/28/c_126468489.htm</w:t>
      </w:r>
    </w:p>
    <w:p>
      <w:pPr>
        <w:pStyle w:val="ListParagraph"/>
        <w:keepNext/>
        <w:keepLines/>
        <w:numPr>
          <w:ilvl w:val="0"/>
          <w:numId w:val="2"/>
        </w:numPr>
        <w:spacing w:after="20" w:before="20" w:line="300"/>
      </w:pPr>
      <w:r>
        <w:rPr>
          <w:rFonts w:ascii="Calibri" w:eastAsia="Yu Gothic" w:hAnsi="Calibri"/>
        </w:rPr>
        <w:t xml:space="preserve">C8 Several Provisions of the Supreme People's Court on Evidence in Civil Procedures (2019 amendment): https://ipc.court.gov.cn/zh-cn/news/view-393.html</w:t>
      </w:r>
    </w:p>
    <w:p>
      <w:pPr>
        <w:pStyle w:val="ListParagraph"/>
        <w:keepNext/>
        <w:keepLines/>
        <w:numPr>
          <w:ilvl w:val="0"/>
          <w:numId w:val="2"/>
        </w:numPr>
        <w:spacing w:after="20" w:before="20" w:line="300"/>
      </w:pPr>
      <w:r>
        <w:rPr>
          <w:rFonts w:ascii="Calibri" w:eastAsia="Yu Gothic" w:hAnsi="Calibri"/>
        </w:rPr>
        <w:t xml:space="preserve">U9 U.S. Copyright Office, “Group Registration for Published Photographs”: https://www.copyright.gov/eco/help/group/grpph.html</w:t>
      </w:r>
    </w:p>
    <w:p>
      <w:pPr>
        <w:pStyle w:val="ListParagraph"/>
        <w:keepNext/>
        <w:keepLines/>
        <w:numPr>
          <w:ilvl w:val="0"/>
          <w:numId w:val="2"/>
        </w:numPr>
        <w:spacing w:after="20" w:before="20" w:line="300"/>
      </w:pPr>
      <w:r>
        <w:rPr>
          <w:rFonts w:ascii="Calibri" w:eastAsia="Yu Gothic" w:hAnsi="Calibri"/>
        </w:rPr>
        <w:t xml:space="preserve">U10 Commentary on Federal Rules of Evidence 902(13)(14): https://www.americanbar.org/groups/litigation/resources/newsletters/trial-evidence/new-rules-self-authenticating-electronic-evidence/</w:t>
      </w:r>
    </w:p>
    <w:p>
      <w:pPr>
        <w:pStyle w:val="ListParagraph"/>
        <w:keepNext/>
        <w:keepLines/>
        <w:numPr>
          <w:ilvl w:val="0"/>
          <w:numId w:val="2"/>
        </w:numPr>
        <w:spacing w:after="20" w:before="20" w:line="300"/>
      </w:pPr>
      <w:r>
        <w:rPr>
          <w:rFonts w:ascii="Calibri" w:eastAsia="Yu Gothic" w:hAnsi="Calibri"/>
        </w:rPr>
        <w:t xml:space="preserve">U11 FTC, “Complying with COPPA: Frequently Asked Questions”: https://www.ftc.gov/business-guidance/resources/complying-coppa-frequently-asked-questions</w:t>
      </w:r>
    </w:p>
    <w:p>
      <w:pPr>
        <w:pStyle w:val="ListParagraph"/>
        <w:keepNext/>
        <w:keepLines/>
        <w:numPr>
          <w:ilvl w:val="0"/>
          <w:numId w:val="2"/>
        </w:numPr>
        <w:spacing w:after="20" w:before="20" w:line="300"/>
      </w:pPr>
      <w:r>
        <w:rPr>
          <w:rFonts w:ascii="Calibri" w:eastAsia="Yu Gothic" w:hAnsi="Calibri"/>
        </w:rPr>
        <w:t xml:space="preserve">U12 CCPA applicability thresholds: https://www.jacksonlewis.com/insights/navigating-california-consumer-privacy-act-30-essential-faqs-covered-businesses-including-clarifying-regulations-effective-1126</w:t>
      </w:r>
    </w:p>
    <w:p>
      <w:pPr>
        <w:pStyle w:val="ListParagraph"/>
        <w:keepNext/>
        <w:keepLines/>
        <w:numPr>
          <w:ilvl w:val="0"/>
          <w:numId w:val="2"/>
        </w:numPr>
        <w:spacing w:after="20" w:before="20" w:line="300"/>
      </w:pPr>
      <w:r>
        <w:rPr>
          <w:rFonts w:ascii="Calibri" w:eastAsia="Yu Gothic" w:hAnsi="Calibri"/>
        </w:rPr>
        <w:t xml:space="preserve">E2 GDPR Article 27: https://gdpr-info.eu/art-27-gdpr/</w:t>
      </w:r>
    </w:p>
    <w:p>
      <w:pPr>
        <w:pStyle w:val="ListParagraph"/>
        <w:keepNext/>
        <w:keepLines/>
        <w:numPr>
          <w:ilvl w:val="0"/>
          <w:numId w:val="2"/>
        </w:numPr>
        <w:spacing w:after="20" w:before="20" w:line="300"/>
      </w:pPr>
      <w:r>
        <w:rPr>
          <w:rFonts w:ascii="Calibri" w:eastAsia="Yu Gothic" w:hAnsi="Calibri"/>
        </w:rPr>
        <w:t xml:space="preserve">E3 Commentary on UK GDPR Article 27: https://legalvision.co.uk/data-privacy-it/uk-gdpr-article-27-representatives/ , https://www.activemind.uk/uk-representative/</w:t>
      </w:r>
    </w:p>
    <w:p>
      <w:pPr>
        <w:pStyle w:val="ListParagraph"/>
        <w:keepNext/>
        <w:keepLines/>
        <w:numPr>
          <w:ilvl w:val="0"/>
          <w:numId w:val="2"/>
        </w:numPr>
        <w:spacing w:after="20" w:before="20" w:line="300"/>
      </w:pPr>
      <w:r>
        <w:rPr>
          <w:rFonts w:ascii="Calibri" w:eastAsia="Yu Gothic" w:hAnsi="Calibri"/>
        </w:rPr>
        <w:t xml:space="preserve">J13 Ministry of Internal Affairs and Communications, “Telecommunications Business Entry Manual [Supplement]” (revised January 30, 2023): https://www.soumu.go.jp/main_content/000477428.pdf</w:t>
      </w:r>
    </w:p>
    <w:p>
      <w:pPr>
        <w:pStyle w:val="ListParagraph"/>
        <w:keepNext/>
        <w:keepLines/>
        <w:numPr>
          <w:ilvl w:val="0"/>
          <w:numId w:val="2"/>
        </w:numPr>
        <w:spacing w:after="20" w:before="20" w:line="300"/>
      </w:pPr>
      <w:r>
        <w:rPr>
          <w:rFonts w:ascii="Calibri" w:eastAsia="Yu Gothic" w:hAnsi="Calibri"/>
        </w:rPr>
        <w:t xml:space="preserve">J15 Act on the Protection of Personal Information (415AC0000000057) and its Enforcement Order (415CO0000000507): Articles 16, 17, 21, 23, 27, and 32 and Enforcement Order Article 10 obtained through the e-Gov law search API. Personal Information Protection Commission, “Guidelines (General Rules)” 2-4, 3-8-1: https://www.ppc.go.jp/personalinfo/legal/guidelines_tsusoku/</w:t>
      </w:r>
    </w:p>
    <w:p>
      <w:pPr>
        <w:pStyle w:val="ListParagraph"/>
        <w:keepNext/>
        <w:keepLines/>
        <w:numPr>
          <w:ilvl w:val="0"/>
          <w:numId w:val="2"/>
        </w:numPr>
        <w:spacing w:after="20" w:before="20" w:line="300"/>
      </w:pPr>
      <w:r>
        <w:rPr>
          <w:rFonts w:ascii="Calibri" w:eastAsia="Yu Gothic" w:hAnsi="Calibri"/>
        </w:rPr>
        <w:t xml:space="preserve">J16 Ministerial Order on Trade-Related Transactions and Other Non-Trade Transactions (410M50000400008): Article 9 obtained through the e-Gov law search API</w:t>
      </w:r>
    </w:p>
    <w:p>
      <w:pPr>
        <w:pStyle w:val="ListParagraph"/>
        <w:keepNext/>
        <w:keepLines/>
        <w:numPr>
          <w:ilvl w:val="0"/>
          <w:numId w:val="2"/>
        </w:numPr>
        <w:spacing w:after="20" w:before="20" w:line="300"/>
      </w:pPr>
      <w:r>
        <w:rPr>
          <w:rFonts w:ascii="Calibri" w:eastAsia="Yu Gothic" w:hAnsi="Calibri"/>
        </w:rPr>
        <w:t xml:space="preserve">J17 Topcourt International Law Firm, “Disclaimers in terms of use”: https://topcourt-law.com/terms_of_service/terms-of-service-disclaimer , “How to write terms of use for web and apps”: https://topcourt-law.com/terms_of_service/user_policy</w:t>
      </w:r>
    </w:p>
    <w:p>
      <w:pPr>
        <w:pStyle w:val="ListParagraph"/>
        <w:keepNext/>
        <w:keepLines/>
        <w:numPr>
          <w:ilvl w:val="0"/>
          <w:numId w:val="2"/>
        </w:numPr>
        <w:spacing w:after="20" w:before="20" w:line="300"/>
      </w:pPr>
      <w:r>
        <w:rPr>
          <w:rFonts w:ascii="Calibri" w:eastAsia="Yu Gothic" w:hAnsi="Calibri"/>
        </w:rPr>
        <w:t xml:space="preserve">J18 IT lawyer (ys-law.jp), “Matters to note when using open source software (OSS)”: https://www.ys-law.jp/IT/column/column-3397/</w:t>
      </w:r>
    </w:p>
    <w:p>
      <w:pPr>
        <w:pStyle w:val="ListParagraph"/>
        <w:keepNext/>
        <w:keepLines/>
        <w:numPr>
          <w:ilvl w:val="0"/>
          <w:numId w:val="2"/>
        </w:numPr>
        <w:spacing w:after="20" w:before="20" w:line="300"/>
      </w:pPr>
      <w:r>
        <w:rPr>
          <w:rFonts w:ascii="Calibri" w:eastAsia="Yu Gothic" w:hAnsi="Calibri"/>
        </w:rPr>
        <w:t xml:space="preserve">J19 Consumer Affairs Agency, “Overview Q&amp;A on the Product Liability Act”: https://www.caa.go.jp/policies/policy/consumer_safety/other/pl_qa.html</w:t>
      </w:r>
    </w:p>
    <w:p>
      <w:pPr>
        <w:pStyle w:val="ListParagraph"/>
        <w:keepNext/>
        <w:keepLines/>
        <w:numPr>
          <w:ilvl w:val="0"/>
          <w:numId w:val="2"/>
        </w:numPr>
        <w:spacing w:after="20" w:before="20" w:line="300"/>
      </w:pPr>
      <w:r>
        <w:rPr>
          <w:rFonts w:ascii="Calibri" w:eastAsia="Yu Gothic" w:hAnsi="Calibri"/>
        </w:rPr>
        <w:t xml:space="preserve">J20 Act on General Rules for Application of Laws (418AC0000000078): Article 11 obtained through the e-Gov law search API</w:t>
      </w:r>
    </w:p>
    <w:p>
      <w:pPr>
        <w:pStyle w:val="ListParagraph"/>
        <w:keepNext/>
        <w:keepLines/>
        <w:numPr>
          <w:ilvl w:val="0"/>
          <w:numId w:val="2"/>
        </w:numPr>
        <w:spacing w:after="20" w:before="20" w:line="300"/>
      </w:pPr>
      <w:r>
        <w:rPr>
          <w:rFonts w:ascii="Calibri" w:eastAsia="Yu Gothic" w:hAnsi="Calibri"/>
        </w:rPr>
        <w:t xml:space="preserve">J21 Code of Civil Procedure (408AC0000000109): Articles 3-4 and 3-7 obtained through the e-Gov law search API</w:t>
      </w:r>
    </w:p>
    <w:p>
      <w:pPr>
        <w:pStyle w:val="ListParagraph"/>
        <w:keepNext/>
        <w:keepLines/>
        <w:numPr>
          <w:ilvl w:val="0"/>
          <w:numId w:val="2"/>
        </w:numPr>
        <w:spacing w:after="20" w:before="20" w:line="300"/>
      </w:pPr>
      <w:r>
        <w:rPr>
          <w:rFonts w:ascii="Calibri" w:eastAsia="Yu Gothic" w:hAnsi="Calibri"/>
        </w:rPr>
        <w:t xml:space="preserve">U13 15 CFR 742.15: https://www.law.cornell.edu/cfr/text/15/742.15 , commentary on the rule of March 29, 2021: https://www.wsgr.com/en/insights/us-department-of-commerces-bureau-of-industry-and-security-relaxes-several-classification-and-reporting-requirements-for-encryption-items.html</w:t>
      </w:r>
    </w:p>
    <w:p>
      <w:pPr>
        <w:pStyle w:val="ListParagraph"/>
        <w:keepNext/>
        <w:keepLines/>
        <w:numPr>
          <w:ilvl w:val="0"/>
          <w:numId w:val="2"/>
        </w:numPr>
        <w:spacing w:after="20" w:before="20" w:line="300"/>
      </w:pPr>
      <w:r>
        <w:rPr>
          <w:rFonts w:ascii="Calibri" w:eastAsia="Yu Gothic" w:hAnsi="Calibri"/>
        </w:rPr>
        <w:t xml:space="preserve">J22 Act on Measures against Infringement of Rights Arising from the Distribution of Information through Specified Telecommunications (413AC0000000137) and its Enforcement Regulations (504M60000008039): obtained through the e-Gov law search API</w:t>
      </w:r>
    </w:p>
    <w:p>
      <w:pPr>
        <w:pStyle w:val="ListParagraph"/>
        <w:keepNext/>
        <w:keepLines/>
        <w:numPr>
          <w:ilvl w:val="0"/>
          <w:numId w:val="2"/>
        </w:numPr>
        <w:spacing w:after="20" w:before="20" w:line="300"/>
      </w:pPr>
      <w:r>
        <w:rPr>
          <w:rFonts w:ascii="Calibri" w:eastAsia="Yu Gothic" w:hAnsi="Calibri"/>
        </w:rPr>
        <w:t xml:space="preserve">J23 Ministry of Internal Affairs and Communications press releases (April 30, 2025; May 30, 2025; August 31, 2026): https://www.soumu.go.jp/menu_news/s-news/01ryutsu02_02000435.html , https://www.soumu.go.jp/menu_news/s-news/01ryutsu02_02000440.html , https://www.soumu.go.jp/menu_news/s-news/01ryutsu02_02000488.html . List of takedown request contact points: https://www.soumu.go.jp/main_content/001031570.pdf</w:t>
      </w:r>
    </w:p>
    <w:p>
      <w:pPr>
        <w:pStyle w:val="ListParagraph"/>
        <w:keepNext/>
        <w:keepLines/>
        <w:numPr>
          <w:ilvl w:val="0"/>
          <w:numId w:val="2"/>
        </w:numPr>
        <w:spacing w:after="20" w:before="20" w:line="300"/>
      </w:pPr>
      <w:r>
        <w:rPr>
          <w:rFonts w:ascii="Calibri" w:eastAsia="Yu Gothic" w:hAnsi="Calibri"/>
        </w:rPr>
        <w:t xml:space="preserve">J24 Information Distribution Platform Act Copyright Guidelines, 3rd edition: https://www.isplaw.jp/vc-files/isplaw/provider_tyosakukenn_20250513.pdf</w:t>
      </w:r>
    </w:p>
    <w:p>
      <w:pPr>
        <w:pStyle w:val="ListParagraph"/>
        <w:keepNext/>
        <w:keepLines/>
        <w:numPr>
          <w:ilvl w:val="0"/>
          <w:numId w:val="2"/>
        </w:numPr>
        <w:spacing w:after="20" w:before="20" w:line="300"/>
      </w:pPr>
      <w:r>
        <w:rPr>
          <w:rFonts w:ascii="Calibri" w:eastAsia="Yu Gothic" w:hAnsi="Calibri"/>
        </w:rPr>
        <w:t xml:space="preserve">J26 Japan National Notaries Association, “Notarial deeds of factual experiments”: https://www.koshonin.gr.jp/notary/ow08 , fees: https://www.koshonin.gr.jp/pdf/commission.pdf</w:t>
      </w:r>
    </w:p>
    <w:p>
      <w:pPr>
        <w:pStyle w:val="ListParagraph"/>
        <w:keepNext/>
        <w:keepLines/>
        <w:numPr>
          <w:ilvl w:val="0"/>
          <w:numId w:val="2"/>
        </w:numPr>
        <w:spacing w:after="20" w:before="20" w:line="300"/>
      </w:pPr>
      <w:r>
        <w:rPr>
          <w:rFonts w:ascii="Calibri" w:eastAsia="Yu Gothic" w:hAnsi="Calibri"/>
        </w:rPr>
        <w:t xml:space="preserve">C14 Provisions of the Supreme People's Court on Several Issues Concerning the Trial of Cases by Internet Courts (original PDF, JETRO): https://www.jetro.go.jp/ext_images/world/asia/cn/ip/law/pdf/origin/interpret20180907.pdf</w:t>
      </w:r>
    </w:p>
    <w:p>
      <w:pPr>
        <w:pStyle w:val="ListParagraph"/>
        <w:keepNext/>
        <w:keepLines/>
        <w:numPr>
          <w:ilvl w:val="0"/>
          <w:numId w:val="2"/>
        </w:numPr>
        <w:spacing w:after="20" w:before="20" w:line="300"/>
      </w:pPr>
      <w:r>
        <w:rPr>
          <w:rFonts w:ascii="Calibri" w:eastAsia="Yu Gothic" w:hAnsi="Calibri"/>
        </w:rPr>
        <w:t xml:space="preserve">U14 17 U.S.C. §504: https://www.law.cornell.edu/uscode/text/17/504</w:t>
      </w:r>
    </w:p>
    <w:p>
      <w:pPr>
        <w:pStyle w:val="ListParagraph"/>
        <w:keepNext/>
        <w:keepLines/>
        <w:numPr>
          <w:ilvl w:val="0"/>
          <w:numId w:val="2"/>
        </w:numPr>
        <w:spacing w:after="20" w:before="20" w:line="300"/>
      </w:pPr>
      <w:r>
        <w:rPr>
          <w:rFonts w:ascii="Calibri" w:eastAsia="Yu Gothic" w:hAnsi="Calibri"/>
        </w:rPr>
        <w:t xml:space="preserve">J25 Supreme Court judgment of November 10, 2005 (Minshu Vol. 59 No. 9 p. 2428, 2003 (Ju) No. 281): Yuhikaku's case page https://yuhikaku.com/articles/-/48673 . The URL of the full text in the court's case search could not be confirmed (it can be searched by case number: https://www.courts.go.jp/hanrei/search1/index.html )</w:t>
      </w:r>
    </w:p>
    <w:p>
      <w:pPr>
        <w:pStyle w:val="ListParagraph"/>
        <w:keepNext/>
        <w:keepLines/>
        <w:numPr>
          <w:ilvl w:val="0"/>
          <w:numId w:val="2"/>
        </w:numPr>
        <w:spacing w:after="20" w:before="20" w:line="300"/>
      </w:pPr>
      <w:r>
        <w:rPr>
          <w:rFonts w:ascii="Calibri" w:eastAsia="Yu Gothic" w:hAnsi="Calibri"/>
        </w:rPr>
        <w:t xml:space="preserve">C12 Civil Code of the People's Republic of China Articles 1195 and 1196 (Gazette of the Supreme People's Court): http://gongbao.court.gov.cn/Details/7f184078694d811fb3314f6af9accf.html</w:t>
      </w:r>
    </w:p>
    <w:p>
      <w:pPr>
        <w:pStyle w:val="ListParagraph"/>
        <w:keepNext/>
        <w:keepLines/>
        <w:numPr>
          <w:ilvl w:val="0"/>
          <w:numId w:val="2"/>
        </w:numPr>
        <w:spacing w:after="20" w:before="20" w:line="300"/>
      </w:pPr>
      <w:r>
        <w:rPr>
          <w:rFonts w:ascii="Calibri" w:eastAsia="Yu Gothic" w:hAnsi="Calibri"/>
        </w:rPr>
        <w:t xml:space="preserve">C13 E-Commerce Law of the People's Republic of China Articles 42 and 43: https://www.cac.gov.cn/2018-09/01/c_1123362506.htm</w:t>
      </w:r>
    </w:p>
    <w:p>
      <w:pPr>
        <w:pStyle w:val="ListParagraph"/>
        <w:keepNext/>
        <w:keepLines/>
        <w:numPr>
          <w:ilvl w:val="0"/>
          <w:numId w:val="2"/>
        </w:numPr>
        <w:spacing w:after="20" w:before="20" w:line="300"/>
      </w:pPr>
      <w:r>
        <w:rPr>
          <w:rFonts w:ascii="Calibri" w:eastAsia="Yu Gothic" w:hAnsi="Calibri"/>
        </w:rPr>
        <w:t xml:space="preserve">C9 Measures for Labeling AI-Generated Synthetic Content: https://www.cac.gov.cn/2025-03/14/c_1743654684782215.htm</w:t>
      </w:r>
    </w:p>
    <w:p>
      <w:pPr>
        <w:pStyle w:val="ListParagraph"/>
        <w:keepNext/>
        <w:keepLines/>
        <w:numPr>
          <w:ilvl w:val="0"/>
          <w:numId w:val="2"/>
        </w:numPr>
        <w:spacing w:after="20" w:before="20" w:line="300"/>
      </w:pPr>
      <w:r>
        <w:rPr>
          <w:rFonts w:ascii="Calibri" w:eastAsia="Yu Gothic" w:hAnsi="Calibri"/>
        </w:rPr>
        <w:t xml:space="preserve">C10 GB 45438-2025: https://openstd.samr.gov.cn/bzgk/std/newGbInfo?hcno=F32EA2A561F1886CD8D606513512D547</w:t>
      </w:r>
    </w:p>
    <w:p>
      <w:pPr>
        <w:pStyle w:val="ListParagraph"/>
        <w:keepNext/>
        <w:keepLines/>
        <w:numPr>
          <w:ilvl w:val="0"/>
          <w:numId w:val="2"/>
        </w:numPr>
        <w:spacing w:after="20" w:before="20" w:line="300"/>
      </w:pPr>
      <w:r>
        <w:rPr>
          <w:rFonts w:ascii="Calibri" w:eastAsia="Yu Gothic" w:hAnsi="Calibri"/>
        </w:rPr>
        <w:t xml:space="preserve">C11 MIIT Notice on Carrying Out the Filing of Mobile Internet Applications: https://www.gov.cn/zhengce/zhengceku/202308/content_6897341.htm</w:t>
      </w:r>
    </w:p>
    <w:p>
      <w:pPr>
        <w:pStyle w:val="ListParagraph"/>
        <w:keepNext w:val="false"/>
        <w:keepLines/>
        <w:numPr>
          <w:ilvl w:val="0"/>
          <w:numId w:val="2"/>
        </w:numPr>
        <w:spacing w:after="20" w:before="20" w:line="300"/>
      </w:pPr>
      <w:r>
        <w:rPr>
          <w:rFonts w:ascii="Calibri" w:eastAsia="Yu Gothic" w:hAnsi="Calibri"/>
        </w:rPr>
        <w:t xml:space="preserve">J14 Ministry of Internal Affairs and Communications, “External transmission rules” FAQ: https://www.soumu.go.jp/main_sosiki/joho_tsusin/d_syohi/gaibusoushin_kiritsu_00002.html , overview material: https://www.soumu.go.jp/main_content/000862755.pdf</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Legal Research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Research</dc:title>
  <dc:creator>Ishikawa Sou</dc:creator>
  <cp:lastModifiedBy>Un-named</cp:lastModifiedBy>
  <cp:revision>1</cp:revision>
  <dcterms:created xsi:type="dcterms:W3CDTF">2026-09-30T00:15:32.900Z</dcterms:created>
  <dcterms:modified xsi:type="dcterms:W3CDTF">2026-09-30T00:15:32.900Z</dcterms:modified>
</cp:coreProperties>
</file>

<file path=docProps/custom.xml><?xml version="1.0" encoding="utf-8"?>
<Properties xmlns="http://schemas.openxmlformats.org/officeDocument/2006/custom-properties" xmlns:vt="http://schemas.openxmlformats.org/officeDocument/2006/docPropsVTypes"/>
</file>