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整体实现设计书（第16稿・2026-10-01）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本书的定位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实现物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区块与依赖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区块的设计（页面）与时序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桥与和外部的边界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决定的所在（决定写在规格的节中。本表为索引）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NRSD准备之物（实现的前提）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核对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本书的定位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规格为设计书群（企划草案、设计计划书 第2版、概要设计书、基本设计 第1〜13章、调查资料、法务调查。以日文的md为准）。本书不抄写规格，只写源码如何组织的索引（实现物、区块与依赖、区块的页面、与外部的边界、决定的所在）。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loop为1次。要求作为设计书的修订接受，并回退受影响区块的阶段状态（CLAUDE.local.md 0.12）。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各区块的设计（承担的节、依赖、类图、桥、算法、数据设计）在 区块/&lt;区块&gt;.md（与本书同在dev/docs/cn/之下。日文原文在dev/docs/jp，英文在dev/docs/en，构成相同。以日文为准）。本书只持有其索引与跨区块的表（实现物、依赖的边、与外部的边界）。决定写在规格的节中，5为其所在的索引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1. 实现物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"/>
        <w:gridCol w:w="6460"/>
        <w:gridCol w:w="2410"/>
      </w:tblGrid>
      <w:tr>
        <w:trPr>
          <w:cantSplit/>
          <w:tblHeader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实现物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存放处（第11章 7）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核心的crate 16个（2的core-*）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crates/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P-2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使用者应用的外壳（Tauri。app-client）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apps/client/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P-3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界面（Svelte。ui）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ui/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P-4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文字文件（日・中・英。ICU MessageFormat）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i18n/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P-5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运营者工具（Tauri。app-operator。M-01・M-02）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apps/operator/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P-6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公开页面（静态。“核对声明码”页、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/rights/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update/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、条款）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GitHub Pages的源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P-7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参考信息（原稿与信息包。窗口、范本、各国法律、文字、例文、期限、通知、最低版本、条款）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P-8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随附的素材（字体、模型、默认模板、向导与步骤的图片、应用图标（各OS的格式）、口令的词表、初版的信息包、许可证文件）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assets/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P-9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分发物（NSIS、DMG与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.app.tar.gz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、AppImage、Flatpak。签名、SBOM、证明、LGPL的源码）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发布、镜像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P-10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仓库的骨架与CI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最上层、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.github/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P-11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README（3种语言）、LICENSE、NOTICE、SECURITY.md、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LICENSES/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REUSE.toml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最上层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P-12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运营的工具与手册（复制到镜像、发布、密钥事故、参考信息的公开）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tools/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与运营的文件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P-13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开发方的文件（从边界的一览＝桥的表生成的类型与许可、JSON Schema与测试向量、错误的一览）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dev/</w:t>
            </w:r>
          </w:p>
        </w:tc>
      </w:tr>
      <w:tr>
        <w:trPr>
          <w:cantSplit/>
          <w:tblHeader w:val="off"/>
        </w:trPr>
        <w:tc>
          <w:tcPr>
            <w:tcW w:type="dxa" w:w="7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P-14</w:t>
            </w:r>
          </w:p>
        </w:tc>
        <w:tc>
          <w:tcPr>
            <w:tcW w:type="dxa" w:w="64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浏览器扩展“保全证据”</w:t>
            </w:r>
          </w:p>
        </w:tc>
        <w:tc>
          <w:tcPr>
            <w:tcW w:type="dxa" w:w="24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extension/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预览版是P-2・P-9构建设置的差异（版本号、更新清单的URL）。不是另外的实现物。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2. 区块与依赖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crate的一览与职责见第11章 7.1。依赖的边以本表为准（check_bridges.py读取本表确认闭环与桥的有无）。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692"/>
        <w:gridCol w:w="7305"/>
      </w:tblGrid>
      <w:tr>
        <w:trPr>
          <w:cantSplit/>
          <w:tblHeader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区块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依赖的下层区块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基础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core-store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基础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core-net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基础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core-hash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core-image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core-common、core-hash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core-identity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core-mark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core-common、core-image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core-render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core-common、core-image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core-ref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core-common、core-store、core-net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core-rights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core-common、core-store、core-hash、core-ref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core-work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core-common、core-store、core-hash、core-image、core-render、core-mark、core-rights、core-ref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core-sign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core-common、core-store、core-net、core-hash、core-image、core-identity、core-mark、core-render、core-rights、core-work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core-common、core-store、core-net、core-hash、core-image、core-mark、core-render、core-sign、core-rights、core-identity、core-ref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core-guidance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core-common、core-ref、core-case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core-backup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core-common、core-store、core-hash、core-identity、core-render、core-work、core-sign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core-sync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core-common、core-store、core-net、core-identity、core-ref、core-work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外壳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core-common、core-store、core-net、core-hash、core-image、core-identity、core-mark、core-render、core-sign、core-rights、core-work、core-case、core-guidance、core-ref、core-backup、core-sync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外壳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core-common、core-store、core-ref</w:t>
            </w:r>
          </w:p>
        </w:tc>
      </w:tr>
      <w:tr>
        <w:trPr>
          <w:cantSplit/>
          <w:tblHeader w:val="off"/>
        </w:trPr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69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</w:t>
            </w:r>
          </w:p>
        </w:tc>
        <w:tc>
          <w:tcPr>
            <w:tcW w:type="dxa" w:w="73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依赖的反转（下层定义、上层实现。不计入边）：</w:t>
      </w:r>
      <w:r>
        <w:rPr>
          <w:rFonts w:ascii="Consolas" w:eastAsia="Microsoft YaHei" w:hAnsi="Consolas"/>
        </w:rPr>
        <w:t xml:space="preserve">RecordSigner</w:t>
      </w:r>
      <w:r>
        <w:rPr>
          <w:rFonts w:ascii="Microsoft YaHei" w:eastAsia="Microsoft YaHei" w:hAnsi="Microsoft YaHei"/>
        </w:rPr>
        <w:t xml:space="preserve">（core-store定义、core-identity实现。终端编号也在此传递）、</w:t>
      </w:r>
      <w:r>
        <w:rPr>
          <w:rFonts w:ascii="Consolas" w:eastAsia="Microsoft YaHei" w:hAnsi="Consolas"/>
        </w:rPr>
        <w:t xml:space="preserve">BundleSource</w:t>
      </w:r>
      <w:r>
        <w:rPr>
          <w:rFonts w:ascii="Microsoft YaHei" w:eastAsia="Microsoft YaHei" w:hAnsi="Microsoft YaHei"/>
        </w:rPr>
        <w:t xml:space="preserve">（core-ref定义、core-sync实现）、</w:t>
      </w:r>
      <w:r>
        <w:rPr>
          <w:rFonts w:ascii="Consolas" w:eastAsia="Microsoft YaHei" w:hAnsi="Consolas"/>
        </w:rPr>
        <w:t xml:space="preserve">BundleSigner</w:t>
      </w:r>
      <w:r>
        <w:rPr>
          <w:rFonts w:ascii="Microsoft YaHei" w:eastAsia="Microsoft YaHei" w:hAnsi="Microsoft YaHei"/>
        </w:rPr>
        <w:t xml:space="preserve">（core-ref定义、app-operator实现）、界面的事件（app-client发出、ui订阅）。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只有app-client与app-operator依赖tauri。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与设计计划书 4.2“系统区块”的12个区块的对应（在设计书中划分的理由见各节）：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8"/>
        <w:gridCol w:w="7740"/>
      </w:tblGrid>
      <w:tr>
        <w:trPr>
          <w:cantSplit/>
          <w:tblHeader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设计计划书 4.2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实现的区块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签名信息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core-identity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core-store（设置）、core-work（模板）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app-client（替换）、core-ref（清单的验证）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图片编辑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core-work、core-render、ui（G-25）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批量套用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core-work、core-image（缩小图像）、core-mark（自动布局模型的运行）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权利文书制作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core-rights、ui（G-10）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签名处理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core-sign、core-mark、core-hash、core-image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交付用输出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core-sign（第3章 8.1的流程）、core-rights（随附文件）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社交平台用输出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core-sign、core-image（缩小・颜色）、core-render（可见签名）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登记・证据保全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core-case、core-net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状况确认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法律应对指引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core-guidance、core-ref（参考信息）</w:t>
            </w:r>
          </w:p>
        </w:tc>
      </w:tr>
      <w:tr>
        <w:trPr>
          <w:cantSplit/>
          <w:tblHeader w:val="off"/>
        </w:trPr>
        <w:tc>
          <w:tcPr>
            <w:tcW w:type="dxa" w:w="1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（计划书中没有、在设计书中加入的）</w:t>
            </w:r>
          </w:p>
        </w:tc>
        <w:tc>
          <w:tcPr>
            <w:tcW w:type="dxa" w:w="7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core-common（第1章 10 横切）、core-store的记录的保存与完整性（第1章 8.3、第8章 4）、core-net（第1章 4.2）、core-backup（第8章 5）、core-sync（第8章 5.4、第2章 5.5）、app-operator（第1章 19）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2.1 算法的区块（替换点）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算法（可选择方式的、以实测切换的、持有阈值的）放在持有者区块之内的trait之后，选择在各区块的1处。一览为各区块页面的“算法”表（2026-10-01 NRSD的指示）。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3. 区块的设计（页面）与时序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时序（按入口追踪何处的什么被调用的全部路线。S-01〜S-12）从时序/00_阅读方法.md的表开始。事后发现的遗漏在各文件末尾，与修正之处一起记载。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各节恰由1个区块所有。所有的节的一览与设计在各页面开头的“承担的节”。其他区块需要该节的事项时，经由所有者的桥（页面的“桥”表）。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6"/>
        <w:gridCol w:w="2168"/>
        <w:gridCol w:w="5654"/>
      </w:tblGrid>
      <w:tr>
        <w:trPr>
          <w:cantSplit/>
          <w:tblHeader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区块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页面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审核（承担的节的全文与页面的核对。从叶开始1轮）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core-common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区块/core-common.md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core-store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区块/core-store.md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core-net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区块/core-net.md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core-hash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区块/core-hash.md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core-image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区块/core-image.md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core-identity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区块/core-identity.md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core-mark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区块/core-mark.md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core-render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区块/core-render.md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core-ref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区块/core-ref.md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core-rights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区块/core-rights.md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core-work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区块/core-work.md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core-sign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区块/core-sign.md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区块/core-case.md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core-guidance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区块/core-guidance.md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core-backup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区块/core-backup.md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core-sync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区块/core-sync.md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区块/app-client.md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app-operator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区块/app-operator.md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  <w:tr>
        <w:trPr>
          <w:cantSplit/>
          <w:tblHeader w:val="off"/>
        </w:trPr>
        <w:tc>
          <w:tcPr>
            <w:tcW w:type="dxa" w:w="18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21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区块/ui.md</w:t>
            </w:r>
          </w:p>
        </w:tc>
        <w:tc>
          <w:tcPr>
            <w:tcW w:type="dxa" w:w="56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已完成 2026-10-01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不属于实现对象的节（不所有）：各章的“设计上的决定的一览”“与要求的对应”“本章声明的缺口”“对其他章的订正”、第1章 2〜5・11・14〜18.2・20〜22（语境、品质的目标、信任与威胁、品质的要求、风险、术语、运营）、第8章 6.3、第10章 2.4、第11章 2・12、第12章 2・7、第13章（设计的验证。实测与确认由测试的文件群承担）。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非区块的实现物所有的节（无页面。内容即规格的节本身）：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实现物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所有的节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公开页面（P-6）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3.3“公开页面（O-05的决定）”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参考信息（P-7）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 3.3“各国部分的骨架”、3.7“共通部分的文字草稿”、4“文字的管理”、6.3“短文的草稿（3种语言）”；第7章 2.1“初版的窗口一览（参考信息的初始内容）”、3.2.1“错误・虚假申诉的责任”、3.2.2“对方反驳的程序”、3.3.1“美国（DMCA的通知。17 U.S.C. §512(c)(3)(A)）”、3.3.2“中国（民法典 第1195条、信息网络传播权保护条例 第14条）”、3.3.3“日本（侵害信息发送防止措施的申请。著作权相关指南 第3版的样式A）”、4“各国法律的参照处”；第12章 4.1“条款的一览”、4.2“要点条款的文案（草稿）”、5.1“条款的一览”、5.2“向终端之外发送的一览”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随附的素材（P-8）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6.1“随附的字体”、6.3“表情符号”、8.4“默认模板”；第11章 4.3“素材”、4.4“TrustMark的引入”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分发物（P-9）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9.2“安装”；第9章 2.1“各OS的分发物”、5.1“预览版（供使用者试用的版本）”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仓库的骨架与CI（P-10）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3.1“代码签名”、6.2“随附的许可证声明”、6.4“版本的编法”；第11章 3“开发的环境与版本”、3.1“支持的OS的下限”、4.1“Rust的组件”、4.2“界面的组件”、5.1“允许的许可证”、5.2“获取来源与禁止”、5.3“漏洞”、6“物料清单与来源的证明”、8.1“每次变更时”、8.2“发布时”、8.3“秘密的处理”、10“版本的编法与分支的运用”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README等（P-11）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3.2“与改造版的区别”；第9章 2.2“卸载与终端的记录”、3.2“辨别方法”、5“获取途径”；第11章 9“NRSD的许可证（O-09的决定）”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运营的工具与手册（P-12）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12“对外部的依赖”、18.1“NRSD的参与点与体制”、18.3“NRSD的密钥事故”；第7章 2.2“跟进”；第8章 3.5“GitHub账号与仓库的保护”、3.6“香港镜像的运营”、6.2“中国大陆”、7“对GitHub的依赖”；第9章 6.1“步骤”、6.3“含密码技术的软件的出口管制”、6.5“发布了有错误的版本时”；第11章 5.4“更新”；第12章 4.3“变更的步骤”、8“法务调查的复审”</w:t>
            </w:r>
          </w:p>
        </w:tc>
      </w:tr>
      <w:tr>
        <w:trPr>
          <w:cantSplit/>
          <w:tblHeader w:val="off"/>
        </w:trPr>
        <w:tc>
          <w:tcPr>
            <w:tcW w:type="dxa" w:w="147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浏览器扩展（P-14）</w:t>
            </w:r>
          </w:p>
        </w:tc>
        <w:tc>
          <w:tcPr>
            <w:tcW w:type="dxa" w:w="816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第6章 2.2.2“屏幕图像的拍摄方法指引”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4. 桥与和外部的边界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桥（在区块之间传递的类型・操作）在传递目标（下层区块）页面的“桥”表中（B-编号沿用）。桥所传递类型的内容，以“由来”的节的表为定义。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要求到来时修改之处为3个：规格的md、本书与区块的页面、源码。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1862"/>
        <w:gridCol w:w="2226"/>
        <w:gridCol w:w="4720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调用方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对方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传递之物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B-320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P-14 浏览器扩展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core-case（B-182的形式）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.wacz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（URL、日期时间、屏幕图像、HTML、图片、各哈希、扩展与浏览器的版本）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B-321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P-7 参考信息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core-ref（B-229的形式）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信息包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nrsd.reference/1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index.json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、各文件（zstd）、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latest.json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、TUF的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root.json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targets.json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（委托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reference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snapshot.json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。不持有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index.json.sig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B-322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P-6 公开页面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core-identity（B-089）、core-rights（B-125）、P-13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相同的计算与相同的测试向量（声明码、Deed）、记录的JSON Schema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B-323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ui、core-common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P-4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文字文件的形式（ICU MessageFormat的JSON、3种语言）与键的编法。与XLIFF 2.1的往返为P-10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B-324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app-client、ui、core-store、P-6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P-13 开发方的文件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从边界的一览（本表）生成的命令类型、许可的一览、JSON Schema、测试向量、错误的一览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B-330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core-ref（经core-net）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（外）公开仓库・镜像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HTTPS GET：参考信息包、更新清单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B-331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app-client（Tauri的更新组件）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（外）公开仓库・镜像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HTTPS GET：分发物（core-ref验证之后）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B-332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core-sign（经core-net）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（外）TSA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RFC 3161的请求与应答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B-333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core-case（经core-net的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Http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Dns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（外）RDAP、DNS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B-334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core-case（经core-net）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（外）转载页面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 GET（仅使用者登记的URL）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B-335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core-sync（iroh）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（外）其他终端、已确认的对方、中继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以公钥呼叫的直接连接（端到端加密）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B-336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app-client（opener）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（外）电子邮件软件、默认浏览器、日历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mailto: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、URL、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.ics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B-337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core-identity（keyring）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（外）OS的密钥存储、OS的本人确认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保存・取出、确认的请求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B-338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core-case（trash）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（外）OS的回收站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移动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B-339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app-client（notification）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（外）OS的通知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B-340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app-client（deep-link、文件夹的监视）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（外）OS的URL方案、保存文件夹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接收浏览器扩展生成的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.wacz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（交给B-182）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B-341</w:t>
            </w:r>
          </w:p>
        </w:tc>
        <w:tc>
          <w:tcPr>
            <w:tcW w:type="dxa" w:w="186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22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（外）OS的代码签名验证（Windows的WinVerifyTrust、macOS的codesign。Linux无）</w:t>
            </w:r>
          </w:p>
        </w:tc>
        <w:tc>
          <w:tcPr>
            <w:tcW w:type="dxa" w:w="47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从文件手动应用的更新分发物的代码签名核对（随身套件。更新电子签名由Tauri的组件核对）、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self_signature_info()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（自身可执行文件的发布者与版本。G-23）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5. 决定的所在（决定写在规格的节中。本表为索引）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0"/>
        <w:gridCol w:w="6018"/>
      </w:tblGrid>
      <w:tr>
        <w:trPr>
          <w:cantSplit/>
          <w:tblHeader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决定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10.3・第10章 5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记录的写入者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10.2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启动时从界面传给核心的值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6.2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启动的顺序与状态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7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ONNX运行时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区块/core-mark.md（所有）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XMP・EXIF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区块/core-image.md（所有）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发布网站判定的表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3.4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参考信息各文件的形式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3.4、区块/core-ref.md（所有）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{license}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的简短表记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写在第5章 2.1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识别编号的重复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写在第3章 7.1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存放处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运营的工具在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tools/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，开发方的文件在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（与给他人看的docs/分开）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使所有归一的边界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 各页面的“依赖”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插入的值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区块/core-work.md（所有）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备份与终端的整合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区块/core-work.md・core-backup.md（所有）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订正版的随附文件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区块/core-rights.md（所有）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设置值的传递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区块/core-image.md・core-rights.md（所有）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水印模型的版本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区块/core-mark.md（所有）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个人根证书重新制作的传播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7.2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过去根证书的核对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区块/core-store.md（所有）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组件的版本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名称・版本・许可证于2026-09-30在crates.io与npm核对。功能在实现初期核对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名称中的识别编号（A-2）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写在第3章 7.1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终端链接的方式（A-6）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5.4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deep-link与OS的集成（A-7）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写在第10章 8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随身套件的分发物（A-9）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写在第9章 5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原图的备份（A-10）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5.5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自动处理与密钥（A-11、A-23）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7.4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发布网站的集合（A-15）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3.4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首次备份的存放处（A-16）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5.5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预览的样本编号（A-17）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写在第4章 3.1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订正版的生成位置（A-18）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写在第5章 2.4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未同意的使用者与最低版本（A-19）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写在第9章 4.2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过去根证书的核对（A-24）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3.6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模板的声明所在账号（A-26）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写在第4章 3.1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永久URL（A-27、A-76）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3.1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撤回的证据（A-31）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5.4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安全编号（A-36）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5.5（由个人根证书的公钥与声明码生成。不含终端密钥）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移除终端（A-38）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写在第9章 2.3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启动的顺序（A-39）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7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仅用于核验（A-40）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写在第10章 G-13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OS关机时的更新（A-41）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写在第9章 4.1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导出中途的证书变更（A-42）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7.6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以前的声明所在账号（A-43）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4.1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重新制作后的文件（A-44）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3.6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对方不使用本系统时的共同权利（A-46）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5.2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导出的队列（A-47）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写在第3章 9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临时名称与同步文件夹（A-48）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10.2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重新导出的连号与文件夹的冲突（A-49）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写在第3章 10.1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RAW原图的关联（A-50）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4.2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模板的导入（A-51）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写在第4章 8.3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图片图层的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recolor: 自动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（A-52）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写在第4章 5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订正版的辨别（A-53）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写在第5章 3.4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与多个作品的匹配（A-56）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写在第6章 4.1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撤回后的链验证（A-57）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写在第6章 7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扩展的WACZ的签名（A-58）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写在第6章 2.2.1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扩展的版本与应用未启动时（A-59）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写在第6章 2.2.2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已发送申诉的副本（A-61）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写在第6章 6.1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Flatpak版的TUF（A-64）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写在第9章 4.3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差分备份的形式（A-65）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5.1的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恢复密钥（A-66）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主终端（A-69）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5.4（不设“主终端”）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参考信息原稿的形式（A-70）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19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键的冲突（A-72）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写在第4章 9.3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记录格式的一览（A-73）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8.3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错误编号的编法（A-75）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10.3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从离线PC带出（A-79）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19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临时文件的清理（A-87）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写在第3章 9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口令的到达（A-96）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写在第8章 5.4的“从口令连接”项（以Argon2id导出的密钥公开到pkarr的DHT，以SPAKE2确认）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接收来自对方之物（A-99）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写在第2章 5.5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16位的水印（A-103）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写在第3章 5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u2netp的转换（A-107）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写在第11章 6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履历追记的上限（A-108）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写在第4章 11.3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随附文件的权利人栏（A-109）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写在第5章 3.6（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assigner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为签名者1人，主要权利人与共同权利人为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nrsd:grantor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nrsd:coRightsHolder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应用标识符（A-120）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写在第1章 9.1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扩展的发布（A-121）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写在第9章 6.1</w:t>
            </w:r>
          </w:p>
        </w:tc>
      </w:tr>
      <w:tr>
        <w:trPr>
          <w:cantSplit/>
          <w:tblHeader w:val="off"/>
        </w:trPr>
        <w:tc>
          <w:tcPr>
            <w:tcW w:type="dxa" w:w="36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更新分发物的临时存放处（A-122）</w:t>
            </w:r>
          </w:p>
        </w:tc>
        <w:tc>
          <w:tcPr>
            <w:tcW w:type="dxa" w:w="60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写在第9章 4.1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6. NRSD准备之物（实现的前提）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GitHub的组织与保护（第8章 3.5、第11章 8.3）。Artifact Signing与Apple Developer Program（第9章 3.1）。更新电子签名的密钥（第9章 DD-9-4）。参考信息电子签名的密钥（硬件令牌2个。第8章 3.4）。香港的镜像（第8章 3.6）。接受指摘的电子邮件窗口（第10章 9、第12章 5）。文字的专家确认（第12章 DD-12-10）。试用的参加者（第10章 2.4）。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7. 核对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判断通过阅读正文进行（CLAUDE.local.md 2“不以工具的输出为依据”）。claude_plan/impl的工具只用作行号的索引。境界.tsv于2026-10-01溶入区块的页面后删除（check_bridges.py失去对象，不使用）。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整体实现设计书（第16稿・2026-10-01）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整体实现设计书（第16稿・2026-10-01）</dc:title>
  <dc:creator>石川宗</dc:creator>
  <cp:lastModifiedBy>Un-named</cp:lastModifiedBy>
  <cp:revision>1</cp:revision>
  <dcterms:created xsi:type="dcterms:W3CDTF">2026-10-01T17:08:30.479Z</dcterms:created>
  <dcterms:modified xsi:type="dcterms:W3CDTF">2026-10-01T17:08:30.479Z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