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core-hash (business)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3, 6 Matching hashes (PDQ, ISCC, guide distances, 8 orientations, quality score)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Sha256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+sha256_file(path) 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+sha256_bytes(bytes) Hash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Pdq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+hash(pixels: &amp;Pixels) PdqHash</w:t>
      </w:r>
      <w:r>
        <w:rPr>
          <w:rFonts w:ascii="Calibri" w:eastAsia="Yu Gothic" w:hAnsi="Calibri"/>
        </w:rPr>
        <w:t xml:space="preserve">　original orientation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+hash_all_orientations(pixels) [PdqHash; 8]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+distance(a, b) u32</w:t>
      </w:r>
      <w:r>
        <w:rPr>
          <w:rFonts w:ascii="Calibri" w:eastAsia="Yu Gothic" w:hAnsi="Calibri"/>
        </w:rPr>
        <w:t xml:space="preserve">　Hamming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+quality(pixels) u8</w:t>
      </w:r>
      <w:r>
        <w:rPr>
          <w:rFonts w:ascii="Calibri" w:eastAsia="Yu Gothic" w:hAnsi="Calibri"/>
        </w:rPr>
        <w:t xml:space="preserve">　0 to 100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PdqHash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+[u8; 32] bits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quality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Iscc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+compute(pixels, bytes) IsccCode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+content_match(a, b) bool</w:t>
      </w:r>
      <w:r>
        <w:rPr>
          <w:rFonts w:ascii="Calibri" w:eastAsia="Yu Gothic" w:hAnsi="Calibri"/>
        </w:rPr>
        <w:t xml:space="preserve">　exact match of the Content-Code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IsccCode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content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instance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PerceptualHash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+fingerprint(pixels) Fingerprint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+similarity(a, b) Similarity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"/>
        <w:gridCol w:w="3881"/>
        <w:gridCol w:w="3150"/>
        <w:gridCol w:w="1876"/>
      </w:tblGrid>
      <w:tr>
        <w:trPr>
          <w:cantSplit/>
          <w:tblHeader/>
        </w:trPr>
        <w:tc>
          <w:tcPr>
            <w:tcW w:type="dxa" w:w="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8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31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1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B-050</w:t>
            </w:r>
          </w:p>
        </w:tc>
        <w:tc>
          <w:tcPr>
            <w:tcW w:type="dxa" w:w="38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Sha256</w:t>
            </w:r>
          </w:p>
        </w:tc>
        <w:tc>
          <w:tcPr>
            <w:tcW w:type="dxa" w:w="31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case, work, backup, rights, image, app-client (SHA256SUMS)</w:t>
            </w:r>
          </w:p>
        </w:tc>
        <w:tc>
          <w:tcPr>
            <w:tcW w:type="dxa" w:w="1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2</w:t>
            </w:r>
          </w:p>
        </w:tc>
      </w:tr>
      <w:tr>
        <w:trPr>
          <w:cantSplit/>
          <w:tblHeader w:val="off"/>
        </w:trPr>
        <w:tc>
          <w:tcPr>
            <w:tcW w:type="dxa" w:w="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B-051</w:t>
            </w:r>
          </w:p>
        </w:tc>
        <w:tc>
          <w:tcPr>
            <w:tcW w:type="dxa" w:w="38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Pdq</w:t>
            </w:r>
          </w:p>
        </w:tc>
        <w:tc>
          <w:tcPr>
            <w:tcW w:type="dxa" w:w="31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case</w:t>
            </w:r>
          </w:p>
        </w:tc>
        <w:tc>
          <w:tcPr>
            <w:tcW w:type="dxa" w:w="1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6; Chapter 6, 4</w:t>
            </w:r>
          </w:p>
        </w:tc>
      </w:tr>
      <w:tr>
        <w:trPr>
          <w:cantSplit/>
          <w:tblHeader w:val="off"/>
        </w:trPr>
        <w:tc>
          <w:tcPr>
            <w:tcW w:type="dxa" w:w="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B-052</w:t>
            </w:r>
          </w:p>
        </w:tc>
        <w:tc>
          <w:tcPr>
            <w:tcW w:type="dxa" w:w="38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Iscc</w:t>
            </w:r>
          </w:p>
        </w:tc>
        <w:tc>
          <w:tcPr>
            <w:tcW w:type="dxa" w:w="31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case</w:t>
            </w:r>
          </w:p>
        </w:tc>
        <w:tc>
          <w:tcPr>
            <w:tcW w:type="dxa" w:w="18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thresholds (distances 15 and 31, quality 50) are not held by this block. The judgment is core-case's </w:t>
      </w:r>
      <w:r>
        <w:rPr>
          <w:rFonts w:ascii="Consolas" w:eastAsia="Yu Gothic" w:hAnsi="Consolas"/>
        </w:rPr>
        <w:t xml:space="preserve">MatchPolicy</w:t>
      </w:r>
      <w:r>
        <w:rPr>
          <w:rFonts w:ascii="Calibri" w:eastAsia="Yu Gothic" w:hAnsi="Calibri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Pixels</w:t>
      </w:r>
      <w:r>
        <w:rPr>
          <w:rFonts w:ascii="Calibri" w:eastAsia="Yu Gothic" w:hAnsi="Calibri"/>
        </w:rPr>
        <w:t xml:space="preserve"> is core-common's </w:t>
      </w:r>
      <w:r>
        <w:rPr>
          <w:rFonts w:ascii="Consolas" w:eastAsia="Yu Gothic" w:hAnsi="Consolas"/>
        </w:rPr>
        <w:t xml:space="preserve">Pixels8</w:t>
      </w:r>
      <w:r>
        <w:rPr>
          <w:rFonts w:ascii="Calibri" w:eastAsia="Yu Gothic" w:hAnsi="Calibri"/>
        </w:rPr>
        <w:t xml:space="preserve"> (B-014). It is made from core-image's </w:t>
      </w:r>
      <w:r>
        <w:rPr>
          <w:rFonts w:ascii="Consolas" w:eastAsia="Yu Gothic" w:hAnsi="Consolas"/>
        </w:rPr>
        <w:t xml:space="preserve">Image</w:t>
      </w:r>
      <w:r>
        <w:rPr>
          <w:rFonts w:ascii="Calibri" w:eastAsia="Yu Gothic" w:hAnsi="Calibri"/>
        </w:rPr>
        <w:t xml:space="preserve"> and passed by the caller (core-hash does not depend on core-image).</w:t>
      </w: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4606"/>
        <w:gridCol w:w="1462"/>
        <w:gridCol w:w="1850"/>
      </w:tblGrid>
      <w:tr>
        <w:trPr>
          <w:cantSplit/>
          <w:tblHeader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6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PerceptualHash</w:t>
            </w:r>
          </w:p>
        </w:tc>
        <w:tc>
          <w:tcPr>
            <w:tcW w:type="dxa" w:w="46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PDQ (pdqhash; pdq-rs if it does not match the upstream test values), ISCC (iscc-lib)</w:t>
            </w:r>
          </w:p>
        </w:tc>
        <w:tc>
          <w:tcPr>
            <w:tcW w:type="dxa" w:w="1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Both are always computed</w:t>
            </w:r>
          </w:p>
        </w:tc>
        <w:tc>
          <w:tcPr>
            <w:tcW w:type="dxa" w:w="1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6; Chapter 11, DD-11-4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This block writes no records. Form of values: PDQ is 256 bits (64 hexadecimal characters) plus the quality score; ISCC is the three strings of ISO 24138. They are recorded in work data (Chapter 3, 7.2; core-sign's page) and case records (Chapter 6, 2.4; core-case's page).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core-hash (business)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c5d6b46db1236b9ec2a56eb4a446282b646de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core-hash (business)</dc:title>
  <dc:creator>Ishikawa Sou</dc:creator>
  <cp:lastModifiedBy>Un-named</cp:lastModifiedBy>
  <cp:revision>1</cp:revision>
  <dcterms:created xsi:type="dcterms:W3CDTF">2026-10-01T17:07:58.826Z</dcterms:created>
  <dcterms:modified xsi:type="dcterms:W3CDTF">2026-10-01T17:07:58.826Z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