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Anti-Repost Tool for Cosplay Photos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345A8A"/>
          <w:sz w:val="40"/>
          <w:szCs w:val="40"/>
        </w:rPr>
        <w:t xml:space="preserve">core-mark (business; invisible watermark, shared ONNX runtime)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Edition 1 (Draft)  2026-09-29 · Ishikawa Sou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Nagareyama Software Development Co., Ltd. (NRSD)</w:t>
      </w:r>
    </w:p>
    <w:p>
      <w:pPr>
        <w:spacing w:before="2400" w:line="30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© 2026 Nagareyama Software Development Co., Ltd. (NRSD), Lead Developer: Ishikawa Sou (石川宗). Copyright in this document belongs to Nagareyama Software Development Co., Ltd. (NRSD). Rights in the third-party standards, software, commentaries on laws, and other materials referred to in this document belong to their respective holders. This is a translation of the Japanese original; where they differ, the Japanese original prevails.</w:t>
      </w:r>
    </w:p>
    <w:p>
      <w:pPr>
        <w:pageBreakBefore/>
        <w:spacing w:after="240"/>
      </w:pPr>
      <w:r>
        <w:rPr>
          <w:rFonts w:ascii="Calibri" w:cs="Calibri" w:eastAsia="Calibri" w:hAnsi="Calibri"/>
          <w:b/>
          <w:bCs/>
          <w:color w:val="345A8A"/>
          <w:sz w:val="30"/>
          <w:szCs w:val="30"/>
        </w:rPr>
        <w:t xml:space="preserve">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Sections taken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Dependencies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Class diagram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Bridges (operations owned by this block)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Algorithms (behind traits)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Data design</w:t>
      </w:r>
    </w:p>
    <w:p>
      <w:r>
        <w:br w:type="page"/>
      </w:r>
    </w:p>
    <w:p>
      <w:pPr>
        <w:pStyle w:val="Heading1"/>
      </w:pPr>
      <w:r>
        <w:rPr>
          <w:rFonts w:ascii="Calibri" w:eastAsia="Yu Gothic" w:hAnsi="Calibri"/>
        </w:rPr>
        <w:t xml:space="preserve">Sections taken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3, 5 Invisible watermark (method, reading in 8 orientations, inference limits, bundled hash check, 16-bit, processing time)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Roles and external components: Chapter 11, 7.1, DD-11-14</w:t>
      </w:r>
    </w:p>
    <w:p>
      <w:pPr>
        <w:pStyle w:val="Heading1"/>
      </w:pPr>
      <w:r>
        <w:rPr>
          <w:rFonts w:ascii="Calibri" w:eastAsia="Yu Gothic" w:hAnsi="Calibri"/>
        </w:rPr>
        <w:t xml:space="preserve">Dependencies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Below: core-common (</w:t>
      </w:r>
      <w:r>
        <w:rPr>
          <w:rFonts w:ascii="Consolas" w:eastAsia="Yu Gothic" w:hAnsi="Consolas"/>
        </w:rPr>
        <w:t xml:space="preserve">WorkId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Fault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Pixels8</w:t>
      </w:r>
      <w:r>
        <w:rPr>
          <w:rFonts w:ascii="Calibri" w:eastAsia="Yu Gothic" w:hAnsi="Calibri"/>
        </w:rPr>
        <w:t xml:space="preserve">), core-image (</w:t>
      </w:r>
      <w:r>
        <w:rPr>
          <w:rFonts w:ascii="Consolas" w:eastAsia="Yu Gothic" w:hAnsi="Consolas"/>
        </w:rPr>
        <w:t xml:space="preserve">Image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ColorEngine::to_8bit</w:t>
      </w:r>
      <w:r>
        <w:rPr>
          <w:rFonts w:ascii="Calibri" w:eastAsia="Yu Gothic" w:hAnsi="Calibri"/>
        </w:rPr>
        <w:t xml:space="preserve">: handling of the 16-bit residual).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Loading and sharing the ONNX runtime belongs to this block; core-work's auto-placement (u2netp) also uses </w:t>
      </w:r>
      <w:r>
        <w:rPr>
          <w:rFonts w:ascii="Consolas" w:eastAsia="Yu Gothic" w:hAnsi="Consolas"/>
        </w:rPr>
        <w:t xml:space="preserve">Onnx::session</w:t>
      </w:r>
      <w:r>
        <w:rPr>
          <w:rFonts w:ascii="Calibri" w:eastAsia="Yu Gothic" w:hAnsi="Calibri"/>
        </w:rPr>
        <w:t xml:space="preserve"> (only the model in use is loaded; Chapter 3, 5).</w:t>
      </w:r>
    </w:p>
    <w:p>
      <w:pPr>
        <w:pStyle w:val="Heading1"/>
      </w:pPr>
      <w:r>
        <w:rPr>
          <w:rFonts w:ascii="Calibri" w:eastAsia="Yu Gothic" w:hAnsi="Calibri"/>
        </w:rPr>
        <w:t xml:space="preserve">Class diagram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Watermark</w:t>
      </w:r>
      <w:r>
        <w:rPr>
          <w:rFonts w:ascii="Calibri" w:eastAsia="Yu Gothic" w:hAnsi="Calibr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+embed(pixels: Pixels8, id: WorkId) Result&lt;(Pixels8, SoftBindingValue), Event&gt;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+extract(pixels: Pixels8) Option&lt;WorkId&gt;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+model_info() ModelInfo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TrustMark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+Variant variant</w:t>
      </w:r>
      <w:r>
        <w:rPr>
          <w:rFonts w:ascii="Calibri" w:eastAsia="Yu Gothic" w:hAnsi="Calibri"/>
        </w:rPr>
        <w:t xml:space="preserve">　Q / P / 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model_version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ModelInfo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+Variant variant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model_version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 encoder_sha256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+Hash decoder_sha256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SoftBindingValue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+Bytes bits</w:t>
      </w:r>
      <w:r>
        <w:rPr>
          <w:rFonts w:ascii="Calibri" w:eastAsia="Yu Gothic" w:hAnsi="Calibri"/>
        </w:rPr>
        <w:t xml:space="preserve">　the value of c2pa.soft-binding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Embedder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+embed_image(image: Image, id: WorkId) (Image, SoftBindingValue)</w:t>
      </w:r>
      <w:r>
        <w:rPr>
          <w:rFonts w:ascii="Calibri" w:eastAsia="Yu Gothic" w:hAnsi="Calibri"/>
        </w:rPr>
        <w:t xml:space="preserve">　16-bit is residual x 257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+extract_image(image: Image, all_orientations: bool) Option&lt;WorkId&gt;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Onnx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+session(model: ModelName) Session</w:t>
      </w:r>
      <w:r>
        <w:rPr>
          <w:rFonts w:ascii="Calibri" w:eastAsia="Yu Gothic" w:hAnsi="Calibri"/>
        </w:rPr>
        <w:t xml:space="preserve">　shared loading, memory limit, released after 5 minutes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+verify_runtime() Result&lt;(), Fault&gt;</w:t>
      </w:r>
      <w:r>
        <w:rPr>
          <w:rFonts w:ascii="Calibri" w:eastAsia="Yu Gothic" w:hAnsi="Calibri"/>
        </w:rPr>
        <w:t xml:space="preserve">　check against the bundled SHA-256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+usage() Usage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Session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+run(inputs) outputs</w:t>
      </w:r>
      <w:r>
        <w:rPr>
          <w:rFonts w:ascii="Calibri" w:eastAsia="Yu Gothic" w:hAnsi="Calibri"/>
        </w:rPr>
        <w:t xml:space="preserve">　at most 2 concurrent inferences, intra-op min(4, cores)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ModelName</w:t>
      </w:r>
      <w:r>
        <w:rPr>
          <w:rFonts w:ascii="Calibri" w:eastAsia="Yu Gothic" w:hAnsi="Calibri"/>
        </w:rPr>
        <w:t xml:space="preserve">（enumeration）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TrustMarkEncoder TrustMarkDecoder U2netp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500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Figure：Class relationships（Class diagram）</w:t>
      </w:r>
    </w:p>
    <w:p>
      <w:pPr>
        <w:pStyle w:val="Heading1"/>
      </w:pPr>
      <w:r>
        <w:rPr>
          <w:rFonts w:ascii="Calibri" w:eastAsia="Yu Gothic" w:hAnsi="Calibri"/>
        </w:rPr>
        <w:t xml:space="preserve">Bridges (operations owned by this block)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4933"/>
        <w:gridCol w:w="1824"/>
        <w:gridCol w:w="2140"/>
      </w:tblGrid>
      <w:tr>
        <w:trPr>
          <w:cantSplit/>
          <w:tblHeader/>
        </w:trPr>
        <w:tc>
          <w:tcPr>
            <w:tcW w:type="dxa" w:w="7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9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Operation (in the diagram above)</w:t>
            </w:r>
          </w:p>
        </w:tc>
        <w:tc>
          <w:tcPr>
            <w:tcW w:type="dxa" w:w="18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Used by</w:t>
            </w:r>
          </w:p>
        </w:tc>
        <w:tc>
          <w:tcPr>
            <w:tcW w:type="dxa" w:w="21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7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B-100</w:t>
            </w:r>
          </w:p>
        </w:tc>
        <w:tc>
          <w:tcPr>
            <w:tcW w:type="dxa" w:w="49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Embedder::embed_image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Watermark::model_info</w:t>
            </w:r>
          </w:p>
        </w:tc>
        <w:tc>
          <w:tcPr>
            <w:tcW w:type="dxa" w:w="18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1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5</w:t>
            </w:r>
          </w:p>
        </w:tc>
      </w:tr>
      <w:tr>
        <w:trPr>
          <w:cantSplit/>
          <w:tblHeader w:val="off"/>
        </w:trPr>
        <w:tc>
          <w:tcPr>
            <w:tcW w:type="dxa" w:w="7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B-101</w:t>
            </w:r>
          </w:p>
        </w:tc>
        <w:tc>
          <w:tcPr>
            <w:tcW w:type="dxa" w:w="49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Embedder::extract_image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(matching reads 8 orientations; read-back only the original orientation)</w:t>
            </w:r>
          </w:p>
        </w:tc>
        <w:tc>
          <w:tcPr>
            <w:tcW w:type="dxa" w:w="18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sign, case</w:t>
            </w:r>
          </w:p>
        </w:tc>
        <w:tc>
          <w:tcPr>
            <w:tcW w:type="dxa" w:w="21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5; Chapter 6, 4</w:t>
            </w:r>
          </w:p>
        </w:tc>
      </w:tr>
      <w:tr>
        <w:trPr>
          <w:cantSplit/>
          <w:tblHeader w:val="off"/>
        </w:trPr>
        <w:tc>
          <w:tcPr>
            <w:tcW w:type="dxa" w:w="7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B-102</w:t>
            </w:r>
          </w:p>
        </w:tc>
        <w:tc>
          <w:tcPr>
            <w:tcW w:type="dxa" w:w="49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Onnx::session</w:t>
            </w:r>
          </w:p>
        </w:tc>
        <w:tc>
          <w:tcPr>
            <w:tcW w:type="dxa" w:w="18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work, app-client (lazy loading at start)</w:t>
            </w:r>
          </w:p>
        </w:tc>
        <w:tc>
          <w:tcPr>
            <w:tcW w:type="dxa" w:w="21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5</w:t>
            </w:r>
          </w:p>
        </w:tc>
      </w:tr>
      <w:tr>
        <w:trPr>
          <w:cantSplit/>
          <w:tblHeader w:val="off"/>
        </w:trPr>
        <w:tc>
          <w:tcPr>
            <w:tcW w:type="dxa" w:w="7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B-103</w:t>
            </w:r>
          </w:p>
        </w:tc>
        <w:tc>
          <w:tcPr>
            <w:tcW w:type="dxa" w:w="49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Onnx::verify_runtime</w:t>
            </w:r>
          </w:p>
        </w:tc>
        <w:tc>
          <w:tcPr>
            <w:tcW w:type="dxa" w:w="182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1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5 and DD-11-14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The watermark variant and model version are recorded in the </w:t>
      </w:r>
      <w:r>
        <w:rPr>
          <w:rFonts w:ascii="Consolas" w:eastAsia="Yu Gothic" w:hAnsi="Consolas"/>
        </w:rPr>
        <w:t xml:space="preserve">app</w:t>
      </w:r>
      <w:r>
        <w:rPr>
          <w:rFonts w:ascii="Calibri" w:eastAsia="Yu Gothic" w:hAnsi="Calibri"/>
        </w:rPr>
        <w:t xml:space="preserve"> of the output's work data and case records (core-sign and core-case copy them from </w:t>
      </w:r>
      <w:r>
        <w:rPr>
          <w:rFonts w:ascii="Consolas" w:eastAsia="Yu Gothic" w:hAnsi="Consolas"/>
        </w:rPr>
        <w:t xml:space="preserve">model_info()</w:t>
      </w:r>
      <w:r>
        <w:rPr>
          <w:rFonts w:ascii="Calibri" w:eastAsia="Yu Gothic" w:hAnsi="Calibri"/>
        </w:rPr>
        <w:t xml:space="preserve">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Onnx::session(model)</w:t>
      </w:r>
      <w:r>
        <w:rPr>
          <w:rFonts w:ascii="Calibri" w:eastAsia="Yu Gothic" w:hAnsi="Calibri"/>
        </w:rPr>
        <w:t xml:space="preserve"> does not hold the watermark and auto-placement models at the same time (loads the one in use and releases the other; Chapter 4, 14.4). The ONNX runtime is loaded dynamically (ort's </w:t>
      </w:r>
      <w:r>
        <w:rPr>
          <w:rFonts w:ascii="Consolas" w:eastAsia="Yu Gothic" w:hAnsi="Consolas"/>
        </w:rPr>
        <w:t xml:space="preserve">load-dynamic</w:t>
      </w:r>
      <w:r>
        <w:rPr>
          <w:rFonts w:ascii="Calibri" w:eastAsia="Yu Gothic" w:hAnsi="Calibri"/>
        </w:rPr>
        <w:t xml:space="preserve">). If </w:t>
      </w:r>
      <w:r>
        <w:rPr>
          <w:rFonts w:ascii="Consolas" w:eastAsia="Yu Gothic" w:hAnsi="Consolas"/>
        </w:rPr>
        <w:t xml:space="preserve">verify_runtime</w:t>
      </w:r>
      <w:r>
        <w:rPr>
          <w:rFonts w:ascii="Calibri" w:eastAsia="Yu Gothic" w:hAnsi="Calibri"/>
        </w:rPr>
        <w:t xml:space="preserve"> does not match, it is a </w:t>
      </w:r>
      <w:r>
        <w:rPr>
          <w:rFonts w:ascii="Consolas" w:eastAsia="Yu Gothic" w:hAnsi="Consolas"/>
        </w:rPr>
        <w:t xml:space="preserve">Fault</w:t>
      </w:r>
      <w:r>
        <w:rPr>
          <w:rFonts w:ascii="Calibri" w:eastAsia="Yu Gothic" w:hAnsi="Calibri"/>
        </w:rPr>
        <w:t xml:space="preserve"> (anomaly detection) and no output without a watermark is produced (Chapter 3, 5).</w:t>
      </w:r>
    </w:p>
    <w:p>
      <w:pPr>
        <w:pStyle w:val="Heading1"/>
      </w:pPr>
      <w:r>
        <w:rPr>
          <w:rFonts w:ascii="Calibri" w:eastAsia="Yu Gothic" w:hAnsi="Calibri"/>
        </w:rPr>
        <w:t xml:space="preserve">Algorithms (behind traits)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0"/>
        <w:gridCol w:w="2053"/>
        <w:gridCol w:w="4682"/>
        <w:gridCol w:w="1683"/>
      </w:tblGrid>
      <w:tr>
        <w:trPr>
          <w:cantSplit/>
          <w:tblHeader/>
        </w:trPr>
        <w:tc>
          <w:tcPr>
            <w:tcW w:type="dxa" w:w="12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20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46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Switching</w:t>
            </w:r>
          </w:p>
        </w:tc>
        <w:tc>
          <w:tcPr>
            <w:tcW w:type="dxa" w:w="16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12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Watermark</w:t>
            </w:r>
          </w:p>
        </w:tc>
        <w:tc>
          <w:tcPr>
            <w:tcW w:type="dxa" w:w="205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TrustMark Q (default), P, C</w:t>
            </w:r>
          </w:p>
        </w:tc>
        <w:tc>
          <w:tcPr>
            <w:tcW w:type="dxa" w:w="46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Decided by measurement, fixed per version (recorded in the output)</w:t>
            </w:r>
          </w:p>
        </w:tc>
        <w:tc>
          <w:tcPr>
            <w:tcW w:type="dxa" w:w="16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3, DD-3-2 and 5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Calibri" w:eastAsia="Yu Gothic" w:hAnsi="Calibri"/>
        </w:rPr>
        <w:t xml:space="preserve">Data design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This block writes no records. Bundled assets (P-8): </w:t>
      </w:r>
      <w:r>
        <w:rPr>
          <w:rFonts w:ascii="Consolas" w:eastAsia="Yu Gothic" w:hAnsi="Consolas"/>
        </w:rPr>
        <w:t xml:space="preserve">assets/models/encoder_Q.onnx</w:t>
      </w:r>
      <w:r>
        <w:rPr>
          <w:rFonts w:ascii="Calibri" w:eastAsia="Yu Gothic" w:hAnsi="Calibri"/>
        </w:rPr>
        <w:t xml:space="preserve"> and </w:t>
      </w:r>
      <w:r>
        <w:rPr>
          <w:rFonts w:ascii="Consolas" w:eastAsia="Yu Gothic" w:hAnsi="Consolas"/>
        </w:rPr>
        <w:t xml:space="preserve">decoder_Q.onnx</w:t>
      </w:r>
      <w:r>
        <w:rPr>
          <w:rFonts w:ascii="Calibri" w:eastAsia="Yu Gothic" w:hAnsi="Calibri"/>
        </w:rPr>
        <w:t xml:space="preserve"> (Chapter 11, 4.3), the shared ONNX runtime component. The expected SHA-256 values are embedded at build time from </w:t>
      </w:r>
      <w:r>
        <w:rPr>
          <w:rFonts w:ascii="Consolas" w:eastAsia="Yu Gothic" w:hAnsi="Consolas"/>
        </w:rPr>
        <w:t xml:space="preserve">assets/manifest.json</w:t>
      </w:r>
      <w:r>
        <w:rPr>
          <w:rFonts w:ascii="Calibri" w:eastAsia="Yu Gothic" w:hAnsi="Calibri"/>
        </w:rPr>
        <w:t xml:space="preserve"> (Chapter 11, 6).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Form of values: </w:t>
      </w:r>
      <w:r>
        <w:rPr>
          <w:rFonts w:ascii="Consolas" w:eastAsia="Yu Gothic" w:hAnsi="Consolas"/>
        </w:rPr>
        <w:t xml:space="preserve">SoftBindingValue</w:t>
      </w:r>
      <w:r>
        <w:rPr>
          <w:rFonts w:ascii="Calibri" w:eastAsia="Yu Gothic" w:hAnsi="Calibri"/>
        </w:rPr>
        <w:t xml:space="preserve"> is the embedded bit string (the 61 data bits of TrustMark BCH_5). Recording in the manifest is core-sign (Chapter 3, 3.1).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Anti-Repost Tool for Cosplay Photos core-mark (business; invisible watermark, shared ONNX runtime)  Edition 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1"/>
        <w:szCs w:val="21"/>
        <w:lang w:val="en-US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16ac5b667ebf5ef219359fcc3ed15086b055db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core-mark (business; invisible watermark, shared ONNX runtime)</dc:title>
  <dc:creator>Ishikawa Sou</dc:creator>
  <cp:lastModifiedBy>Un-named</cp:lastModifiedBy>
  <cp:revision>1</cp:revision>
  <dcterms:created xsi:type="dcterms:W3CDTF">2026-10-01T17:08:00.616Z</dcterms:created>
  <dcterms:modified xsi:type="dcterms:W3CDTF">2026-10-01T17:08:00.616Z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