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Anti-Repost Tool for Cosplay Photos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345A8A"/>
          <w:sz w:val="40"/>
          <w:szCs w:val="40"/>
        </w:rPr>
        <w:t xml:space="preserve">S-05 Registering a repost (G-14), cases (G-15 and G-16)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Edition 1 (Draft)  2026-09-29 · Ishikawa Sou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Nagareyama Software Development Co., Ltd. (NRSD)</w:t>
      </w:r>
    </w:p>
    <w:p>
      <w:pPr>
        <w:spacing w:before="2400" w:line="30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© 2026 Nagareyama Software Development Co., Ltd. (NRSD), Lead Developer: Ishikawa Sou (石川宗). Copyright in this document belongs to Nagareyama Software Development Co., Ltd. (NRSD). Rights in the third-party standards, software, commentaries on laws, and other materials referred to in this document belong to their respective holders. This is a translation of the Japanese original; where they differ, the Japanese original prevails.</w:t>
      </w:r>
    </w:p>
    <w:p>
      <w:pPr>
        <w:pageBreakBefore/>
        <w:spacing w:after="240"/>
      </w:pPr>
      <w:r>
        <w:rPr>
          <w:rFonts w:ascii="Calibri" w:cs="Calibri" w:eastAsia="Calibri" w:hAnsi="Calibri"/>
          <w:b/>
          <w:bCs/>
          <w:color w:val="345A8A"/>
          <w:sz w:val="30"/>
          <w:szCs w:val="30"/>
        </w:rPr>
        <w:t xml:space="preserve">Contents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S-05a The registration screen (steps 1 to 5)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S-05b Registering (step 6; a mark in state/ per step)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S-05c Case list, details, current state, withdrawal, evidence set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Gaps (found later and fixed)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Calibri" w:eastAsia="Yu Gothic" w:hAnsi="Calibri"/>
        </w:rPr>
        <w:t xml:space="preserve">Origin: Chapter 1, 7.3; Chapter 6, 2.1 (steps 1 to 6), 2.2, 2.2.1, 2.2.2, 2.4, 2.5, 3.2, 3.3, 3.4, 4, 5, 6, and 7; Chapter 10, G-14 to G-16.</w:t>
      </w:r>
    </w:p>
    <w:p>
      <w:pPr>
        <w:pStyle w:val="Heading1"/>
      </w:pPr>
      <w:r>
        <w:rPr>
          <w:rFonts w:ascii="Calibri" w:eastAsia="Yu Gothic" w:hAnsi="Calibri"/>
        </w:rPr>
        <w:t xml:space="preserve">S-05a The registration screen (steps 1 to 5)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Figure：S-05a The registration screen (steps 1 to 5)</w:t>
      </w:r>
    </w:p>
    <w:p>
      <w:pPr>
        <w:pStyle w:val="Heading1"/>
      </w:pPr>
      <w:r>
        <w:rPr>
          <w:rFonts w:ascii="Calibri" w:eastAsia="Yu Gothic" w:hAnsi="Calibri"/>
        </w:rPr>
        <w:t xml:space="preserve">S-05b Registering (step 6; a mark in state/ per step)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1719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Figure：S-05b Registering (step 6; a mark in state/ per step)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952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Figure：S-05b Registering (step 6; a mark in state/ per step)（continued 1）</w:t>
      </w:r>
    </w:p>
    <w:p>
      <w:pPr>
        <w:pStyle w:val="Heading1"/>
      </w:pPr>
      <w:r>
        <w:rPr>
          <w:rFonts w:ascii="Calibri" w:eastAsia="Yu Gothic" w:hAnsi="Calibri"/>
        </w:rPr>
        <w:t xml:space="preserve">S-05c Case list, details, current state, withdrawal, evidence set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5053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Figure：S-05c Case list, details, current state, withdrawal, evidence set</w:t>
      </w:r>
    </w:p>
    <w:p>
      <w:pPr>
        <w:pStyle w:val="Heading1"/>
      </w:pPr>
      <w:r>
        <w:rPr>
          <w:rFonts w:ascii="Calibri" w:eastAsia="Yu Gothic" w:hAnsi="Calibri"/>
        </w:rPr>
        <w:t xml:space="preserve">Gaps (found later and fixed)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The form in which app-client passes the </w:t>
      </w:r>
      <w:r>
        <w:rPr>
          <w:rFonts w:ascii="Consolas" w:eastAsia="Yu Gothic" w:hAnsi="Consolas"/>
        </w:rPr>
        <w:t xml:space="preserve">refs</w:t>
      </w:r>
      <w:r>
        <w:rPr>
          <w:rFonts w:ascii="Calibri" w:eastAsia="Yu Gothic" w:hAnsi="Calibri"/>
        </w:rPr>
        <w:t xml:space="preserve"> of </w:t>
      </w:r>
      <w:r>
        <w:rPr>
          <w:rFonts w:ascii="Consolas" w:eastAsia="Yu Gothic" w:hAnsi="Consolas"/>
        </w:rPr>
        <w:t xml:space="preserve">register</w:t>
      </w:r>
      <w:r>
        <w:rPr>
          <w:rFonts w:ascii="Calibri" w:eastAsia="Yu Gothic" w:hAnsi="Calibri"/>
        </w:rPr>
        <w:t xml:space="preserve"> (the reference information's contact point list, detection table, RDAP bootstrap, </w:t>
      </w:r>
      <w:r>
        <w:rPr>
          <w:rFonts w:ascii="Consolas" w:eastAsia="Yu Gothic" w:hAnsi="Consolas"/>
        </w:rPr>
        <w:t xml:space="preserve">tsa.json</w:t>
      </w:r>
      <w:r>
        <w:rPr>
          <w:rFonts w:ascii="Calibri" w:eastAsia="Yu Gothic" w:hAnsi="Calibri"/>
        </w:rPr>
        <w:t xml:space="preserve">) is in the dependencies of core-case.md, but the argument name of </w:t>
      </w:r>
      <w:r>
        <w:rPr>
          <w:rFonts w:ascii="Consolas" w:eastAsia="Yu Gothic" w:hAnsi="Consolas"/>
        </w:rPr>
        <w:t xml:space="preserve">Registrar::register</w:t>
      </w:r>
      <w:r>
        <w:rPr>
          <w:rFonts w:ascii="Calibri" w:eastAsia="Yu Gothic" w:hAnsi="Calibri"/>
        </w:rPr>
        <w:t xml:space="preserve"> was </w:t>
      </w:r>
      <w:r>
        <w:rPr>
          <w:rFonts w:ascii="Consolas" w:eastAsia="Yu Gothic" w:hAnsi="Consolas"/>
        </w:rPr>
        <w:t xml:space="preserve">refs: RefBundle</w:t>
      </w:r>
      <w:r>
        <w:rPr>
          <w:rFonts w:ascii="Calibri" w:eastAsia="Yu Gothic" w:hAnsi="Calibri"/>
        </w:rPr>
        <w:t xml:space="preserve">, pointing to core-ref's type, so, because core-case does not depend on core-ref, it was changed to a type holding only the needed tables, </w:t>
      </w:r>
      <w:r>
        <w:rPr>
          <w:rFonts w:ascii="Consolas" w:eastAsia="Yu Gothic" w:hAnsi="Consolas"/>
        </w:rPr>
        <w:t xml:space="preserve">CaseRefs { platforms, rdap_bootstrap, tsa }</w:t>
      </w:r>
      <w:r>
        <w:rPr>
          <w:rFonts w:ascii="Calibri" w:eastAsia="Yu Gothic" w:hAnsi="Calibri"/>
        </w:rPr>
        <w:t xml:space="preserve"> (the diagram of core-case.md).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Where the check of the 1 GB evidence total (Chapter 6, 2.4) stops within the flow of step 6 was unclear, so </w:t>
      </w:r>
      <w:r>
        <w:rPr>
          <w:rFonts w:ascii="Consolas" w:eastAsia="Yu Gothic" w:hAnsi="Consolas"/>
        </w:rPr>
        <w:t xml:space="preserve">Cases::evidence_size</w:t>
      </w:r>
      <w:r>
        <w:rPr>
          <w:rFonts w:ascii="Calibri" w:eastAsia="Yu Gothic" w:hAnsi="Calibri"/>
        </w:rPr>
        <w:t xml:space="preserve"> is called twice, before fetching (the estimate from the page record limit and the total of screen images) and after (measured), and if exceeded the import is refused and “as a separate case” is shown (added to the note of </w:t>
      </w:r>
      <w:r>
        <w:rPr>
          <w:rFonts w:ascii="Consolas" w:eastAsia="Yu Gothic" w:hAnsi="Consolas"/>
        </w:rPr>
        <w:t xml:space="preserve">Registrar::register</w:t>
      </w:r>
      <w:r>
        <w:rPr>
          <w:rFonts w:ascii="Calibri" w:eastAsia="Yu Gothic" w:hAnsi="Calibri"/>
        </w:rPr>
        <w:t xml:space="preserve"> in core-case.md).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The route for attaching a case's “pending timestamp” (the state of G-14) at the next connection existed only in core-sign's </w:t>
      </w:r>
      <w:r>
        <w:rPr>
          <w:rFonts w:ascii="Consolas" w:eastAsia="Yu Gothic" w:hAnsi="Consolas"/>
        </w:rPr>
        <w:t xml:space="preserve">attach_pending_timestamps</w:t>
      </w:r>
      <w:r>
        <w:rPr>
          <w:rFonts w:ascii="Calibri" w:eastAsia="Yu Gothic" w:hAnsi="Calibri"/>
        </w:rPr>
        <w:t xml:space="preserve"> (pending ones of work data), so </w:t>
      </w:r>
      <w:r>
        <w:rPr>
          <w:rFonts w:ascii="Consolas" w:eastAsia="Yu Gothic" w:hAnsi="Consolas"/>
        </w:rPr>
        <w:t xml:space="preserve">attach_pending_timestamps</w:t>
      </w:r>
      <w:r>
        <w:rPr>
          <w:rFonts w:ascii="Calibri" w:eastAsia="Yu Gothic" w:hAnsi="Calibri"/>
        </w:rPr>
        <w:t xml:space="preserve"> also covers pending case status appends (noted in B-163 of core-sign.md; the enumeration of targets is received from core-case's </w:t>
      </w:r>
      <w:r>
        <w:rPr>
          <w:rFonts w:ascii="Consolas" w:eastAsia="Yu Gothic" w:hAnsi="Consolas"/>
        </w:rPr>
        <w:t xml:space="preserve">Cases</w:t>
      </w:r>
      <w:r>
        <w:rPr>
          <w:rFonts w:ascii="Calibri" w:eastAsia="Yu Gothic" w:hAnsi="Calibri"/>
        </w:rPr>
        <w:t xml:space="preserve">).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Anti-Repost Tool for Cosplay Photos S-05 Registering a repost (G-14), cases (G-15 and G-16)  Edition 1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Yu Gothic" w:hAnsi="Calibri"/>
        <w:sz w:val="21"/>
        <w:szCs w:val="21"/>
        <w:lang w:val="en-US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Calibri" w:cs="Calibri" w:eastAsia="Calibri" w:hAnsi="Calibr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ead2f8476e7e1cbc6f98e115248a0c313771172.png"/><Relationship Id="rId10" Type="http://schemas.openxmlformats.org/officeDocument/2006/relationships/image" Target="media/8d6332e49fd04f3d55f8b84a64d9a41dfba8c9c6.png"/><Relationship Id="rId11" Type="http://schemas.openxmlformats.org/officeDocument/2006/relationships/image" Target="media/9d525800bc1d5ab4c089da99c93d7e1d680513b9.png"/><Relationship Id="rId12" Type="http://schemas.openxmlformats.org/officeDocument/2006/relationships/image" Target="media/18cc8381d97c255db4b1cc03f033864125fd194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S-05 Registering a repost (G-14), cases (G-15 and G-16)</dc:title>
  <dc:creator>Ishikawa Sou</dc:creator>
  <cp:lastModifiedBy>Un-named</cp:lastModifiedBy>
  <cp:revision>1</cp:revision>
  <dcterms:created xsi:type="dcterms:W3CDTF">2026-10-01T17:08:17.767Z</dcterms:created>
  <dcterms:modified xsi:type="dcterms:W3CDTF">2026-10-01T17:08:17.767Z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