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  <w:jc w:val="center"/>
      </w:pPr>
      <w:r>
        <w:rPr>
          <w:rFonts w:ascii="Microsoft YaHei" w:cs="Microsoft YaHei" w:eastAsia="Microsoft YaHei" w:hAnsi="Microsoft YaHei"/>
          <w:color w:val="404040"/>
          <w:sz w:val="26"/>
          <w:szCs w:val="26"/>
        </w:rPr>
        <w:t xml:space="preserve">Cosplay照片防盗图工具</w:t>
      </w:r>
    </w:p>
    <w:p>
      <w:pPr>
        <w:spacing w:after="300"/>
        <w:jc w:val="center"/>
      </w:pPr>
      <w:r>
        <w:rPr>
          <w:rFonts w:ascii="Microsoft YaHei" w:cs="Microsoft YaHei" w:eastAsia="Microsoft YaHei" w:hAnsi="Microsoft YaHei"/>
          <w:b/>
          <w:bCs/>
          <w:color w:val="345A8A"/>
          <w:sz w:val="40"/>
          <w:szCs w:val="40"/>
        </w:rPr>
        <w:t xml:space="preserve">基本设计书 第1章 整体结构</w:t>
      </w:r>
    </w:p>
    <w:p>
      <w:pPr>
        <w:spacing w:after="1600"/>
        <w:jc w:val="center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第1版（草案）　2026-09-29 · 石川宗</w:t>
      </w:r>
    </w:p>
    <w:p>
      <w:pPr>
        <w:spacing w:after="120"/>
        <w:jc w:val="center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株式会社流山ソフトウェア開発（NRSD）</w:t>
      </w:r>
    </w:p>
    <w:p>
      <w:pPr>
        <w:spacing w:before="2400" w:line="300"/>
      </w:pPr>
      <w:r>
        <w:rPr>
          <w:rFonts w:ascii="Microsoft YaHei" w:cs="Microsoft YaHei" w:eastAsia="Microsoft YaHei" w:hAnsi="Microsoft YaHei"/>
          <w:color w:val="404040"/>
          <w:sz w:val="18"/>
          <w:szCs w:val="18"/>
        </w:rPr>
        <w:t xml:space="preserve">© 2026 株式会社流山ソフトウェア開発（NRSD）负责开发者　石川宗　本文件的著作权归株式会社流山ソフトウェア開発（NRSD）所有。本文件所引用的第三方标准、软件、法令解说等的权利归各权利人所有。本文件为日文原文的译本，如有不一致，以日文原文为准。</w:t>
      </w:r>
    </w:p>
    <w:p>
      <w:pPr>
        <w:pageBreakBefore/>
        <w:spacing w:after="240"/>
      </w:pPr>
      <w:r>
        <w:rPr>
          <w:rFonts w:ascii="Microsoft YaHei" w:cs="Microsoft YaHei" w:eastAsia="Microsoft YaHei" w:hAnsi="Microsoft YaHei"/>
          <w:b/>
          <w:bCs/>
          <w:color w:val="345A8A"/>
          <w:sz w:val="30"/>
          <w:szCs w:val="30"/>
        </w:rPr>
        <w:t xml:space="preserve">目录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本文件的定位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1. 设计决定的一览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2. 目的与质量的目标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3. 约束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4. 背景与范围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5. 解决的方针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6. 构成要素的内容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7. 运行时的场景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8. 数据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9. 部署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10. 横贯的思路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11. 信任与威胁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12. 对外部的依赖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13. 终端与人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14. 质量的要求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15. 风险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16. 用语集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17. 与要求的对应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18. 运营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19. 运营者工具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20. 章的依赖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21. 本章声明的缺口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22. 对其他章、概要设计书的订正</w:t>
      </w:r>
    </w:p>
    <w:p>
      <w:r>
        <w:br w:type="page"/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本文件的定位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细化概要设计书第1章。本章是全章的前提，其他各章遵循本章的结构、数据的所在、标识符、信任的边界、横贯的方针。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本章的节的划分参照描述软件结构的公开模板arc42的12节（目的与目标、约束、背景与范围、解决的方针、构成要素、运行时的场景、部署、横贯的思路、决定、质量的要求、风险、用语集）。本章基于研讨备忘“第1章 整体结构的研讨”（NRSD内部的研讨记录，不随本文件分发。作为设计依据的事实，已连同出处写在本文件的各节中）。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承接的决定如下表。设计计划书的决定、待调查、未决的文字依第13章 1.2“从设计计划书的决定到概要设计书、基本设计的对应”与概要设计书的去向表（本章不转载，只载编号与项目划分中发现的遗漏）。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4"/>
        <w:gridCol w:w="3296"/>
        <w:gridCol w:w="5228"/>
      </w:tblGrid>
      <w:tr>
        <w:trPr>
          <w:cantSplit/>
          <w:tblHeader/>
        </w:trPr>
        <w:tc>
          <w:tcPr>
            <w:tcW w:type="dxa" w:w="111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编号</w:t>
            </w:r>
          </w:p>
        </w:tc>
        <w:tc>
          <w:tcPr>
            <w:tcW w:type="dxa" w:w="32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种类</w:t>
            </w:r>
          </w:p>
        </w:tc>
        <w:tc>
          <w:tcPr>
            <w:tcW w:type="dxa" w:w="52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111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A-6</w:t>
            </w:r>
          </w:p>
        </w:tc>
        <w:tc>
          <w:tcPr>
            <w:tcW w:type="dxa" w:w="32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项目划分中发现的遗漏</w:t>
            </w:r>
          </w:p>
        </w:tc>
        <w:tc>
          <w:tcPr>
            <w:tcW w:type="dxa" w:w="52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针对假应用的准备</w:t>
            </w:r>
          </w:p>
        </w:tc>
      </w:tr>
      <w:tr>
        <w:trPr>
          <w:cantSplit/>
          <w:tblHeader w:val="off"/>
        </w:trPr>
        <w:tc>
          <w:tcPr>
            <w:tcW w:type="dxa" w:w="111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A-9</w:t>
            </w:r>
          </w:p>
        </w:tc>
        <w:tc>
          <w:tcPr>
            <w:tcW w:type="dxa" w:w="32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项目划分中发现的遗漏</w:t>
            </w:r>
          </w:p>
        </w:tc>
        <w:tc>
          <w:tcPr>
            <w:tcW w:type="dxa" w:w="52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费用，以及GitHub的容量限制</w:t>
            </w:r>
          </w:p>
        </w:tc>
      </w:tr>
      <w:tr>
        <w:trPr>
          <w:cantSplit/>
          <w:tblHeader w:val="off"/>
        </w:trPr>
        <w:tc>
          <w:tcPr>
            <w:tcW w:type="dxa" w:w="111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A-10</w:t>
            </w:r>
          </w:p>
        </w:tc>
        <w:tc>
          <w:tcPr>
            <w:tcW w:type="dxa" w:w="32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项目划分中发现的遗漏</w:t>
            </w:r>
          </w:p>
        </w:tc>
        <w:tc>
          <w:tcPr>
            <w:tcW w:type="dxa" w:w="52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从设计计划书的决定到设计的对应表</w:t>
            </w:r>
          </w:p>
        </w:tc>
      </w:tr>
      <w:tr>
        <w:trPr>
          <w:cantSplit/>
          <w:tblHeader w:val="off"/>
        </w:trPr>
        <w:tc>
          <w:tcPr>
            <w:tcW w:type="dxa" w:w="111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A-14</w:t>
            </w:r>
          </w:p>
        </w:tc>
        <w:tc>
          <w:tcPr>
            <w:tcW w:type="dxa" w:w="32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项目划分中发现的遗漏</w:t>
            </w:r>
          </w:p>
        </w:tc>
        <w:tc>
          <w:tcPr>
            <w:tcW w:type="dxa" w:w="52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NRSD的立场与使用条款</w:t>
            </w:r>
          </w:p>
        </w:tc>
      </w:tr>
      <w:tr>
        <w:trPr>
          <w:cantSplit/>
          <w:tblHeader w:val="off"/>
        </w:trPr>
        <w:tc>
          <w:tcPr>
            <w:tcW w:type="dxa" w:w="111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A-17</w:t>
            </w:r>
          </w:p>
        </w:tc>
        <w:tc>
          <w:tcPr>
            <w:tcW w:type="dxa" w:w="32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项目划分中发现的遗漏</w:t>
            </w:r>
          </w:p>
        </w:tc>
        <w:tc>
          <w:tcPr>
            <w:tcW w:type="dxa" w:w="52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数据的跨境传输（第2版决定NRSD不接收使用者的信息，前提已不存在）</w:t>
            </w:r>
          </w:p>
        </w:tc>
      </w:tr>
    </w:tbl>
    <w:p>
      <w:pPr>
        <w:spacing w:after="100" w:before="0"/>
      </w:pP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记法：“［需实测］”表示通过收发、实现来确认的事项（并写出假设与判定标准）。“（初始值）”表示没有可作依据的外部数值、在运营开始时设定的值。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用语汇总在16“用语集”中。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1. 设计决定的一览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3147"/>
        <w:gridCol w:w="3817"/>
        <w:gridCol w:w="1644"/>
      </w:tblGrid>
      <w:tr>
        <w:trPr>
          <w:cantSplit/>
          <w:tblHeader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编号</w:t>
            </w:r>
          </w:p>
        </w:tc>
        <w:tc>
          <w:tcPr>
            <w:tcW w:type="dxa" w:w="31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决定</w:t>
            </w:r>
          </w:p>
        </w:tc>
        <w:tc>
          <w:tcPr>
            <w:tcW w:type="dxa" w:w="38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理由</w:t>
            </w:r>
          </w:p>
        </w:tc>
        <w:tc>
          <w:tcPr>
            <w:tcW w:type="dxa" w:w="16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被否定的方案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DD-1-1</w:t>
            </w:r>
          </w:p>
        </w:tc>
        <w:tc>
          <w:tcPr>
            <w:tcW w:type="dxa" w:w="31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本系统由客户端应用（包括使用者终端上的数据）与公开仓库（分发物、参考信息、公开页面）构成。NRSD持有为分发物与参考信息附加电子签名的密钥</w:t>
            </w:r>
          </w:p>
        </w:tc>
        <w:tc>
          <w:tcPr>
            <w:tcW w:type="dxa" w:w="38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设计计划书 D-12-1“设置公开仓库。不设置私有仓库”、D-12-3“权利人信息、签名密钥、作品数据、台账及证据保存在使用者的终端，NRSD不收集”</w:t>
            </w:r>
          </w:p>
        </w:tc>
        <w:tc>
          <w:tcPr>
            <w:tcW w:type="dxa" w:w="16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把记录放在私有仓库的方案（设计计划书第1版。会变成收集使用者的信息）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DD-1-2</w:t>
            </w:r>
          </w:p>
        </w:tc>
        <w:tc>
          <w:tcPr>
            <w:tcW w:type="dxa" w:w="31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NRSD不设常驻运行的服务器，不具有接收使用者信息的途径（使用者自行发送的意见电子邮件除外。第10章 DD-10-6“意见由使用者用自己的电子邮件发送”、第12章 5“隐私政策”）</w:t>
            </w:r>
          </w:p>
        </w:tc>
        <w:tc>
          <w:tcPr>
            <w:tcW w:type="dxa" w:w="38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设计计划书 D-6-2“本系统不作为网站构建”、D-5-1“本系统不确认使用者，不收集使用者的信息。使用本系统不要求登记”</w:t>
            </w:r>
          </w:p>
        </w:tc>
        <w:tc>
          <w:tcPr>
            <w:tcW w:type="dxa" w:w="16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设置签名、登记用服务器的方案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DD-1-3</w:t>
            </w:r>
          </w:p>
        </w:tc>
        <w:tc>
          <w:tcPr>
            <w:tcW w:type="dxa" w:w="31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C2PA签名的证书根据使用者输入的信息在客户端应用中生成。不使用认证机构</w:t>
            </w:r>
          </w:p>
        </w:tc>
        <w:tc>
          <w:tcPr>
            <w:tcW w:type="dxa" w:w="38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设计计划书 D-5-2“C2PA签名的证书，根据使用者输入的信息在客户端应用内生成。不需要认证机构”。C2PA技术规范不要求证书的发行者具备资格</w:t>
            </w:r>
          </w:p>
        </w:tc>
        <w:tc>
          <w:tcPr>
            <w:tcW w:type="dxa" w:w="16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NRSD成为认证机构的方案（设计计划书第1版阶段的设计。把计划书的候选误当作必需）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DD-1-4</w:t>
            </w:r>
          </w:p>
        </w:tc>
        <w:tc>
          <w:tcPr>
            <w:tcW w:type="dxa" w:w="31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记录（作品数据、案件记录、证据、模板、作业、授权书）全部放在使用者的终端上。终端的迁移与故障的准备，以使用者创建的备份文件进行</w:t>
            </w:r>
          </w:p>
        </w:tc>
        <w:tc>
          <w:tcPr>
            <w:tcW w:type="dxa" w:w="38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设计计划书 D-10-7“证据保存在使用者的终端，不予公开。本系统不收集证据”、D-12-3“权利人信息、签名密钥、作品数据、台账及证据保存在使用者的终端，NRSD不收集”</w:t>
            </w:r>
          </w:p>
        </w:tc>
        <w:tc>
          <w:tcPr>
            <w:tcW w:type="dxa" w:w="16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自动同步（需要外部的存放处）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DD-1-5</w:t>
            </w:r>
          </w:p>
        </w:tc>
        <w:tc>
          <w:tcPr>
            <w:tcW w:type="dxa" w:w="31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需要完整性的记录（作品数据、案件记录与状况的追记、授权书等文书、变更的履历。放在8.3的链中的内容）以使用者的密钥附加记录电子签名，读取时验证</w:t>
            </w:r>
          </w:p>
        </w:tc>
        <w:tc>
          <w:tcPr>
            <w:tcW w:type="dxa" w:w="38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检测来自终端之外对记录的改写（接触终端的他人、损坏的文件、被动过手脚的备份文件）。记录电子签名由使用者本人的密钥进行，因此使用者可以改写后重新签名。对第三方（专家、服务商）证明记录在当时已存在的，是外部TSA的可信时间戳（第3章 4“可信时间戳”、第6章 3.2“可信时间戳”）。离线生成的作品数据在事后补加之前没有可信时间戳</w:t>
            </w:r>
          </w:p>
        </w:tc>
        <w:tc>
          <w:tcPr>
            <w:tcW w:type="dxa" w:w="16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不附电子签名保存的方案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DD-1-6</w:t>
            </w:r>
          </w:p>
        </w:tc>
        <w:tc>
          <w:tcPr>
            <w:tcW w:type="dxa" w:w="31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参考信息（窗口、文字示例、各国法律的参考、随附文件的文字）连同以NRSD的密钥签名的TUF元数据（第9章 4.3“更新说明（静态JSON）的形式”）放在公开仓库与镜像中，应用获取并验证</w:t>
            </w:r>
          </w:p>
        </w:tc>
        <w:tc>
          <w:tcPr>
            <w:tcW w:type="dxa" w:w="38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不等应用更新就能送达窗口与法令的变化。通往中国大陆的途径（设计计划书 I-04“从中国大陆连接GitHub”）</w:t>
            </w:r>
          </w:p>
        </w:tc>
        <w:tc>
          <w:tcPr>
            <w:tcW w:type="dxa" w:w="16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只嵌入应用的方案（更新要等应用更新）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DD-1-7</w:t>
            </w:r>
          </w:p>
        </w:tc>
        <w:tc>
          <w:tcPr>
            <w:tcW w:type="dxa" w:w="31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应用可以离线进行C2PA签名、编辑、导出、登记的记录。可信时间戳、参考信息与更新的获取、转载页面的获取在连接时进行</w:t>
            </w:r>
          </w:p>
        </w:tc>
        <w:tc>
          <w:tcPr>
            <w:tcW w:type="dxa" w:w="38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拍摄后的作业不依赖网络</w:t>
            </w:r>
          </w:p>
        </w:tc>
        <w:tc>
          <w:tcPr>
            <w:tcW w:type="dxa" w:w="16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以常时连接为前提的方案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DD-1-8</w:t>
            </w:r>
          </w:p>
        </w:tc>
        <w:tc>
          <w:tcPr>
            <w:tcW w:type="dxa" w:w="31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界面（WebView）只负责显示与输入，文字的绘制、图像处理、文件的读写、通信、密钥的操作全部在Rust核心中进行。从界面能调用的命令限于许可的命令</w:t>
            </w:r>
          </w:p>
        </w:tc>
        <w:tc>
          <w:tcPr>
            <w:tcW w:type="dxa" w:w="38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Tauri的安全机制在界面与核心之间设置信任边界（Tauri官方的安全指南）。界面显示外部文字时的危险不波及核心。在核心中绘制，3种操作系统的结果相同（第4章 DD-4-5“文字的排版与绘制在预览和导出中使用同一Rust机制”）</w:t>
            </w:r>
          </w:p>
        </w:tc>
        <w:tc>
          <w:tcPr>
            <w:tcW w:type="dxa" w:w="16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在界面中处理图像的方案（结果因操作系统而异。界面的弱点波及记录）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DD-1-9</w:t>
            </w:r>
          </w:p>
        </w:tc>
        <w:tc>
          <w:tcPr>
            <w:tcW w:type="dxa" w:w="31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所有记录的保存，都按先写入临时文件、写入存储介质后再替换名称的步骤进行</w:t>
            </w:r>
          </w:p>
        </w:tc>
        <w:tc>
          <w:tcPr>
            <w:tcW w:type="dxa" w:w="38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不留下写到一半而损坏的记录（质量目标1）</w:t>
            </w:r>
          </w:p>
        </w:tc>
        <w:tc>
          <w:tcPr>
            <w:tcW w:type="dxa" w:w="16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直接覆盖的方案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DD-1-10</w:t>
            </w:r>
          </w:p>
        </w:tc>
        <w:tc>
          <w:tcPr>
            <w:tcW w:type="dxa" w:w="31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数据放在操作系统按使用者区分的、不同步的位置（Windows为Local的AppData）。可重新生成的内容（缩略图等）放在操作系统的缓存位置</w:t>
            </w:r>
          </w:p>
        </w:tc>
        <w:tc>
          <w:tcPr>
            <w:tcW w:type="dxa" w:w="38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Windows的Roaming的AppData在组织的电脑上会被同步，放入数GB的证据会变重</w:t>
            </w:r>
          </w:p>
        </w:tc>
        <w:tc>
          <w:tcPr>
            <w:tcW w:type="dxa" w:w="16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放在Roaming的AppData的方案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DD-1-11</w:t>
            </w:r>
          </w:p>
        </w:tc>
        <w:tc>
          <w:tcPr>
            <w:tcW w:type="dxa" w:w="31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每台机器只启动一个应用。第二次启动时让第一个窗口到前台后结束</w:t>
            </w:r>
          </w:p>
        </w:tc>
        <w:tc>
          <w:tcPr>
            <w:tcW w:type="dxa" w:w="38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防止两个应用同时写同一记录</w:t>
            </w:r>
          </w:p>
        </w:tc>
        <w:tc>
          <w:tcPr>
            <w:tcW w:type="dxa" w:w="16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允许多次启动、按记录加锁的方案（第4章 11.7“同时打开”的作业锁作为单一启动的补充保留）</w:t>
            </w:r>
          </w:p>
        </w:tc>
      </w:tr>
    </w:tbl>
    <w:p>
      <w:pPr>
        <w:spacing w:after="100" w:before="0"/>
      </w:pPr>
    </w:p>
    <w:p>
      <w:pPr>
        <w:pStyle w:val="Heading1"/>
      </w:pPr>
      <w:r>
        <w:rPr>
          <w:rFonts w:ascii="Microsoft YaHei" w:eastAsia="Microsoft YaHei" w:hAnsi="Microsoft YaHei"/>
        </w:rPr>
        <w:t xml:space="preserve">2. 目的与质量的目标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2.1 目的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本系统使Cosplay照片的权利人能够在照片上标示权利（C2PA签名、可见签名、随附文件）、规定许可范围、登记转载并留下证据、在适当时采取应对（设计计划书 第2章“目的及范围”）。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2.2 利害关系者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64"/>
        <w:gridCol w:w="3259"/>
        <w:gridCol w:w="1715"/>
      </w:tblGrid>
      <w:tr>
        <w:trPr>
          <w:cantSplit/>
          <w:tblHeader/>
        </w:trPr>
        <w:tc>
          <w:tcPr>
            <w:tcW w:type="dxa" w:w="466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者</w:t>
            </w:r>
          </w:p>
        </w:tc>
        <w:tc>
          <w:tcPr>
            <w:tcW w:type="dxa" w:w="32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与本系统的关系</w:t>
            </w:r>
          </w:p>
        </w:tc>
        <w:tc>
          <w:tcPr>
            <w:tcW w:type="dxa" w:w="171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关心</w:t>
            </w:r>
          </w:p>
        </w:tc>
      </w:tr>
      <w:tr>
        <w:trPr>
          <w:cantSplit/>
          <w:tblHeader w:val="off"/>
        </w:trPr>
        <w:tc>
          <w:tcPr>
            <w:tcW w:type="dxa" w:w="466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Cosplayer（使用者）</w:t>
            </w:r>
          </w:p>
        </w:tc>
        <w:tc>
          <w:tcPr>
            <w:tcW w:type="dxa" w:w="32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对照片进行C2PA签名、销售、发布、应对转载</w:t>
            </w:r>
          </w:p>
        </w:tc>
        <w:tc>
          <w:tcPr>
            <w:tcW w:type="dxa" w:w="171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省事、外观好、不损坏照片</w:t>
            </w:r>
          </w:p>
        </w:tc>
      </w:tr>
      <w:tr>
        <w:trPr>
          <w:cantSplit/>
          <w:tblHeader w:val="off"/>
        </w:trPr>
        <w:tc>
          <w:tcPr>
            <w:tcW w:type="dxa" w:w="466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摄影者（使用者）</w:t>
            </w:r>
          </w:p>
        </w:tc>
        <w:tc>
          <w:tcPr>
            <w:tcW w:type="dxa" w:w="32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同上。有时与Cosplayer共有权利</w:t>
            </w:r>
          </w:p>
        </w:tc>
        <w:tc>
          <w:tcPr>
            <w:tcW w:type="dxa" w:w="171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署名正确地载明</w:t>
            </w:r>
          </w:p>
        </w:tc>
      </w:tr>
      <w:tr>
        <w:trPr>
          <w:cantSplit/>
          <w:tblHeader w:val="off"/>
        </w:trPr>
        <w:tc>
          <w:tcPr>
            <w:tcW w:type="dxa" w:w="466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经授权者（使用者）</w:t>
            </w:r>
          </w:p>
        </w:tc>
        <w:tc>
          <w:tcPr>
            <w:tcW w:type="dxa" w:w="32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经权利人授权进行C2PA签名、发布</w:t>
            </w:r>
          </w:p>
        </w:tc>
        <w:tc>
          <w:tcPr>
            <w:tcW w:type="dxa" w:w="171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知道授权的范围</w:t>
            </w:r>
          </w:p>
        </w:tc>
      </w:tr>
      <w:tr>
        <w:trPr>
          <w:cantSplit/>
          <w:tblHeader w:val="off"/>
        </w:trPr>
        <w:tc>
          <w:tcPr>
            <w:tcW w:type="dxa" w:w="466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购买者（外部）</w:t>
            </w:r>
          </w:p>
        </w:tc>
        <w:tc>
          <w:tcPr>
            <w:tcW w:type="dxa" w:w="32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收到交付用图片与随附文件</w:t>
            </w:r>
          </w:p>
        </w:tc>
        <w:tc>
          <w:tcPr>
            <w:tcW w:type="dxa" w:w="171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知道可以做什么</w:t>
            </w:r>
          </w:p>
        </w:tc>
      </w:tr>
      <w:tr>
        <w:trPr>
          <w:cantSplit/>
          <w:tblHeader w:val="off"/>
        </w:trPr>
        <w:tc>
          <w:tcPr>
            <w:tcW w:type="dxa" w:w="466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浏览者（外部）</w:t>
            </w:r>
          </w:p>
        </w:tc>
        <w:tc>
          <w:tcPr>
            <w:tcW w:type="dxa" w:w="32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看到发布内容，识别是否为正版照片</w:t>
            </w:r>
          </w:p>
        </w:tc>
        <w:tc>
          <w:tcPr>
            <w:tcW w:type="dxa" w:w="171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知道核验的方法</w:t>
            </w:r>
          </w:p>
        </w:tc>
      </w:tr>
      <w:tr>
        <w:trPr>
          <w:cantSplit/>
          <w:tblHeader w:val="off"/>
        </w:trPr>
        <w:tc>
          <w:tcPr>
            <w:tcW w:type="dxa" w:w="466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转载者（对方）</w:t>
            </w:r>
          </w:p>
        </w:tc>
        <w:tc>
          <w:tcPr>
            <w:tcW w:type="dxa" w:w="32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擅自转载</w:t>
            </w:r>
          </w:p>
        </w:tc>
        <w:tc>
          <w:tcPr>
            <w:tcW w:type="dxa" w:w="171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—（威慑的对象）</w:t>
            </w:r>
          </w:p>
        </w:tc>
      </w:tr>
      <w:tr>
        <w:trPr>
          <w:cantSplit/>
          <w:tblHeader w:val="off"/>
        </w:trPr>
        <w:tc>
          <w:tcPr>
            <w:tcW w:type="dxa" w:w="466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冒充权利人者（对方）</w:t>
            </w:r>
          </w:p>
        </w:tc>
        <w:tc>
          <w:tcPr>
            <w:tcW w:type="dxa" w:w="32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对他人的照片抢先C2PA签名等</w:t>
            </w:r>
          </w:p>
        </w:tc>
        <w:tc>
          <w:tcPr>
            <w:tcW w:type="dxa" w:w="171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—（以比对线索应对。第2章）</w:t>
            </w:r>
          </w:p>
        </w:tc>
      </w:tr>
      <w:tr>
        <w:trPr>
          <w:cantSplit/>
          <w:tblHeader w:val="off"/>
        </w:trPr>
        <w:tc>
          <w:tcPr>
            <w:tcW w:type="dxa" w:w="466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NRSD（运营）</w:t>
            </w:r>
          </w:p>
        </w:tc>
        <w:tc>
          <w:tcPr>
            <w:tcW w:type="dxa" w:w="32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制作并分发应用。维护参考信息</w:t>
            </w:r>
          </w:p>
        </w:tc>
        <w:tc>
          <w:tcPr>
            <w:tcW w:type="dxa" w:w="171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保护密钥、控制费用、责任的范围</w:t>
            </w:r>
          </w:p>
        </w:tc>
      </w:tr>
      <w:tr>
        <w:trPr>
          <w:cantSplit/>
          <w:tblHeader w:val="off"/>
        </w:trPr>
        <w:tc>
          <w:tcPr>
            <w:tcW w:type="dxa" w:w="466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法律专家（外部）</w:t>
            </w:r>
          </w:p>
        </w:tc>
        <w:tc>
          <w:tcPr>
            <w:tcW w:type="dxa" w:w="32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收到证据包。确认文字</w:t>
            </w:r>
          </w:p>
        </w:tc>
        <w:tc>
          <w:tcPr>
            <w:tcW w:type="dxa" w:w="171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证据的验证步骤</w:t>
            </w:r>
          </w:p>
        </w:tc>
      </w:tr>
      <w:tr>
        <w:trPr>
          <w:cantSplit/>
          <w:tblHeader w:val="off"/>
        </w:trPr>
        <w:tc>
          <w:tcPr>
            <w:tcW w:type="dxa" w:w="466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发布网站、云、申诉窗口、分发与扩展的商店（Flathub、Chrome与Firefox的扩展商店）、直接连接的中继与公开的DHT（外部组织、基础设施）</w:t>
            </w:r>
          </w:p>
        </w:tc>
        <w:tc>
          <w:tcPr>
            <w:tcW w:type="dxa" w:w="32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图片的存放处、申诉的接收方、分发的场所、NAT打洞与中继、以口令连接时对方的查询</w:t>
            </w:r>
          </w:p>
        </w:tc>
        <w:tc>
          <w:tcPr>
            <w:tcW w:type="dxa" w:w="171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00" w:before="0"/>
      </w:pPr>
    </w:p>
    <w:p>
      <w:pPr>
        <w:pStyle w:val="Heading2"/>
      </w:pPr>
      <w:r>
        <w:rPr>
          <w:rFonts w:ascii="Microsoft YaHei" w:eastAsia="Microsoft YaHei" w:hAnsi="Microsoft YaHei"/>
        </w:rPr>
        <w:t xml:space="preserve">2.3 质量的目标（按优先顺序）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8"/>
        <w:gridCol w:w="2280"/>
        <w:gridCol w:w="2492"/>
        <w:gridCol w:w="4278"/>
      </w:tblGrid>
      <w:tr>
        <w:trPr>
          <w:cantSplit/>
          <w:tblHeader/>
        </w:trPr>
        <w:tc>
          <w:tcPr>
            <w:tcW w:type="dxa" w:w="5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顺序</w:t>
            </w:r>
          </w:p>
        </w:tc>
        <w:tc>
          <w:tcPr>
            <w:tcW w:type="dxa" w:w="228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目标</w:t>
            </w:r>
          </w:p>
        </w:tc>
        <w:tc>
          <w:tcPr>
            <w:tcW w:type="dxa" w:w="24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ISO/IEC 25010:2023的特性</w:t>
            </w:r>
          </w:p>
        </w:tc>
        <w:tc>
          <w:tcPr>
            <w:tcW w:type="dxa" w:w="427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理由</w:t>
            </w:r>
          </w:p>
        </w:tc>
      </w:tr>
      <w:tr>
        <w:trPr>
          <w:cantSplit/>
          <w:tblHeader w:val="off"/>
        </w:trPr>
        <w:tc>
          <w:tcPr>
            <w:tcW w:type="dxa" w:w="5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28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不丢失、不损坏原图与记录</w:t>
            </w:r>
          </w:p>
        </w:tc>
        <w:tc>
          <w:tcPr>
            <w:tcW w:type="dxa" w:w="24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可靠性、安全性</w:t>
            </w:r>
          </w:p>
        </w:tc>
        <w:tc>
          <w:tcPr>
            <w:tcW w:type="dxa" w:w="427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照片是使用者的收入来源，证据是日后请求所需。一旦丢失无法挽回</w:t>
            </w:r>
          </w:p>
        </w:tc>
      </w:tr>
      <w:tr>
        <w:trPr>
          <w:cantSplit/>
          <w:tblHeader w:val="off"/>
        </w:trPr>
        <w:tc>
          <w:tcPr>
            <w:tcW w:type="dxa" w:w="5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28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非技术人员能不迷惑地使用</w:t>
            </w:r>
          </w:p>
        </w:tc>
        <w:tc>
          <w:tcPr>
            <w:tcW w:type="dxa" w:w="24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易用性</w:t>
            </w:r>
          </w:p>
        </w:tc>
        <w:tc>
          <w:tcPr>
            <w:tcW w:type="dxa" w:w="427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不被使用就起不到威慑（设计计划书 8.1“外观”）</w:t>
            </w:r>
          </w:p>
        </w:tc>
      </w:tr>
      <w:tr>
        <w:trPr>
          <w:cantSplit/>
          <w:tblHeader w:val="off"/>
        </w:trPr>
        <w:tc>
          <w:tcPr>
            <w:tcW w:type="dxa" w:w="5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8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不收集、不泄露使用者的信息</w:t>
            </w:r>
          </w:p>
        </w:tc>
        <w:tc>
          <w:tcPr>
            <w:tcW w:type="dxa" w:w="24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安全性</w:t>
            </w:r>
          </w:p>
        </w:tc>
        <w:tc>
          <w:tcPr>
            <w:tcW w:type="dxa" w:w="427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设计计划书 D-5-1“本系统不确认使用者，不收集使用者的信息。使用本系统不要求登记”是本系统的前提</w:t>
            </w:r>
          </w:p>
        </w:tc>
      </w:tr>
      <w:tr>
        <w:trPr>
          <w:cantSplit/>
          <w:tblHeader w:val="off"/>
        </w:trPr>
        <w:tc>
          <w:tcPr>
            <w:tcW w:type="dxa" w:w="5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8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输出能通过第三方验证，并能发现篡改</w:t>
            </w:r>
          </w:p>
        </w:tc>
        <w:tc>
          <w:tcPr>
            <w:tcW w:type="dxa" w:w="24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功能适合性</w:t>
            </w:r>
          </w:p>
        </w:tc>
        <w:tc>
          <w:tcPr>
            <w:tcW w:type="dxa" w:w="427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否则C2PA签名就失去意义</w:t>
            </w:r>
          </w:p>
        </w:tc>
      </w:tr>
      <w:tr>
        <w:trPr>
          <w:cantSplit/>
          <w:tblHeader w:val="off"/>
        </w:trPr>
        <w:tc>
          <w:tcPr>
            <w:tcW w:type="dxa" w:w="5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28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在3种操作系统上结果相同</w:t>
            </w:r>
          </w:p>
        </w:tc>
        <w:tc>
          <w:tcPr>
            <w:tcW w:type="dxa" w:w="24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兼容性、灵活性</w:t>
            </w:r>
          </w:p>
        </w:tc>
        <w:tc>
          <w:tcPr>
            <w:tcW w:type="dxa" w:w="427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使用者更换终端，输出也不变</w:t>
            </w:r>
          </w:p>
        </w:tc>
      </w:tr>
    </w:tbl>
    <w:p>
      <w:pPr>
        <w:spacing w:after="100" w:before="0"/>
      </w:pP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性能在不损害上述5项的范围内满足（14.1）。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目标冲突时，采用顺序靠前者。例：即使为了自动保存（目标1）写入增加，也优先于速度。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3. 约束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2"/>
        <w:gridCol w:w="4920"/>
        <w:gridCol w:w="4026"/>
      </w:tblGrid>
      <w:tr>
        <w:trPr>
          <w:cantSplit/>
          <w:tblHeader/>
        </w:trPr>
        <w:tc>
          <w:tcPr>
            <w:tcW w:type="dxa" w:w="6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种类</w:t>
            </w:r>
          </w:p>
        </w:tc>
        <w:tc>
          <w:tcPr>
            <w:tcW w:type="dxa" w:w="49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约束</w:t>
            </w:r>
          </w:p>
        </w:tc>
        <w:tc>
          <w:tcPr>
            <w:tcW w:type="dxa" w:w="40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出处</w:t>
            </w:r>
          </w:p>
        </w:tc>
      </w:tr>
      <w:tr>
        <w:trPr>
          <w:cantSplit/>
          <w:tblHeader w:val="off"/>
        </w:trPr>
        <w:tc>
          <w:tcPr>
            <w:tcW w:type="dxa" w:w="6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技术</w:t>
            </w:r>
          </w:p>
        </w:tc>
        <w:tc>
          <w:tcPr>
            <w:tcW w:type="dxa" w:w="49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Windows、macOS、Linux的桌面应用</w:t>
            </w:r>
          </w:p>
        </w:tc>
        <w:tc>
          <w:tcPr>
            <w:tcW w:type="dxa" w:w="40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设计计划书 D-6-1“客户端应用为在Windows、macOS及Linux上运行的桌面应用”</w:t>
            </w:r>
          </w:p>
        </w:tc>
      </w:tr>
      <w:tr>
        <w:trPr>
          <w:cantSplit/>
          <w:tblHeader w:val="off"/>
        </w:trPr>
        <w:tc>
          <w:tcPr>
            <w:tcW w:type="dxa" w:w="6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技术</w:t>
            </w:r>
          </w:p>
        </w:tc>
        <w:tc>
          <w:tcPr>
            <w:tcW w:type="dxa" w:w="49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不作为网站构建。不设常驻运行的服务器</w:t>
            </w:r>
          </w:p>
        </w:tc>
        <w:tc>
          <w:tcPr>
            <w:tcW w:type="dxa" w:w="40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D-6-2“本系统不作为网站构建”、DD-1-2“NRSD不设服务器，不接收使用者的信息（使用者自行发送的意见电子邮件除外）”</w:t>
            </w:r>
          </w:p>
        </w:tc>
      </w:tr>
      <w:tr>
        <w:trPr>
          <w:cantSplit/>
          <w:tblHeader w:val="off"/>
        </w:trPr>
        <w:tc>
          <w:tcPr>
            <w:tcW w:type="dxa" w:w="6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技术</w:t>
            </w:r>
          </w:p>
        </w:tc>
        <w:tc>
          <w:tcPr>
            <w:tcW w:type="dxa" w:w="49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不收集使用者的信息。不要求登记</w:t>
            </w:r>
          </w:p>
        </w:tc>
        <w:tc>
          <w:tcPr>
            <w:tcW w:type="dxa" w:w="40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D-5-1“本系统不确认使用者，不收集使用者的信息。使用本系统不要求登记”</w:t>
            </w:r>
          </w:p>
        </w:tc>
      </w:tr>
      <w:tr>
        <w:trPr>
          <w:cantSplit/>
          <w:tblHeader w:val="off"/>
        </w:trPr>
        <w:tc>
          <w:tcPr>
            <w:tcW w:type="dxa" w:w="6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技术</w:t>
            </w:r>
          </w:p>
        </w:tc>
        <w:tc>
          <w:tcPr>
            <w:tcW w:type="dxa" w:w="49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主要作业可离线进行</w:t>
            </w:r>
          </w:p>
        </w:tc>
        <w:tc>
          <w:tcPr>
            <w:tcW w:type="dxa" w:w="40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DD-1-7“离线也能进行C2PA签名、编辑、输出、登记”</w:t>
            </w:r>
          </w:p>
        </w:tc>
      </w:tr>
      <w:tr>
        <w:trPr>
          <w:cantSplit/>
          <w:tblHeader w:val="off"/>
        </w:trPr>
        <w:tc>
          <w:tcPr>
            <w:tcW w:type="dxa" w:w="6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技术</w:t>
            </w:r>
          </w:p>
        </w:tc>
        <w:tc>
          <w:tcPr>
            <w:tcW w:type="dxa" w:w="49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附带的素材（字体、模型）采用允许再分发的许可证</w:t>
            </w:r>
          </w:p>
        </w:tc>
        <w:tc>
          <w:tcPr>
            <w:tcW w:type="dxa" w:w="40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第4章 6“字体与表情符号”、第11章</w:t>
            </w:r>
          </w:p>
        </w:tc>
      </w:tr>
      <w:tr>
        <w:trPr>
          <w:cantSplit/>
          <w:tblHeader w:val="off"/>
        </w:trPr>
        <w:tc>
          <w:tcPr>
            <w:tcW w:type="dxa" w:w="6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技术</w:t>
            </w:r>
          </w:p>
        </w:tc>
        <w:tc>
          <w:tcPr>
            <w:tcW w:type="dxa" w:w="49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可运行的机器：Windows 10/11与Linux（glibc 2.35以上）为支持x86-64-v3的CPU，macOS为14以上的Apple CPU的机器。Intel的Mac不在对象内</w:t>
            </w:r>
          </w:p>
        </w:tc>
        <w:tc>
          <w:tcPr>
            <w:tcW w:type="dxa" w:w="40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第11章 3.1“支持的操作系统下限”（取决于ONNX Runtime的支持）</w:t>
            </w:r>
          </w:p>
        </w:tc>
      </w:tr>
      <w:tr>
        <w:trPr>
          <w:cantSplit/>
          <w:tblHeader w:val="off"/>
        </w:trPr>
        <w:tc>
          <w:tcPr>
            <w:tcW w:type="dxa" w:w="6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组织</w:t>
            </w:r>
          </w:p>
        </w:tc>
        <w:tc>
          <w:tcPr>
            <w:tcW w:type="dxa" w:w="49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NRSD不持有认证机构的许可</w:t>
            </w:r>
          </w:p>
        </w:tc>
        <w:tc>
          <w:tcPr>
            <w:tcW w:type="dxa" w:w="40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NRSD的决定（2026-09-29）</w:t>
            </w:r>
          </w:p>
        </w:tc>
      </w:tr>
      <w:tr>
        <w:trPr>
          <w:cantSplit/>
          <w:tblHeader w:val="off"/>
        </w:trPr>
        <w:tc>
          <w:tcPr>
            <w:tcW w:type="dxa" w:w="6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组织</w:t>
            </w:r>
          </w:p>
        </w:tc>
        <w:tc>
          <w:tcPr>
            <w:tcW w:type="dxa" w:w="49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NRSD不是法律专家。不进行法律判断</w:t>
            </w:r>
          </w:p>
        </w:tc>
        <w:tc>
          <w:tcPr>
            <w:tcW w:type="dxa" w:w="40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设计计划书 D-2-6“不进行法律程序的代理及法律判断”</w:t>
            </w:r>
          </w:p>
        </w:tc>
      </w:tr>
      <w:tr>
        <w:trPr>
          <w:cantSplit/>
          <w:tblHeader w:val="off"/>
        </w:trPr>
        <w:tc>
          <w:tcPr>
            <w:tcW w:type="dxa" w:w="6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组织</w:t>
            </w:r>
          </w:p>
        </w:tc>
        <w:tc>
          <w:tcPr>
            <w:tcW w:type="dxa" w:w="49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NRSD的开发与运营体制规模小。截至2026-09-30，开发、设计、运营由一名负责开发者承担，没有委托的设计师（第10章 DD-10-2“设计由NRSD的负责开发者进行并自行判定”）。是否增加人员属于NRSD的判断</w:t>
            </w:r>
          </w:p>
        </w:tc>
        <w:tc>
          <w:tcPr>
            <w:tcW w:type="dxa" w:w="40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00" w:before="0"/>
      </w:pPr>
    </w:p>
    <w:p>
      <w:pPr>
        <w:pStyle w:val="Heading1"/>
      </w:pPr>
      <w:r>
        <w:rPr>
          <w:rFonts w:ascii="Microsoft YaHei" w:eastAsia="Microsoft YaHei" w:hAnsi="Microsoft YaHei"/>
        </w:rPr>
        <w:t xml:space="preserve">4. 背景与范围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4.1 构成要素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3825"/>
        <w:gridCol w:w="1030"/>
        <w:gridCol w:w="3753"/>
      </w:tblGrid>
      <w:tr>
        <w:trPr>
          <w:cantSplit/>
          <w:tblHeader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构成要素</w:t>
            </w:r>
          </w:p>
        </w:tc>
        <w:tc>
          <w:tcPr>
            <w:tcW w:type="dxa" w:w="382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持有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不持有</w:t>
            </w:r>
          </w:p>
        </w:tc>
        <w:tc>
          <w:tcPr>
            <w:tcW w:type="dxa" w:w="375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运行的场所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客户端应用</w:t>
            </w:r>
          </w:p>
        </w:tc>
        <w:tc>
          <w:tcPr>
            <w:tcW w:type="dxa" w:w="382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使用者的签名密钥（操作系统的密钥存储）、证书、权利人信息（输入的值）、设置、模板、作业、作品数据、案件记录、证据、授权书、获取的参考信息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其他使用者的数据</w:t>
            </w:r>
          </w:p>
        </w:tc>
        <w:tc>
          <w:tcPr>
            <w:tcW w:type="dxa" w:w="375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使用者的电脑（Windows、macOS、Linux）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公开仓库</w:t>
            </w:r>
          </w:p>
        </w:tc>
        <w:tc>
          <w:tcPr>
            <w:tcW w:type="dxa" w:w="382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源代码、发布（分发物）、README、公开页面、参考信息包与TUF元数据（第9章 4.3“更新说明（静态JSON）的形式”）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个人信息、每个使用者的信息</w:t>
            </w:r>
          </w:p>
        </w:tc>
        <w:tc>
          <w:tcPr>
            <w:tcW w:type="dxa" w:w="375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GitHub（公开）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香港镜像</w:t>
            </w:r>
          </w:p>
        </w:tc>
        <w:tc>
          <w:tcPr>
            <w:tcW w:type="dxa" w:w="382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公开仓库的发布与参考信息的副本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个人信息</w:t>
            </w:r>
          </w:p>
        </w:tc>
        <w:tc>
          <w:tcPr>
            <w:tcW w:type="dxa" w:w="375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对象存储（仅静态分发）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运营者工具</w:t>
            </w:r>
          </w:p>
        </w:tc>
        <w:tc>
          <w:tcPr>
            <w:tcW w:type="dxa" w:w="382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参考信息的编辑、对分发物的电子签名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使用者的信息</w:t>
            </w:r>
          </w:p>
        </w:tc>
        <w:tc>
          <w:tcPr>
            <w:tcW w:type="dxa" w:w="375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M-01“参考信息”在NRSD的管理用电脑上（联网。参考信息签名密钥在硬件令牌中）。M-02“发布电子签名”在不联网的运营者电脑上（更新签名密钥）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浏览器扩展“留存证据”</w:t>
            </w:r>
          </w:p>
        </w:tc>
        <w:tc>
          <w:tcPr>
            <w:tcW w:type="dxa" w:w="382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无（只读取页面。不持有设置与记录。第6章 2.2.2“屏幕图像截取方法的指引”）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使用者的信息。向网站的发送</w:t>
            </w:r>
          </w:p>
        </w:tc>
        <w:tc>
          <w:tcPr>
            <w:tcW w:type="dxa" w:w="375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使用者的浏览器（Chrome系、Firefox）。从公开的扩展商店安装（第9章 2“安装”）（2026-09-30 NRSD的要求）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NRSD的密钥</w:t>
            </w:r>
          </w:p>
        </w:tc>
        <w:tc>
          <w:tcPr>
            <w:tcW w:type="dxa" w:w="382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更新签名密钥、参考信息签名密钥（硬件令牌2个）、TUF的密钥（root 2个与targets离线，snapshot、timestamp在CI的环境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tuf-online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中。第9章 4.3“更新说明（静态JSON）的形式”）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使用者的信息</w:t>
            </w:r>
          </w:p>
        </w:tc>
        <w:tc>
          <w:tcPr>
            <w:tcW w:type="dxa" w:w="375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不联网的运营者电脑（更新签名密钥、TUF的root与targets）、硬件令牌（参考信息签名密钥。root的第2个）、CI的环境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tuf-online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（snapshot、timestamp）</w:t>
            </w:r>
          </w:p>
        </w:tc>
      </w:tr>
    </w:tbl>
    <w:p>
      <w:pPr>
        <w:spacing w:after="100" w:before="0"/>
      </w:pPr>
    </w:p>
    <w:p>
      <w:pPr>
        <w:keepNext/>
        <w:spacing w:after="60" w:before="160"/>
        <w:jc w:val="center"/>
      </w:pPr>
      <w:r>
        <w:drawing>
          <wp:inline distT="0" distB="0" distL="0" distR="0">
            <wp:extent cx="6096000" cy="3829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Microsoft YaHei" w:eastAsia="Microsoft YaHei" w:hAnsi="Microsoft YaHei"/>
          <w:color w:val="404040"/>
          <w:sz w:val="19"/>
          <w:szCs w:val="19"/>
        </w:rPr>
        <w:t xml:space="preserve">图1-1 构成要素与连接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边界之外：第二阶段（自动检测。包括为通知著作者的联系方式登记。设计计划书 D-13-3“用于通知著作者的联系方式的登记，在第二阶段的设计计划中处理”）、销售管理、原作的权利（概要设计书“本系统保护的与不保护的”）、法律判断与代理（第7章“法律应对指引”）、使用者信息的收集、代为比对与判定（设计计划书 D-5-5“本系统提供比对的手段，但不代为进行比对”）。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4.2 与外部的交互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应用本身与终端之外交互的，限于下表的对象。应用不进行表中没有的发送（质量目标3）。WebView2（Windows）向Microsoft发送的必需诊断数据、操作系统进行的SmartScreen与Gatekeeper的核验等，由操作系统与界面部件进行的发送，依各公司的方针（Microsoft“WebView2的数据与隐私”）。隐私政策中载明此事（第12章 5.2“向终端之外发送的一览”）。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1747"/>
        <w:gridCol w:w="2068"/>
        <w:gridCol w:w="1030"/>
        <w:gridCol w:w="1897"/>
        <w:gridCol w:w="1866"/>
      </w:tblGrid>
      <w:tr>
        <w:trPr>
          <w:cantSplit/>
          <w:tblHeader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对象</w:t>
            </w:r>
          </w:p>
        </w:tc>
        <w:tc>
          <w:tcPr>
            <w:tcW w:type="dxa" w:w="17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方式</w:t>
            </w:r>
          </w:p>
        </w:tc>
        <w:tc>
          <w:tcPr>
            <w:tcW w:type="dxa" w:w="20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发送的内容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接收的内容</w:t>
            </w:r>
          </w:p>
        </w:tc>
        <w:tc>
          <w:tcPr>
            <w:tcW w:type="dxa" w:w="18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超时与上限（初始值）</w:t>
            </w:r>
          </w:p>
        </w:tc>
        <w:tc>
          <w:tcPr>
            <w:tcW w:type="dxa" w:w="186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失败时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公开仓库（GitHub）</w:t>
            </w:r>
          </w:p>
        </w:tc>
        <w:tc>
          <w:tcPr>
            <w:tcW w:type="dxa" w:w="17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HTTPS的GET（请求头的User-Agent为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c2pa4cosplayer/&lt;版本&gt;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。更新组件的获取依第9章 4.1）</w:t>
            </w:r>
          </w:p>
        </w:tc>
        <w:tc>
          <w:tcPr>
            <w:tcW w:type="dxa" w:w="20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仅获取请求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更新清单（JSON）、TUF元数据（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tuf/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）、分发物、参考信息包</w:t>
            </w:r>
          </w:p>
        </w:tc>
        <w:tc>
          <w:tcPr>
            <w:tcW w:type="dxa" w:w="18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连接10秒。指引为整体120秒、至多1MB，参考信息为整体120秒、合计至多16MB（第8章 3.4）。分发物为整体30分钟（初始值。使中国大陆经镜像的慢线路也能获取）、至多500MB</w:t>
            </w:r>
          </w:p>
        </w:tc>
        <w:tc>
          <w:tcPr>
            <w:tcW w:type="dxa" w:w="186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尝试镜像。两者都不行时的重试依4.2末尾的共通处理（线路恢复的检测与每小时1次）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香港镜像</w:t>
            </w:r>
          </w:p>
        </w:tc>
        <w:tc>
          <w:tcPr>
            <w:tcW w:type="dxa" w:w="17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HTTPS的GET</w:t>
            </w:r>
          </w:p>
        </w:tc>
        <w:tc>
          <w:tcPr>
            <w:tcW w:type="dxa" w:w="20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同上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同上</w:t>
            </w:r>
          </w:p>
        </w:tc>
        <w:tc>
          <w:tcPr>
            <w:tcW w:type="dxa" w:w="18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同上</w:t>
            </w:r>
          </w:p>
        </w:tc>
        <w:tc>
          <w:tcPr>
            <w:tcW w:type="dxa" w:w="186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时间戳服务机构（TSA）</w:t>
            </w:r>
          </w:p>
        </w:tc>
        <w:tc>
          <w:tcPr>
            <w:tcW w:type="dxa" w:w="17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HTTP或HTTPS的POST（RFC 3161）</w:t>
            </w:r>
          </w:p>
        </w:tc>
        <w:tc>
          <w:tcPr>
            <w:tcW w:type="dxa" w:w="20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仅哈希（时间戳请求）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时间戳响应</w:t>
            </w:r>
          </w:p>
        </w:tc>
        <w:tc>
          <w:tcPr>
            <w:tcW w:type="dxa" w:w="18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连接10秒、整体30秒、响应1MB以内</w:t>
            </w:r>
          </w:p>
        </w:tc>
        <w:tc>
          <w:tcPr>
            <w:tcW w:type="dxa" w:w="186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尝试下一个TSA（第3章 4“可信时间戳”）。全部不行则挂起，连接时补加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RDAP</w:t>
            </w:r>
          </w:p>
        </w:tc>
        <w:tc>
          <w:tcPr>
            <w:tcW w:type="dxa" w:w="17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HTTPS的GET</w:t>
            </w:r>
          </w:p>
        </w:tc>
        <w:tc>
          <w:tcPr>
            <w:tcW w:type="dxa" w:w="20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要查询的域名、IP地址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注册信息（JSON）</w:t>
            </w:r>
          </w:p>
        </w:tc>
        <w:tc>
          <w:tcPr>
            <w:tcW w:type="dxa" w:w="18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连接10秒、整体30秒、响应1MB以内</w:t>
            </w:r>
          </w:p>
        </w:tc>
        <w:tc>
          <w:tcPr>
            <w:tcW w:type="dxa" w:w="186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记录为无结果，并显示手动查询的方法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DNS</w:t>
            </w:r>
          </w:p>
        </w:tc>
        <w:tc>
          <w:tcPr>
            <w:tcW w:type="dxa" w:w="17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用应用自带的解析器（hickory-resolver）向操作系统中设置的DNS服务器查询A、AAAA、PTR（操作系统的解析器不返回响应的原始数据，无法留作证据。第6章 5“谁、在何处（④）”）</w:t>
            </w:r>
          </w:p>
        </w:tc>
        <w:tc>
          <w:tcPr>
            <w:tcW w:type="dxa" w:w="20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要查询的域名、IP地址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IP地址、反向解析的名称</w:t>
            </w:r>
          </w:p>
        </w:tc>
        <w:tc>
          <w:tcPr>
            <w:tcW w:type="dxa" w:w="18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连接5秒、整体10秒</w:t>
            </w:r>
          </w:p>
        </w:tc>
        <w:tc>
          <w:tcPr>
            <w:tcW w:type="dxa" w:w="186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记录为无结果，并显示手动查询的方法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转载页面</w:t>
            </w:r>
          </w:p>
        </w:tc>
        <w:tc>
          <w:tcPr>
            <w:tcW w:type="dxa" w:w="17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HTTP或HTTPS的GET（仅限使用者登记的URL。仅在登记时（默认。使用者可对该次登记关闭）与按下“确认当前状态”时）</w:t>
            </w:r>
          </w:p>
        </w:tc>
        <w:tc>
          <w:tcPr>
            <w:tcW w:type="dxa" w:w="20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获取请求（对方能看到使用者的IP地址。不自报本系统之名，请求头的User-Agent与Accept-Language与应用界面部件（WebView）的值一致，不发送Cookie与Referer。第6章 DD-6-8“获取的请求不自报本系统之名”）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页面的HTML与图片</w:t>
            </w:r>
          </w:p>
        </w:tc>
        <w:tc>
          <w:tcPr>
            <w:tcW w:type="dxa" w:w="18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连接10秒、整体60秒、每页50MB以内、重定向5次以内</w:t>
            </w:r>
          </w:p>
        </w:tc>
        <w:tc>
          <w:tcPr>
            <w:tcW w:type="dxa" w:w="186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记录未能获取，以使用者的屏幕截图补充（第6章）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使用者本人的另一台终端（同一个人根证书）</w:t>
            </w:r>
          </w:p>
        </w:tc>
        <w:tc>
          <w:tcPr>
            <w:tcW w:type="dxa" w:w="17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以公钥呼叫的直接连接（QUIC。iroh。与Syncthing、Delta Chat相同的机制）。公开的中继打开NAT的洞，连上之后为端到端加密的直接通信。在同一网络内不经过中继</w:t>
            </w:r>
          </w:p>
        </w:tc>
        <w:tc>
          <w:tcPr>
            <w:tcW w:type="dxa" w:w="20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记录的行（链）、证据与素材的文件、模板、作业、不依赖终端的设置、参考信息包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相同</w:t>
            </w:r>
          </w:p>
        </w:tc>
        <w:tc>
          <w:tcPr>
            <w:tcW w:type="dxa" w:w="18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连接10秒</w:t>
            </w:r>
          </w:p>
        </w:tc>
        <w:tc>
          <w:tcPr>
            <w:tcW w:type="dxa" w:w="186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下次连上时继续（第8章 5.4“终端之间的同步”）（2026-09-30 NRSD的要求）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“已确认”的对方的终端（第2章 5.5“对方的添加（文书的交接）”）</w:t>
            </w:r>
          </w:p>
        </w:tc>
        <w:tc>
          <w:tcPr>
            <w:tcW w:type="dxa" w:w="17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同上</w:t>
            </w:r>
          </w:p>
        </w:tc>
        <w:tc>
          <w:tcPr>
            <w:tcW w:type="dxa" w:w="20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授权书、撤销书、共同权利的书面文件、更新的文书（附记录电子签名），参考信息包与版本。不发送使用者的记录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相同</w:t>
            </w:r>
          </w:p>
        </w:tc>
        <w:tc>
          <w:tcPr>
            <w:tcW w:type="dxa" w:w="18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同上</w:t>
            </w:r>
          </w:p>
        </w:tc>
        <w:tc>
          <w:tcPr>
            <w:tcW w:type="dxa" w:w="186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送不到期间以文件交接（第2章 5.5“对方的添加（文书的交接）”）（2026-09-30 NRSD的要求）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直接连接的中继（公开的基础设施。iroh的中继）</w:t>
            </w:r>
          </w:p>
        </w:tc>
        <w:tc>
          <w:tcPr>
            <w:tcW w:type="dxa" w:w="17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QUIC打洞的辅助，以及无法直接连接时的中继</w:t>
            </w:r>
          </w:p>
        </w:tc>
        <w:tc>
          <w:tcPr>
            <w:tcW w:type="dxa" w:w="20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端到端加密的内容（中继无法读取）。中继能看到的只有IP地址与随机的终端编号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8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86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中继无法到达时，按同一网络内的直接连接、云的同步文件夹、文件的顺序以同一格式工作（第8章 5.4“终端之间的同步”）（2026-09-30 NRSD的要求）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公开的DHT（pkarr。BEP 44的带签名记录）</w:t>
            </w:r>
          </w:p>
        </w:tc>
        <w:tc>
          <w:tcPr>
            <w:tcW w:type="dxa" w:w="17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以口令导出的密钥，公开、查询本机的终端编号，期限10分钟（仅在第8章 5.4“终端之间的同步”的以口令连接时）</w:t>
            </w:r>
          </w:p>
        </w:tc>
        <w:tc>
          <w:tcPr>
            <w:tcW w:type="dxa" w:w="20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终端编号（带签名的记录）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对方的终端编号</w:t>
            </w:r>
          </w:p>
        </w:tc>
        <w:tc>
          <w:tcPr>
            <w:tcW w:type="dxa" w:w="18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连接10秒、整体30秒</w:t>
            </w:r>
          </w:p>
        </w:tc>
        <w:tc>
          <w:tcPr>
            <w:tcW w:type="dxa" w:w="186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显示“无法以口令连接”，并引导以QR码或文件交接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电子邮件软件</w:t>
            </w:r>
          </w:p>
        </w:tc>
        <w:tc>
          <w:tcPr>
            <w:tcW w:type="dxa" w:w="17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把mailto的URL交给操作系统</w:t>
            </w:r>
          </w:p>
        </w:tc>
        <w:tc>
          <w:tcPr>
            <w:tcW w:type="dxa" w:w="20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意见的文字（使用者确认后）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8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86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使文字与收件地址可复制（第10章 9“意见受理渠道”）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操作系统的密钥存储</w:t>
            </w:r>
          </w:p>
        </w:tc>
        <w:tc>
          <w:tcPr>
            <w:tcW w:type="dxa" w:w="17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操作系统的API</w:t>
            </w:r>
          </w:p>
        </w:tc>
        <w:tc>
          <w:tcPr>
            <w:tcW w:type="dxa" w:w="20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签名密钥的保存与取出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8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86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第2章 7“签名密钥”</w:t>
            </w:r>
          </w:p>
        </w:tc>
      </w:tr>
    </w:tbl>
    <w:p>
      <w:pPr>
        <w:spacing w:after="100" w:before="0"/>
      </w:pP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本系统不与发布网站、云、申诉窗口直接交互。窗口在使用者按下时用操作系统的默认浏览器打开。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获取转载页面时，对方网站能看到使用者的IP地址。获取前显示一次（11.2的威胁）。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共通的处理：遵循操作系统的代理服务器设置（Windows的WinHTTP、macOS的系统设置、Linux的环境变量）（以使用者使用VPN、代理为前提。第6章 2.2“不执行脚本的获取”）。TLS的信任起点为操作系统的验证器（rustls-platform-verifier）。参考信息、更新获取的失败以1秒、4秒、16秒（带抖动）最多重试3次（AWS的exponential backoff），之后以线路的恢复（操作系统网络状态的变化：macOS的</w:t>
      </w:r>
      <w:r>
        <w:rPr>
          <w:rFonts w:ascii="Consolas" w:eastAsia="Microsoft YaHei" w:hAnsi="Consolas"/>
        </w:rPr>
        <w:t xml:space="preserve">NWPathMonitor</w:t>
      </w:r>
      <w:r>
        <w:rPr>
          <w:rFonts w:ascii="Microsoft YaHei" w:eastAsia="Microsoft YaHei" w:hAnsi="Microsoft YaHei"/>
        </w:rPr>
        <w:t xml:space="preserve">、Windows的</w:t>
      </w:r>
      <w:r>
        <w:rPr>
          <w:rFonts w:ascii="Consolas" w:eastAsia="Microsoft YaHei" w:hAnsi="Consolas"/>
        </w:rPr>
        <w:t xml:space="preserve">INetworkListManager</w:t>
      </w:r>
      <w:r>
        <w:rPr>
          <w:rFonts w:ascii="Microsoft YaHei" w:eastAsia="Microsoft YaHei" w:hAnsi="Microsoft YaHei"/>
        </w:rPr>
        <w:t xml:space="preserve">事件、Linux NetworkManager的D-Bus的</w:t>
      </w:r>
      <w:r>
        <w:rPr>
          <w:rFonts w:ascii="Consolas" w:eastAsia="Microsoft YaHei" w:hAnsi="Consolas"/>
        </w:rPr>
        <w:t xml:space="preserve">StateChanged</w:t>
      </w:r>
      <w:r>
        <w:rPr>
          <w:rFonts w:ascii="Microsoft YaHei" w:eastAsia="Microsoft YaHei" w:hAnsi="Microsoft YaHei"/>
        </w:rPr>
        <w:t xml:space="preserve">）与每小时一次的重试继续。挂起的处理（可信时间戳的补加、参考信息与更新的获取、终端之间的对齐、备份）全部在这一条队列中恢复（“每次连接时”指这一线路恢复的事件）。可信时间戳不重试而转到下一个TSA，转载页面的获取只重试一次。重定向在同一来源内最多5次，TSA的POST不跟随重定向。响应边流边写，超过上限的时刻切断（不把整体放入内存）。按量计费、省流量线路的判定用操作系统的API（Windows的</w:t>
      </w:r>
      <w:r>
        <w:rPr>
          <w:rFonts w:ascii="Consolas" w:eastAsia="Microsoft YaHei" w:hAnsi="Consolas"/>
        </w:rPr>
        <w:t xml:space="preserve">GetConnectionCost</w:t>
      </w:r>
      <w:r>
        <w:rPr>
          <w:rFonts w:ascii="Microsoft YaHei" w:eastAsia="Microsoft YaHei" w:hAnsi="Microsoft YaHei"/>
        </w:rPr>
        <w:t xml:space="preserve">、macOS的</w:t>
      </w:r>
      <w:r>
        <w:rPr>
          <w:rFonts w:ascii="Consolas" w:eastAsia="Microsoft YaHei" w:hAnsi="Consolas"/>
        </w:rPr>
        <w:t xml:space="preserve">NWPath.isExpensive</w:t>
      </w:r>
      <w:r>
        <w:rPr>
          <w:rFonts w:ascii="Microsoft YaHei" w:eastAsia="Microsoft YaHei" w:hAnsi="Microsoft YaHei"/>
        </w:rPr>
        <w:t xml:space="preserve">与</w:t>
      </w:r>
      <w:r>
        <w:rPr>
          <w:rFonts w:ascii="Consolas" w:eastAsia="Microsoft YaHei" w:hAnsi="Consolas"/>
        </w:rPr>
        <w:t xml:space="preserve">isConstrained</w:t>
      </w:r>
      <w:r>
        <w:rPr>
          <w:rFonts w:ascii="Microsoft YaHei" w:eastAsia="Microsoft YaHei" w:hAnsi="Microsoft YaHei"/>
        </w:rPr>
        <w:t xml:space="preserve">、Linux NetworkManager的</w:t>
      </w:r>
      <w:r>
        <w:rPr>
          <w:rFonts w:ascii="Consolas" w:eastAsia="Microsoft YaHei" w:hAnsi="Consolas"/>
        </w:rPr>
        <w:t xml:space="preserve">connection.metered</w:t>
      </w:r>
      <w:r>
        <w:rPr>
          <w:rFonts w:ascii="Microsoft YaHei" w:eastAsia="Microsoft YaHei" w:hAnsi="Microsoft YaHei"/>
        </w:rPr>
        <w:t xml:space="preserve">。与Windows Update、Chrome相同）进行。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获取来源的顺序（参考信息与更新清单共通）：公开页面，其次香港镜像。获取失败、或获取的内容未通过验证的来源移到后面，下次确认按该顺序进行（计数失败的次数）。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威胁T-16（拒绝服务）：转载页面的巨大响应、反复重定向、响应延迟。攻击者：恶意网站。目标资产：应用的核心。剩余的缺口：—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5. 解决的方针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4436"/>
        <w:gridCol w:w="4172"/>
      </w:tblGrid>
      <w:tr>
        <w:trPr>
          <w:cantSplit/>
          <w:tblHeader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质量的目标</w:t>
            </w:r>
          </w:p>
        </w:tc>
        <w:tc>
          <w:tcPr>
            <w:tcW w:type="dxa" w:w="44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方针</w:t>
            </w:r>
          </w:p>
        </w:tc>
        <w:tc>
          <w:tcPr>
            <w:tcW w:type="dxa" w:w="417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本章、其他章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 不丢失、不损坏</w:t>
            </w:r>
          </w:p>
        </w:tc>
        <w:tc>
          <w:tcPr>
            <w:tcW w:type="dxa" w:w="44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原图只读。记录从临时文件替换。作业自动保存。建议使用备份文件（加密）</w:t>
            </w:r>
          </w:p>
        </w:tc>
        <w:tc>
          <w:tcPr>
            <w:tcW w:type="dxa" w:w="417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DD-1-9“记录先完整写入临时文件再替换”、第4章 11“作业（编辑中途的状态）”、第8章 5“备份文件”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 不迷惑地使用</w:t>
            </w:r>
          </w:p>
        </w:tc>
        <w:tc>
          <w:tcPr>
            <w:tcW w:type="dxa" w:w="44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一个窗口、步骤的显示、向导角色、错误的格式。不让人看到GitHub</w:t>
            </w:r>
          </w:p>
        </w:tc>
        <w:tc>
          <w:tcPr>
            <w:tcW w:type="dxa" w:w="417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第10章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 不收集、不泄露</w:t>
            </w:r>
          </w:p>
        </w:tc>
        <w:tc>
          <w:tcPr>
            <w:tcW w:type="dxa" w:w="44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不设服务器。对外发送限于4.2的表。记录只放在终端上。日志中不写秘密</w:t>
            </w:r>
          </w:p>
        </w:tc>
        <w:tc>
          <w:tcPr>
            <w:tcW w:type="dxa" w:w="417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DD-1-2“NRSD不设服务器，不接收使用者的信息（使用者自行发送的意见电子邮件除外）”、10.4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 能通过验证</w:t>
            </w:r>
          </w:p>
        </w:tc>
        <w:tc>
          <w:tcPr>
            <w:tcW w:type="dxa" w:w="44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遵循C2PA规范的部件（c2pa-rs）、可信时间戳、记录电子签名</w:t>
            </w:r>
          </w:p>
        </w:tc>
        <w:tc>
          <w:tcPr>
            <w:tcW w:type="dxa" w:w="417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第3章、DD-1-5“终端的记录附记录电子签名并加以验证”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 结果相同</w:t>
            </w:r>
          </w:p>
        </w:tc>
        <w:tc>
          <w:tcPr>
            <w:tcW w:type="dxa" w:w="44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绘制、颜色转换、导出用Rust的同一部件进行。不使用操作系统的字体</w:t>
            </w:r>
          </w:p>
        </w:tc>
        <w:tc>
          <w:tcPr>
            <w:tcW w:type="dxa" w:w="417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DD-1-8“界面只负责显示与输入，处理在Rust核心中进行”、第4章</w:t>
            </w:r>
          </w:p>
        </w:tc>
      </w:tr>
    </w:tbl>
    <w:p>
      <w:pPr>
        <w:spacing w:after="100" w:before="0"/>
      </w:pPr>
    </w:p>
    <w:p>
      <w:pPr>
        <w:pStyle w:val="Heading1"/>
      </w:pPr>
      <w:r>
        <w:rPr>
          <w:rFonts w:ascii="Microsoft YaHei" w:eastAsia="Microsoft YaHei" w:hAnsi="Microsoft YaHei"/>
        </w:rPr>
        <w:t xml:space="preserve">6. 构成要素的内容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6.1 应用的层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2"/>
        <w:gridCol w:w="4366"/>
        <w:gridCol w:w="2709"/>
        <w:gridCol w:w="1871"/>
      </w:tblGrid>
      <w:tr>
        <w:trPr>
          <w:cantSplit/>
          <w:tblHeader/>
        </w:trPr>
        <w:tc>
          <w:tcPr>
            <w:tcW w:type="dxa" w:w="6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层</w:t>
            </w:r>
          </w:p>
        </w:tc>
        <w:tc>
          <w:tcPr>
            <w:tcW w:type="dxa" w:w="436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部件</w:t>
            </w:r>
          </w:p>
        </w:tc>
        <w:tc>
          <w:tcPr>
            <w:tcW w:type="dxa" w:w="27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负责</w:t>
            </w:r>
          </w:p>
        </w:tc>
        <w:tc>
          <w:tcPr>
            <w:tcW w:type="dxa" w:w="187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不负责</w:t>
            </w:r>
          </w:p>
        </w:tc>
      </w:tr>
      <w:tr>
        <w:trPr>
          <w:cantSplit/>
          <w:tblHeader w:val="off"/>
        </w:trPr>
        <w:tc>
          <w:tcPr>
            <w:tcW w:type="dxa" w:w="6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界面</w:t>
            </w:r>
          </w:p>
        </w:tc>
        <w:tc>
          <w:tcPr>
            <w:tcW w:type="dxa" w:w="436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WebView（HTML、CSS、TypeScript）</w:t>
            </w:r>
          </w:p>
        </w:tc>
        <w:tc>
          <w:tcPr>
            <w:tcW w:type="dxa" w:w="27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显示与输入。进度的显示</w:t>
            </w:r>
          </w:p>
        </w:tc>
        <w:tc>
          <w:tcPr>
            <w:tcW w:type="dxa" w:w="187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文字的绘制、图像处理、文件、通信、密钥的操作</w:t>
            </w:r>
          </w:p>
        </w:tc>
      </w:tr>
      <w:tr>
        <w:trPr>
          <w:cantSplit/>
          <w:tblHeader w:val="off"/>
        </w:trPr>
        <w:tc>
          <w:tcPr>
            <w:tcW w:type="dxa" w:w="6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命令</w:t>
            </w:r>
          </w:p>
        </w:tc>
        <w:tc>
          <w:tcPr>
            <w:tcW w:type="dxa" w:w="436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Tauri的命令</w:t>
            </w:r>
          </w:p>
        </w:tc>
        <w:tc>
          <w:tcPr>
            <w:tcW w:type="dxa" w:w="27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接收界面的请求，确认输入（10.6），交给业务部件。长时间处理向界面发送进度通知</w:t>
            </w:r>
          </w:p>
        </w:tc>
        <w:tc>
          <w:tcPr>
            <w:tcW w:type="dxa" w:w="187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业务的判断</w:t>
            </w:r>
          </w:p>
        </w:tc>
      </w:tr>
      <w:tr>
        <w:trPr>
          <w:cantSplit/>
          <w:tblHeader w:val="off"/>
        </w:trPr>
        <w:tc>
          <w:tcPr>
            <w:tcW w:type="dxa" w:w="6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业务</w:t>
            </w:r>
          </w:p>
        </w:tc>
        <w:tc>
          <w:tcPr>
            <w:tcW w:type="dxa" w:w="436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签名信息、导出（签名处理）、编辑（绘制）、作业、权利文书、登记与证据、比对、参考信息、更新、备份、设置</w:t>
            </w:r>
          </w:p>
        </w:tc>
        <w:tc>
          <w:tcPr>
            <w:tcW w:type="dxa" w:w="27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各章的功能</w:t>
            </w:r>
          </w:p>
        </w:tc>
        <w:tc>
          <w:tcPr>
            <w:tcW w:type="dxa" w:w="187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记录的写法、通信的细节</w:t>
            </w:r>
          </w:p>
        </w:tc>
      </w:tr>
      <w:tr>
        <w:trPr>
          <w:cantSplit/>
          <w:tblHeader w:val="off"/>
        </w:trPr>
        <w:tc>
          <w:tcPr>
            <w:tcW w:type="dxa" w:w="6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基础</w:t>
            </w:r>
          </w:p>
        </w:tc>
        <w:tc>
          <w:tcPr>
            <w:tcW w:type="dxa" w:w="436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保存、密钥存储、通信、图像的读写、模型的运行、可信时间戳、日志</w:t>
            </w:r>
          </w:p>
        </w:tc>
        <w:tc>
          <w:tcPr>
            <w:tcW w:type="dxa" w:w="270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横贯的功能（10）</w:t>
            </w:r>
          </w:p>
        </w:tc>
        <w:tc>
          <w:tcPr>
            <w:tcW w:type="dxa" w:w="187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业务的判断</w:t>
            </w:r>
          </w:p>
        </w:tc>
      </w:tr>
    </w:tbl>
    <w:p>
      <w:pPr>
        <w:spacing w:after="100" w:before="0"/>
      </w:pP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与部件（crate）的对应见第11章 7.1“Rust组件的划分”。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6.2 界面与核心之间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界面只能调用许可的命令（以Tauri的capabilities与permissions按窗口许可）。文件读写的范围限于应用的数据位置，以及使用者每次选择的文件与文件夹（Tauri的scopes）。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界面禁止加载外部资源（以CSP只加载应用内的资源）。外部的URL在使用者按下时用操作系统的默认浏览器打开。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来自外部的文字（转载页面的标题、文件名、模板名、参考信息的文字）只作为文字显示，不作为HTML解释。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长时间处理（导出、登记、自动布局、备份）在核心的后台处理中进行，把进度通知（第几张、剩余的估计）发送到界面。接受来自界面的取消。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可从界面调用的命令，以及所用Tauri插件（文件的选择、打开默认浏览器、mailto、日志的位置，操作系统的通知。第11章 4.1“Rust的组件”）的许可，按窗口、按命令取最小，其一览放在开发侧的文件中，并在CI中确认与设置的一致（第11章 8.1“每次变更”）。全部块的边界（命令名、传入的类型、返回的类型、可能发生的正常系事件）在实现之前作为“边界的一览”定义在一个文件中，并由此生成界面与核心的类型。边界的变更须经该文件的修订（2026-09-30 NRSD的要求）。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启动时从界面传给核心的值仅3个：WebView的User-Agent、Accept-Language、界面语言。从核心到界面，除命令的返回值外，还发送通知（进度、通知、保存状态、更新就绪、启动时的确认、拖入的文件、对方终端的事件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威胁T-17（权限提升）：界面显示的外部文字触发界面的命令。攻击者：植入外部文字者。目标资产：界面、核心。剩余的缺口：—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威胁T-18（权限提升）：从界面调用读写任意文件的命令。攻击者：劫持界面者。目标资产：终端的文件。剩余的缺口：—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7. 运行时的场景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显示各场景的正常步骤与失败时的处理。细节放在各章，本章显示跨章的顺序。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启动顺序：显示界面之前串行进行：CPU的确认（第11章 3.1）→ 单一启动（9.3）→ 若有</w:t>
      </w:r>
      <w:r>
        <w:rPr>
          <w:rFonts w:ascii="Consolas" w:eastAsia="Microsoft YaHei" w:hAnsi="Consolas"/>
        </w:rPr>
        <w:t xml:space="preserve">state/update-pending</w:t>
      </w:r>
      <w:r>
        <w:rPr>
          <w:rFonts w:ascii="Microsoft YaHei" w:eastAsia="Microsoft YaHei" w:hAnsi="Microsoft YaHei"/>
        </w:rPr>
        <w:t xml:space="preserve">则用已验证的分发物替换（第9章 4.1）→ </w:t>
      </w:r>
      <w:r>
        <w:rPr>
          <w:rFonts w:ascii="Consolas" w:eastAsia="Microsoft YaHei" w:hAnsi="Consolas"/>
        </w:rPr>
        <w:t xml:space="preserve">state/</w:t>
      </w:r>
      <w:r>
        <w:rPr>
          <w:rFonts w:ascii="Microsoft YaHei" w:eastAsia="Microsoft YaHei" w:hAnsi="Microsoft YaHei"/>
        </w:rPr>
        <w:t xml:space="preserve">的使用中标记与上次的结束方式（7.8）→ 设置与同意记录（第12章 4.3）→ 记录格式的迁移（第9章 4.4）→ 签名信息的有无（7.1）→ 界面。显示界面之后在后台按优先顺序：异常结束后的清理 → 从链末端的验证 → 保留的时间戳（7.9）→ 更新清单与参考信息的获取（7.5、7.6。24小时内已完成则跳过）→ 原图的确认（第2章 4.2）→ 保留的清理（8.4）→ 自动备份（第8章 5.5）→ 终端的同步（第8章 5.4）→ 期限的通知（第7章 6.3。未启动期间的部分，以及运行中每天）和授权书更新的提议（第2章 5.1）。后台处理互不并行（1条队列）。14.1的10秒目标指“到界面出现可操作为止”，不含后台处理（与Firefox、VS Code启动的划分相同）。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应用的状态有8个：首次之前（未完成7.1）、仅核验（无签名信息，只用G-13）、未同意（第12章 DD-12-3）、通常、超过20年（第2章 3.4）、低于最低版本（第9章 4.2）、迁移失败（只读。第9章 4.4）、继承（只读。第8章 5.3）。界面按此状态决定可打开的界面（第10章 3.2）。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096000" cy="36004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Microsoft YaHei" w:eastAsia="Microsoft YaHei" w:hAnsi="Microsoft YaHei"/>
          <w:color w:val="404040"/>
          <w:sz w:val="19"/>
          <w:szCs w:val="19"/>
        </w:rPr>
        <w:t xml:space="preserve">图1-2 数据的流向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7.1 首次启动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"/>
        <w:gridCol w:w="5939"/>
        <w:gridCol w:w="3269"/>
      </w:tblGrid>
      <w:tr>
        <w:trPr>
          <w:cantSplit/>
          <w:tblHeader/>
        </w:trPr>
        <w:tc>
          <w:tcPr>
            <w:tcW w:type="dxa" w:w="4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顺序</w:t>
            </w:r>
          </w:p>
        </w:tc>
        <w:tc>
          <w:tcPr>
            <w:tcW w:type="dxa" w:w="593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处理</w:t>
            </w:r>
          </w:p>
        </w:tc>
        <w:tc>
          <w:tcPr>
            <w:tcW w:type="dxa" w:w="32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失败时</w:t>
            </w:r>
          </w:p>
        </w:tc>
      </w:tr>
      <w:tr>
        <w:trPr>
          <w:cantSplit/>
          <w:tblHeader w:val="off"/>
        </w:trPr>
        <w:tc>
          <w:tcPr>
            <w:tcW w:type="dxa" w:w="4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593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按操作系统的语言选择语言（日语、中文、英语，其他为英语）</w:t>
            </w:r>
          </w:p>
        </w:tc>
        <w:tc>
          <w:tcPr>
            <w:tcW w:type="dxa" w:w="32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4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593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显示使用条款与隐私政策并取得同意（第10章 G-02“同意”）。条款适用于NRSD的服务（参考信息的提供）</w:t>
            </w:r>
          </w:p>
        </w:tc>
        <w:tc>
          <w:tcPr>
            <w:tcW w:type="dxa" w:w="32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不同意时不获取参考信息（只使用附带的信息包）。C2PA签名、编辑、导出、登记、核验、记录的查看与取出、更新可以使用（第12章 DD-12-3“同意只限制参考信息的获取”）</w:t>
            </w:r>
          </w:p>
        </w:tc>
      </w:tr>
      <w:tr>
        <w:trPr>
          <w:cantSplit/>
          <w:tblHeader w:val="off"/>
        </w:trPr>
        <w:tc>
          <w:tcPr>
            <w:tcW w:type="dxa" w:w="4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593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输入签名信息，生成个人根证书与签名用证书，保存密钥（第2章 2“C2PA签名所需信息的输入”）</w:t>
            </w:r>
          </w:p>
        </w:tc>
        <w:tc>
          <w:tcPr>
            <w:tcW w:type="dxa" w:w="32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无法写入密钥存储时显示理由，不前进（没有密钥就无法签名）</w:t>
            </w:r>
          </w:p>
        </w:tc>
      </w:tr>
      <w:tr>
        <w:trPr>
          <w:cantSplit/>
          <w:tblHeader w:val="off"/>
        </w:trPr>
        <w:tc>
          <w:tcPr>
            <w:tcW w:type="dxa" w:w="4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593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显示声明码与文例（G-04“发布声明”）</w:t>
            </w:r>
          </w:p>
        </w:tc>
        <w:tc>
          <w:tcPr>
            <w:tcW w:type="dxa" w:w="32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4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593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检测并提议备份的存放处（外部存储介质、使用者的云同步文件夹、同一人的另一台终端），确定一个以上。交付恢复密钥的打印件（第10章 G-05“创建备份”）。之后的备份自动进行（第8章 5.5“备份的存放处与自动备份”）（2026-09-30 NRSD的要求）</w:t>
            </w:r>
          </w:p>
        </w:tc>
        <w:tc>
          <w:tcPr>
            <w:tcW w:type="dxa" w:w="32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不确定也可前进（没有存放处的状态持续7天则通知）</w:t>
            </w:r>
          </w:p>
        </w:tc>
      </w:tr>
    </w:tbl>
    <w:p>
      <w:pPr>
        <w:spacing w:after="100" w:before="0"/>
      </w:pPr>
    </w:p>
    <w:p>
      <w:pPr>
        <w:pStyle w:val="Heading2"/>
      </w:pPr>
      <w:r>
        <w:rPr>
          <w:rFonts w:ascii="Microsoft YaHei" w:eastAsia="Microsoft YaHei" w:hAnsi="Microsoft YaHei"/>
        </w:rPr>
        <w:t xml:space="preserve">7.2 批量导出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13"/>
        <w:gridCol w:w="6194"/>
        <w:gridCol w:w="2731"/>
      </w:tblGrid>
      <w:tr>
        <w:trPr>
          <w:cantSplit/>
          <w:tblHeader/>
        </w:trPr>
        <w:tc>
          <w:tcPr>
            <w:tcW w:type="dxa" w:w="71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顺序</w:t>
            </w:r>
          </w:p>
        </w:tc>
        <w:tc>
          <w:tcPr>
            <w:tcW w:type="dxa" w:w="619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处理</w:t>
            </w:r>
          </w:p>
        </w:tc>
        <w:tc>
          <w:tcPr>
            <w:tcW w:type="dxa" w:w="273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失败时</w:t>
            </w:r>
          </w:p>
        </w:tc>
      </w:tr>
      <w:tr>
        <w:trPr>
          <w:cantSplit/>
          <w:tblHeader w:val="off"/>
        </w:trPr>
        <w:tc>
          <w:tcPr>
            <w:tcW w:type="dxa" w:w="71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19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选择照片与用途。创建作业（第4章 11“作业（编辑中途的状态）”）</w:t>
            </w:r>
          </w:p>
        </w:tc>
        <w:tc>
          <w:tcPr>
            <w:tcW w:type="dxa" w:w="273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对无法读取的照片加标记后排除</w:t>
            </w:r>
          </w:p>
        </w:tc>
      </w:tr>
      <w:tr>
        <w:trPr>
          <w:cantSplit/>
          <w:tblHeader w:val="off"/>
        </w:trPr>
        <w:tc>
          <w:tcPr>
            <w:tcW w:type="dxa" w:w="71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19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缩略图与自动布局（第4章 7.2“自动布局”）</w:t>
            </w:r>
          </w:p>
        </w:tc>
        <w:tc>
          <w:tcPr>
            <w:tcW w:type="dxa" w:w="273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71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19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调整（第4章 9“编辑的操作”）。作业自动保存</w:t>
            </w:r>
          </w:p>
        </w:tc>
        <w:tc>
          <w:tcPr>
            <w:tcW w:type="dxa" w:w="273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保存失败时通知</w:t>
            </w:r>
          </w:p>
        </w:tc>
      </w:tr>
      <w:tr>
        <w:trPr>
          <w:cantSplit/>
          <w:tblHeader w:val="off"/>
        </w:trPr>
        <w:tc>
          <w:tcPr>
            <w:tcW w:type="dxa" w:w="71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619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许可范围（交付用。第5章）</w:t>
            </w:r>
          </w:p>
        </w:tc>
        <w:tc>
          <w:tcPr>
            <w:tcW w:type="dxa" w:w="273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71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619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导出：按照片，以处理顺序（第3章 8“处理的顺序与系统”）用临时名称写出输出，记录作品数据，确定输出的名称（按此顺序，没有记录的输出不会以正式名称留下）</w:t>
            </w:r>
          </w:p>
        </w:tc>
        <w:tc>
          <w:tcPr>
            <w:tcW w:type="dxa" w:w="273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一张失败则列入一览，其他继续。中途停止时已导出的已被记录，可从中途继续导出</w:t>
            </w:r>
          </w:p>
        </w:tc>
      </w:tr>
      <w:tr>
        <w:trPr>
          <w:cantSplit/>
          <w:tblHeader w:val="off"/>
        </w:trPr>
        <w:tc>
          <w:tcPr>
            <w:tcW w:type="dxa" w:w="71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619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可信时间戳（无连接时挂起，连接时补加）</w:t>
            </w:r>
          </w:p>
        </w:tc>
        <w:tc>
          <w:tcPr>
            <w:tcW w:type="dxa" w:w="273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所有TSA都不响应则挂起</w:t>
            </w:r>
          </w:p>
        </w:tc>
      </w:tr>
    </w:tbl>
    <w:p>
      <w:pPr>
        <w:spacing w:after="100" w:before="0"/>
      </w:pPr>
    </w:p>
    <w:p>
      <w:pPr>
        <w:pStyle w:val="Heading2"/>
      </w:pPr>
      <w:r>
        <w:rPr>
          <w:rFonts w:ascii="Microsoft YaHei" w:eastAsia="Microsoft YaHei" w:hAnsi="Microsoft YaHei"/>
        </w:rPr>
        <w:t xml:space="preserve">7.3 登记转载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4"/>
        <w:gridCol w:w="5924"/>
        <w:gridCol w:w="2820"/>
      </w:tblGrid>
      <w:tr>
        <w:trPr>
          <w:cantSplit/>
          <w:tblHeader/>
        </w:trPr>
        <w:tc>
          <w:tcPr>
            <w:tcW w:type="dxa" w:w="89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顺序</w:t>
            </w:r>
          </w:p>
        </w:tc>
        <w:tc>
          <w:tcPr>
            <w:tcW w:type="dxa" w:w="592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处理</w:t>
            </w:r>
          </w:p>
        </w:tc>
        <w:tc>
          <w:tcPr>
            <w:tcW w:type="dxa" w:w="28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失败时</w:t>
            </w:r>
          </w:p>
        </w:tc>
      </w:tr>
      <w:tr>
        <w:trPr>
          <w:cantSplit/>
          <w:tblHeader w:val="off"/>
        </w:trPr>
        <w:tc>
          <w:tcPr>
            <w:tcW w:type="dxa" w:w="89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592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放入URL、转载图片、屏幕截图（第6章）</w:t>
            </w:r>
          </w:p>
        </w:tc>
        <w:tc>
          <w:tcPr>
            <w:tcW w:type="dxa" w:w="28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89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592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比对（水印、哈希）</w:t>
            </w:r>
          </w:p>
        </w:tc>
        <w:tc>
          <w:tcPr>
            <w:tcW w:type="dxa" w:w="28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无法读取则记录“无法比对”</w:t>
            </w:r>
          </w:p>
        </w:tc>
      </w:tr>
      <w:tr>
        <w:trPr>
          <w:cantSplit/>
          <w:tblHeader w:val="off"/>
        </w:trPr>
        <w:tc>
          <w:tcPr>
            <w:tcW w:type="dxa" w:w="89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592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获取转载页面（每次登记默认进行。登记界面显示对方网站能看到IP地址，使用者可对该次登记关闭。第6章 2.1“步骤”）</w:t>
            </w:r>
          </w:p>
        </w:tc>
        <w:tc>
          <w:tcPr>
            <w:tcW w:type="dxa" w:w="28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无法获取则加以记录，以屏幕截图补充</w:t>
            </w:r>
          </w:p>
        </w:tc>
      </w:tr>
      <w:tr>
        <w:trPr>
          <w:cantSplit/>
          <w:tblHeader w:val="off"/>
        </w:trPr>
        <w:tc>
          <w:tcPr>
            <w:tcW w:type="dxa" w:w="89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592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RDAP、DNS的查询</w:t>
            </w:r>
          </w:p>
        </w:tc>
        <w:tc>
          <w:tcPr>
            <w:tcW w:type="dxa" w:w="28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记录为无结果</w:t>
            </w:r>
          </w:p>
        </w:tc>
      </w:tr>
      <w:tr>
        <w:trPr>
          <w:cantSplit/>
          <w:tblHeader w:val="off"/>
        </w:trPr>
        <w:tc>
          <w:tcPr>
            <w:tcW w:type="dxa" w:w="89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592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创建案件记录、记录电子签名、证据包的可信时间戳</w:t>
            </w:r>
          </w:p>
        </w:tc>
        <w:tc>
          <w:tcPr>
            <w:tcW w:type="dxa" w:w="28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中途停止时从各步骤的状态继续（7.8）</w:t>
            </w:r>
          </w:p>
        </w:tc>
      </w:tr>
    </w:tbl>
    <w:p>
      <w:pPr>
        <w:spacing w:after="100" w:before="0"/>
      </w:pPr>
    </w:p>
    <w:p>
      <w:pPr>
        <w:pStyle w:val="Heading2"/>
      </w:pPr>
      <w:r>
        <w:rPr>
          <w:rFonts w:ascii="Microsoft YaHei" w:eastAsia="Microsoft YaHei" w:hAnsi="Microsoft YaHei"/>
        </w:rPr>
        <w:t xml:space="preserve">7.4 比对（出现冒充权利人者时）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3"/>
        <w:gridCol w:w="6861"/>
        <w:gridCol w:w="1724"/>
      </w:tblGrid>
      <w:tr>
        <w:trPr>
          <w:cantSplit/>
          <w:tblHeader/>
        </w:trPr>
        <w:tc>
          <w:tcPr>
            <w:tcW w:type="dxa" w:w="105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顺序</w:t>
            </w:r>
          </w:p>
        </w:tc>
        <w:tc>
          <w:tcPr>
            <w:tcW w:type="dxa" w:w="68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处理</w:t>
            </w:r>
          </w:p>
        </w:tc>
        <w:tc>
          <w:tcPr>
            <w:tcW w:type="dxa" w:w="172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失败时</w:t>
            </w:r>
          </w:p>
        </w:tc>
      </w:tr>
      <w:tr>
        <w:trPr>
          <w:cantSplit/>
          <w:tblHeader w:val="off"/>
        </w:trPr>
        <w:tc>
          <w:tcPr>
            <w:tcW w:type="dxa" w:w="105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8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放入图片（第10章 G-13“核验”）</w:t>
            </w:r>
          </w:p>
        </w:tc>
        <w:tc>
          <w:tcPr>
            <w:tcW w:type="dxa" w:w="172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05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8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C2PA签名的验证、水印的读取、比对用哈希的计算</w:t>
            </w:r>
          </w:p>
        </w:tc>
        <w:tc>
          <w:tcPr>
            <w:tcW w:type="dxa" w:w="172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无法读取的项目显示为“无”</w:t>
            </w:r>
          </w:p>
        </w:tc>
      </w:tr>
      <w:tr>
        <w:trPr>
          <w:cantSplit/>
          <w:tblHeader w:val="off"/>
        </w:trPr>
        <w:tc>
          <w:tcPr>
            <w:tcW w:type="dxa" w:w="105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8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罗列线索（第2章 4.4“冒充权利人者出现时的线索”）。不作判定</w:t>
            </w:r>
          </w:p>
        </w:tc>
        <w:tc>
          <w:tcPr>
            <w:tcW w:type="dxa" w:w="172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00" w:before="0"/>
      </w:pPr>
    </w:p>
    <w:p>
      <w:pPr>
        <w:pStyle w:val="Heading2"/>
      </w:pPr>
      <w:r>
        <w:rPr>
          <w:rFonts w:ascii="Microsoft YaHei" w:eastAsia="Microsoft YaHei" w:hAnsi="Microsoft YaHei"/>
        </w:rPr>
        <w:t xml:space="preserve">7.5 参考信息的获取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6"/>
        <w:gridCol w:w="7157"/>
        <w:gridCol w:w="1995"/>
      </w:tblGrid>
      <w:tr>
        <w:trPr>
          <w:cantSplit/>
          <w:tblHeader/>
        </w:trPr>
        <w:tc>
          <w:tcPr>
            <w:tcW w:type="dxa" w:w="48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顺序</w:t>
            </w:r>
          </w:p>
        </w:tc>
        <w:tc>
          <w:tcPr>
            <w:tcW w:type="dxa" w:w="7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处理</w:t>
            </w:r>
          </w:p>
        </w:tc>
        <w:tc>
          <w:tcPr>
            <w:tcW w:type="dxa" w:w="19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失败时</w:t>
            </w:r>
          </w:p>
        </w:tc>
      </w:tr>
      <w:tr>
        <w:trPr>
          <w:cantSplit/>
          <w:tblHeader w:val="off"/>
        </w:trPr>
        <w:tc>
          <w:tcPr>
            <w:tcW w:type="dxa" w:w="48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在启动时与每24小时（初始值），以公开页面（第8章 3.1“构成”）的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reference/latest.json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确认参考信息的版本。不使用raw.githubusercontent.com（有报告称在中国大陆被阻断、DNS被污染。调查资料“GitHub与分发”）。获取来源的顺序依4.2“与外部的交互”</w:t>
            </w:r>
          </w:p>
        </w:tc>
        <w:tc>
          <w:tcPr>
            <w:tcW w:type="dxa" w:w="19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尝试镜像</w:t>
            </w:r>
          </w:p>
        </w:tc>
      </w:tr>
      <w:tr>
        <w:trPr>
          <w:cantSplit/>
          <w:tblHeader w:val="off"/>
        </w:trPr>
        <w:tc>
          <w:tcPr>
            <w:tcW w:type="dxa" w:w="48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有新版本则获取，进行信息包的验证（第8章 3.4“参考信息包”的表）</w:t>
            </w:r>
          </w:p>
        </w:tc>
        <w:tc>
          <w:tcPr>
            <w:tcW w:type="dxa" w:w="19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验证失败则不使用，继续使用本地的版本。超过期限的本地版本继续使用并加以通知</w:t>
            </w:r>
          </w:p>
        </w:tc>
      </w:tr>
      <w:tr>
        <w:trPr>
          <w:cantSplit/>
          <w:tblHeader w:val="off"/>
        </w:trPr>
        <w:tc>
          <w:tcPr>
            <w:tcW w:type="dxa" w:w="48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替换本地的版本（按DD-1-9“记录先完整写入临时文件再替换”的步骤）</w:t>
            </w:r>
          </w:p>
        </w:tc>
        <w:tc>
          <w:tcPr>
            <w:tcW w:type="dxa" w:w="199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00" w:before="0"/>
      </w:pP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获取的来源（5个）与不依赖来源的验证依第8章 3.4“参考信息包”。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威胁T-12（否认）：NRSD事后否认其分发的参考信息的内容。攻击者：NRSD。目标资产：使用者申诉的依据。剩余的缺口：—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7.6 更新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依第9章 4“更新”。验证TUF元数据（第9章 4.3“更新说明（静态JSON）的形式”）与更新电子签名两者，任一失败则不适用。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7.7 备份的创建与恢复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依第8章 5“备份文件”。备份文件以临时名称创建，完成后再改名。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7.8 异常退出后的启动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8664"/>
      </w:tblGrid>
      <w:tr>
        <w:trPr>
          <w:cantSplit/>
          <w:tblHeader/>
        </w:trPr>
        <w:tc>
          <w:tcPr>
            <w:tcW w:type="dxa" w:w="97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顺序</w:t>
            </w:r>
          </w:p>
        </w:tc>
        <w:tc>
          <w:tcPr>
            <w:tcW w:type="dxa" w:w="866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处理</w:t>
            </w:r>
          </w:p>
        </w:tc>
      </w:tr>
      <w:tr>
        <w:trPr>
          <w:cantSplit/>
          <w:tblHeader w:val="off"/>
        </w:trPr>
        <w:tc>
          <w:tcPr>
            <w:tcW w:type="dxa" w:w="97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66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启动时确认使用中的标记（第8章 2.1“配置”的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state/running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）。上次未正常关闭时，进行以下处理</w:t>
            </w:r>
          </w:p>
        </w:tc>
      </w:tr>
      <w:tr>
        <w:trPr>
          <w:cantSplit/>
          <w:tblHeader w:val="off"/>
        </w:trPr>
        <w:tc>
          <w:tcPr>
            <w:tcW w:type="dxa" w:w="97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66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作业：确认能以最后保存的版本打开，并显示“从中途打开”（第4章 11.5“异常结束之后”）</w:t>
            </w:r>
          </w:p>
        </w:tc>
      </w:tr>
      <w:tr>
        <w:trPr>
          <w:cantSplit/>
          <w:tblHeader w:val="off"/>
        </w:trPr>
        <w:tc>
          <w:tcPr>
            <w:tcW w:type="dxa" w:w="97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66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导出：清理以临时名称残留的输出（第3章 9“批量处理”）</w:t>
            </w:r>
          </w:p>
        </w:tc>
      </w:tr>
      <w:tr>
        <w:trPr>
          <w:cantSplit/>
          <w:tblHeader w:val="off"/>
        </w:trPr>
        <w:tc>
          <w:tcPr>
            <w:tcW w:type="dxa" w:w="97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866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登记：中途步骤的案件记录，从已记录的步骤继续</w:t>
            </w:r>
          </w:p>
        </w:tc>
      </w:tr>
      <w:tr>
        <w:trPr>
          <w:cantSplit/>
          <w:tblHeader w:val="off"/>
        </w:trPr>
        <w:tc>
          <w:tcPr>
            <w:tcW w:type="dxa" w:w="97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866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验证记录电子签名，通知不一致的记录</w:t>
            </w:r>
          </w:p>
        </w:tc>
      </w:tr>
    </w:tbl>
    <w:p>
      <w:pPr>
        <w:spacing w:after="100" w:before="0"/>
      </w:pPr>
    </w:p>
    <w:p>
      <w:pPr>
        <w:pStyle w:val="Heading2"/>
      </w:pPr>
      <w:r>
        <w:rPr>
          <w:rFonts w:ascii="Microsoft YaHei" w:eastAsia="Microsoft YaHei" w:hAnsi="Microsoft YaHei"/>
        </w:rPr>
        <w:t xml:space="preserve">7.9 离线导出与事后的可信时间戳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导出时不附可信时间戳，在作品数据中记录“等待时间戳”。连接时，对输出的SHA-256获取可信时间戳并附到作品数据上（第3章 DD-3-5“可信时间戳在C2PA签名时获取，离线时事后获取”）。主页显示等待的件数。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8. 数据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8.1 数据的一览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全部数据的生成来源、保存位置、公开的范围、写入者、完整性的保护、备份的处理，在第8章 2.1“配置”的一个表中规定（本章不转载）。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8.2 标识符的体系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6444"/>
        <w:gridCol w:w="1038"/>
        <w:gridCol w:w="1126"/>
      </w:tblGrid>
      <w:tr>
        <w:trPr>
          <w:cantSplit/>
          <w:tblHeader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标识符</w:t>
            </w:r>
          </w:p>
        </w:tc>
        <w:tc>
          <w:tcPr>
            <w:tcW w:type="dxa" w:w="64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格式</w:t>
            </w:r>
          </w:p>
        </w:tc>
        <w:tc>
          <w:tcPr>
            <w:tcW w:type="dxa" w:w="10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发放</w:t>
            </w:r>
          </w:p>
        </w:tc>
        <w:tc>
          <w:tcPr>
            <w:tcW w:type="dxa" w:w="11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唯一性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识别编号</w:t>
            </w:r>
          </w:p>
        </w:tc>
        <w:tc>
          <w:tcPr>
            <w:tcW w:type="dxa" w:w="64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61位的随机数。直接放入隐形水印（TrustMark BCH_5的数据部分）。显示时，把61位的值放在高位、该值的4位校验（生成多项式x^4＋x＋1的CRC-4。CRC-4/G-704：初始值0、输入输出不反转、从高位起）放在低位，所得65位从高位起每5位转换为Crockford Base32的13个字符，按5、5、3个字符分隔（例：值0x1604F408204C92C5、校验4为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P0KT0-G82CJ-B2M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）。一个值的写法唯一确定，4位校验不符的写法视为无效，显示“识别编号可能输入有误”</w:t>
            </w:r>
          </w:p>
        </w:tc>
        <w:tc>
          <w:tcPr>
            <w:tcW w:type="dxa" w:w="10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应用（导出时）</w:t>
            </w:r>
          </w:p>
        </w:tc>
        <w:tc>
          <w:tcPr>
            <w:tcW w:type="dxa" w:w="11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见下方注记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声明码</w:t>
            </w:r>
          </w:p>
        </w:tc>
        <w:tc>
          <w:tcPr>
            <w:tcW w:type="dxa" w:w="64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依第2章 2.4“声明码的生成方法”（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NRSD-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与Crockford的Base32的20个字符。28个字符）</w:t>
            </w:r>
          </w:p>
        </w:tc>
        <w:tc>
          <w:tcPr>
            <w:tcW w:type="dxa" w:w="10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应用（首次输入时）</w:t>
            </w:r>
          </w:p>
        </w:tc>
        <w:tc>
          <w:tcPr>
            <w:tcW w:type="dxa" w:w="11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100位下偶然一致可以忽略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案件编号</w:t>
            </w:r>
          </w:p>
        </w:tc>
        <w:tc>
          <w:tcPr>
            <w:tcW w:type="dxa" w:w="64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后接UUID v7</w:t>
            </w:r>
          </w:p>
        </w:tc>
        <w:tc>
          <w:tcPr>
            <w:tcW w:type="dxa" w:w="10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应用</w:t>
            </w:r>
          </w:p>
        </w:tc>
        <w:tc>
          <w:tcPr>
            <w:tcW w:type="dxa" w:w="11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冲突可以忽略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作业、模板、批量处理的编号</w:t>
            </w:r>
          </w:p>
        </w:tc>
        <w:tc>
          <w:tcPr>
            <w:tcW w:type="dxa" w:w="64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UUID v7</w:t>
            </w:r>
          </w:p>
        </w:tc>
        <w:tc>
          <w:tcPr>
            <w:tcW w:type="dxa" w:w="10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应用</w:t>
            </w:r>
          </w:p>
        </w:tc>
        <w:tc>
          <w:tcPr>
            <w:tcW w:type="dxa" w:w="11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冲突可以忽略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错误编号</w:t>
            </w:r>
          </w:p>
        </w:tc>
        <w:tc>
          <w:tcPr>
            <w:tcW w:type="dxa" w:w="64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分类（3个英文字母）与3位序号（例：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SIG-012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）</w:t>
            </w:r>
          </w:p>
        </w:tc>
        <w:tc>
          <w:tcPr>
            <w:tcW w:type="dxa" w:w="10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设计（10.3）</w:t>
            </w:r>
          </w:p>
        </w:tc>
        <w:tc>
          <w:tcPr>
            <w:tcW w:type="dxa" w:w="11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终端编号</w:t>
            </w:r>
          </w:p>
        </w:tc>
        <w:tc>
          <w:tcPr>
            <w:tcW w:type="dxa" w:w="644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把直接连接的终端公钥（Ed25519）的SHA-256的前40位以Crockford的Base32转为8个字符。用于记录行的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device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、按终端的链的文件名、终端一览的显示</w:t>
            </w:r>
          </w:p>
        </w:tc>
        <w:tc>
          <w:tcPr>
            <w:tcW w:type="dxa" w:w="10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应用（首次启动。第2章 7.1“生成与保管”）</w:t>
            </w:r>
          </w:p>
        </w:tc>
        <w:tc>
          <w:tcPr>
            <w:tcW w:type="dxa" w:w="112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40位。在同一人的终端（上限5台）之间不重复</w:t>
            </w:r>
          </w:p>
        </w:tc>
      </w:tr>
    </w:tbl>
    <w:p>
      <w:pPr>
        <w:spacing w:after="100" w:before="0"/>
      </w:pP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识别编号按作品（导出的一个文件）发放一个。同一张照片分别导出为X用、Instagram用、交付用时，各为不同的识别编号，是否为同一张照片由作品数据中原图的SHA-256得知。同一识别编号记录在隐形水印、C2PA签名的清单、文件名（使用者选择附加时）、可见签名（使用插入字段时）、作品数据、案件记录中。它是设计计划书 1.5“用语的定义”的“识别编号”，企划草案的“比对编号”（附在发布内容上、供浏览者识别擅自转载的编号。第2节、第3节）与“作品编号”（把举报的转载与作品对应的编号。第6节）也是同一值。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唯一性：61位随机数相互重复的概率，即使作品达到1千万件也约为5万分之1（n²/2⁶²。10¹⁴÷4.6×10¹⁸）。发放时确认与本地的作品数据不重复。与其他使用者的重复，因为没有中央的台账而不作确认。比对时以识别编号与签名者的组合区分作品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若把显示缩短为高位的一部分，就不再唯一（40位时作品50万件约有一成的概率重复）。它是浏览者作为比对编号使用的编号，因此不缩短。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作品登记号（公共登记的编号）不是本系统发放的编号，作为使用者写在声明、可见签名中的字符串处理。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8.3 格式与版本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记录为JSON（RFC 8259。UTF-8，键为英文字母）。各记录持有</w:t>
      </w:r>
      <w:r>
        <w:rPr>
          <w:rFonts w:ascii="Consolas" w:eastAsia="Microsoft YaHei" w:hAnsi="Consolas"/>
        </w:rPr>
        <w:t xml:space="preserve">schema</w:t>
      </w:r>
      <w:r>
        <w:rPr>
          <w:rFonts w:ascii="Microsoft YaHei" w:eastAsia="Microsoft YaHei" w:hAnsi="Microsoft YaHei"/>
        </w:rPr>
        <w:t xml:space="preserve">（例：作品数据为</w:t>
      </w:r>
      <w:r>
        <w:rPr>
          <w:rFonts w:ascii="Consolas" w:eastAsia="Microsoft YaHei" w:hAnsi="Consolas"/>
        </w:rPr>
        <w:t xml:space="preserve">nrsd.work/1</w:t>
      </w:r>
      <w:r>
        <w:rPr>
          <w:rFonts w:ascii="Microsoft YaHei" w:eastAsia="Microsoft YaHei" w:hAnsi="Microsoft YaHei"/>
        </w:rPr>
        <w:t xml:space="preserve">，作业为</w:t>
      </w:r>
      <w:r>
        <w:rPr>
          <w:rFonts w:ascii="Consolas" w:eastAsia="Microsoft YaHei" w:hAnsi="Consolas"/>
        </w:rPr>
        <w:t xml:space="preserve">nrsd.session/1</w:t>
      </w:r>
      <w:r>
        <w:rPr>
          <w:rFonts w:ascii="Microsoft YaHei" w:eastAsia="Microsoft YaHei" w:hAnsi="Microsoft YaHei"/>
        </w:rPr>
        <w:t xml:space="preserve">）。格式的定义以JSON Schema的2020-12版书写。编号的UUID v7依RFC 9562（2024年5月）（2026-10-01 NRSD的要求）。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提升版本时，应用保留读取旧版本的处理，在应用更新后的首次启动时迁移到新版本。迁移前记录的副本按第9章 4.4“记录格式的迁移”的步骤保留。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应用读到比自身更新版本的记录时，不改写只读取，并提示更新。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记录电子签名在把JSON规范化（RFC 8785 JCS）之后，以签名用证书密钥的ECDSA P-256进行，放在链的各行的</w:t>
      </w:r>
      <w:r>
        <w:rPr>
          <w:rFonts w:ascii="Consolas" w:eastAsia="Microsoft YaHei" w:hAnsi="Consolas"/>
        </w:rPr>
        <w:t xml:space="preserve">sig</w:t>
      </w:r>
      <w:r>
        <w:rPr>
          <w:rFonts w:ascii="Microsoft YaHei" w:eastAsia="Microsoft YaHei" w:hAnsi="Microsoft YaHei"/>
        </w:rPr>
        <w:t xml:space="preserve">中（</w:t>
      </w:r>
      <w:r>
        <w:rPr>
          <w:rFonts w:ascii="Consolas" w:eastAsia="Microsoft YaHei" w:hAnsi="Consolas"/>
        </w:rPr>
        <w:t xml:space="preserve">x5c</w:t>
      </w:r>
      <w:r>
        <w:rPr>
          <w:rFonts w:ascii="Microsoft YaHei" w:eastAsia="Microsoft YaHei" w:hAnsi="Microsoft YaHei"/>
        </w:rPr>
        <w:t xml:space="preserve">附上签名用证书与个人根证书。第2章 DD-2-10“记录电子签名用签名用证书的密钥附加，并附上证书链”）。与链文件并列的</w:t>
      </w:r>
      <w:r>
        <w:rPr>
          <w:rFonts w:ascii="Consolas" w:eastAsia="Microsoft YaHei" w:hAnsi="Consolas"/>
        </w:rPr>
        <w:t xml:space="preserve">.sig</w:t>
      </w:r>
      <w:r>
        <w:rPr>
          <w:rFonts w:ascii="Microsoft YaHei" w:eastAsia="Microsoft YaHei" w:hAnsi="Microsoft YaHei"/>
        </w:rPr>
        <w:t xml:space="preserve">是末端的记录（最后一行的</w:t>
      </w:r>
      <w:r>
        <w:rPr>
          <w:rFonts w:ascii="Consolas" w:eastAsia="Microsoft YaHei" w:hAnsi="Consolas"/>
        </w:rPr>
        <w:t xml:space="preserve">seq</w:t>
      </w:r>
      <w:r>
        <w:rPr>
          <w:rFonts w:ascii="Microsoft YaHei" w:eastAsia="Microsoft YaHei" w:hAnsi="Microsoft YaHei"/>
        </w:rPr>
        <w:t xml:space="preserve">、该行保存的字节串的SHA-256、对它们的同一形式的签名），用于检测末尾行的截断（与git的引用指向末端相同）。每追加一行就重写</w:t>
      </w:r>
      <w:r>
        <w:rPr>
          <w:rFonts w:ascii="Consolas" w:eastAsia="Microsoft YaHei" w:hAnsi="Consolas"/>
        </w:rPr>
        <w:t xml:space="preserve">.sig</w:t>
      </w:r>
      <w:r>
        <w:rPr>
          <w:rFonts w:ascii="Microsoft YaHei" w:eastAsia="Microsoft YaHei" w:hAnsi="Microsoft YaHei"/>
        </w:rPr>
        <w:t xml:space="preserve">（10.2的步骤）。但授权书、撤销书、共同权利的书面文件以一个文件授受，因此签名放在JSON中的</w:t>
      </w:r>
      <w:r>
        <w:rPr>
          <w:rFonts w:ascii="Consolas" w:eastAsia="Microsoft YaHei" w:hAnsi="Consolas"/>
        </w:rPr>
        <w:t xml:space="preserve">signatures</w:t>
      </w:r>
      <w:r>
        <w:rPr>
          <w:rFonts w:ascii="Microsoft YaHei" w:eastAsia="Microsoft YaHei" w:hAnsi="Microsoft YaHei"/>
        </w:rPr>
        <w:t xml:space="preserve">里（第2章 5.3“文书的格式”）。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全部记录（作品数据、案件记录、状况的追记、作业、模板、授权书、备份的目录、参考信息的各文件、设置、变更的履历、过去的个人根证书、更新清单、随附文件的JSON）的格式在实现之前以JSON Schema定义，每次读写都验证。按格式的版本持有验证器与迁移。Schema与测试向量载于公开页面，使第三方（专家）无需本系统也能验证证据包（2026-09-30 NRSD的要求）。JCS的规范化采用部件（第11章 4.1“Rust的组件”）与自制的最小实现双重化，在CI中确认两者输出的一致与RFC 8785全部测试向量（第11章 8.1“每次变更”）。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记录格式一览（</w:t>
      </w:r>
      <w:r>
        <w:rPr>
          <w:rFonts w:ascii="Consolas" w:eastAsia="Microsoft YaHei" w:hAnsi="Consolas"/>
        </w:rPr>
        <w:t xml:space="preserve">schema</w:t>
      </w:r>
      <w:r>
        <w:rPr>
          <w:rFonts w:ascii="Microsoft YaHei" w:eastAsia="Microsoft YaHei" w:hAnsi="Microsoft YaHei"/>
        </w:rPr>
        <w:t xml:space="preserve">的名称。JSON Schema以1记录1文件置于</w:t>
      </w:r>
      <w:r>
        <w:rPr>
          <w:rFonts w:ascii="Consolas" w:eastAsia="Microsoft YaHei" w:hAnsi="Consolas"/>
        </w:rPr>
        <w:t xml:space="preserve">dev/schemas/&lt;名称&gt;.&lt;版本&gt;.json</w:t>
      </w:r>
      <w:r>
        <w:rPr>
          <w:rFonts w:ascii="Microsoft YaHei" w:eastAsia="Microsoft YaHei" w:hAnsi="Microsoft YaHei"/>
        </w:rPr>
        <w:t xml:space="preserve">，</w:t>
      </w:r>
      <w:r>
        <w:rPr>
          <w:rFonts w:ascii="Consolas" w:eastAsia="Microsoft YaHei" w:hAnsi="Consolas"/>
        </w:rPr>
        <w:t xml:space="preserve">$id</w:t>
      </w:r>
      <w:r>
        <w:rPr>
          <w:rFonts w:ascii="Microsoft YaHei" w:eastAsia="Microsoft YaHei" w:hAnsi="Microsoft YaHei"/>
        </w:rPr>
        <w:t xml:space="preserve">为</w:t>
      </w:r>
      <w:r>
        <w:rPr>
          <w:rFonts w:ascii="Consolas" w:eastAsia="Microsoft YaHei" w:hAnsi="Consolas"/>
        </w:rPr>
        <w:t xml:space="preserve">https://c2pa4cosplayer.nrsd.jp/schema/&lt;名称&gt;/&lt;版本&gt;</w:t>
      </w:r>
      <w:r>
        <w:rPr>
          <w:rFonts w:ascii="Microsoft YaHei" w:eastAsia="Microsoft YaHei" w:hAnsi="Microsoft YaHei"/>
        </w:rPr>
        <w:t xml:space="preserve">）：</w:t>
      </w:r>
      <w:r>
        <w:rPr>
          <w:rFonts w:ascii="Consolas" w:eastAsia="Microsoft YaHei" w:hAnsi="Consolas"/>
        </w:rPr>
        <w:t xml:space="preserve">nrsd.work/1</w:t>
      </w:r>
      <w:r>
        <w:rPr>
          <w:rFonts w:ascii="Microsoft YaHei" w:eastAsia="Microsoft YaHei" w:hAnsi="Microsoft YaHei"/>
        </w:rPr>
        <w:t xml:space="preserve">（作品数据）、</w:t>
      </w:r>
      <w:r>
        <w:rPr>
          <w:rFonts w:ascii="Consolas" w:eastAsia="Microsoft YaHei" w:hAnsi="Consolas"/>
        </w:rPr>
        <w:t xml:space="preserve">nrsd.session/1</w:t>
      </w:r>
      <w:r>
        <w:rPr>
          <w:rFonts w:ascii="Microsoft YaHei" w:eastAsia="Microsoft YaHei" w:hAnsi="Microsoft YaHei"/>
        </w:rPr>
        <w:t xml:space="preserve">（作业）、</w:t>
      </w:r>
      <w:r>
        <w:rPr>
          <w:rFonts w:ascii="Consolas" w:eastAsia="Microsoft YaHei" w:hAnsi="Consolas"/>
        </w:rPr>
        <w:t xml:space="preserve">nrsd.template/2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nrsd.case/1</w:t>
      </w:r>
      <w:r>
        <w:rPr>
          <w:rFonts w:ascii="Microsoft YaHei" w:eastAsia="Microsoft YaHei" w:hAnsi="Microsoft YaHei"/>
        </w:rPr>
        <w:t xml:space="preserve">（案件记录）、</w:t>
      </w:r>
      <w:r>
        <w:rPr>
          <w:rFonts w:ascii="Consolas" w:eastAsia="Microsoft YaHei" w:hAnsi="Consolas"/>
        </w:rPr>
        <w:t xml:space="preserve">nrsd.status/1</w:t>
      </w:r>
      <w:r>
        <w:rPr>
          <w:rFonts w:ascii="Microsoft YaHei" w:eastAsia="Microsoft YaHei" w:hAnsi="Microsoft YaHei"/>
        </w:rPr>
        <w:t xml:space="preserve">（状况的追记）、</w:t>
      </w:r>
      <w:r>
        <w:rPr>
          <w:rFonts w:ascii="Consolas" w:eastAsia="Microsoft YaHei" w:hAnsi="Consolas"/>
        </w:rPr>
        <w:t xml:space="preserve">nrsd.grant/1</w:t>
      </w:r>
      <w:r>
        <w:rPr>
          <w:rFonts w:ascii="Microsoft YaHei" w:eastAsia="Microsoft YaHei" w:hAnsi="Microsoft YaHei"/>
        </w:rPr>
        <w:t xml:space="preserve">（授权书、撤销书、共同权利书面）、</w:t>
      </w:r>
      <w:r>
        <w:rPr>
          <w:rFonts w:ascii="Consolas" w:eastAsia="Microsoft YaHei" w:hAnsi="Consolas"/>
        </w:rPr>
        <w:t xml:space="preserve">nrsd.backup/1</w:t>
      </w:r>
      <w:r>
        <w:rPr>
          <w:rFonts w:ascii="Microsoft YaHei" w:eastAsia="Microsoft YaHei" w:hAnsi="Microsoft YaHei"/>
        </w:rPr>
        <w:t xml:space="preserve">（备份的目录）、</w:t>
      </w:r>
      <w:r>
        <w:rPr>
          <w:rFonts w:ascii="Consolas" w:eastAsia="Microsoft YaHei" w:hAnsi="Consolas"/>
        </w:rPr>
        <w:t xml:space="preserve">nrsd.reference/1</w:t>
      </w:r>
      <w:r>
        <w:rPr>
          <w:rFonts w:ascii="Microsoft YaHei" w:eastAsia="Microsoft YaHei" w:hAnsi="Microsoft YaHei"/>
        </w:rPr>
        <w:t xml:space="preserve">（参考信息包的目录）、</w:t>
      </w:r>
      <w:r>
        <w:rPr>
          <w:rFonts w:ascii="Consolas" w:eastAsia="Microsoft YaHei" w:hAnsi="Consolas"/>
        </w:rPr>
        <w:t xml:space="preserve">nrsd.settings/1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nrsd.history/1</w:t>
      </w:r>
      <w:r>
        <w:rPr>
          <w:rFonts w:ascii="Microsoft YaHei" w:eastAsia="Microsoft YaHei" w:hAnsi="Microsoft YaHei"/>
        </w:rPr>
        <w:t xml:space="preserve">（</w:t>
      </w:r>
      <w:r>
        <w:rPr>
          <w:rFonts w:ascii="Consolas" w:eastAsia="Microsoft YaHei" w:hAnsi="Consolas"/>
        </w:rPr>
        <w:t xml:space="preserve">identity/history/&lt;终端编号&gt;.jsonl</w:t>
      </w:r>
      <w:r>
        <w:rPr>
          <w:rFonts w:ascii="Microsoft YaHei" w:eastAsia="Microsoft YaHei" w:hAnsi="Microsoft YaHei"/>
        </w:rPr>
        <w:t xml:space="preserve">）、</w:t>
      </w:r>
      <w:r>
        <w:rPr>
          <w:rFonts w:ascii="Consolas" w:eastAsia="Microsoft YaHei" w:hAnsi="Consolas"/>
        </w:rPr>
        <w:t xml:space="preserve">nrsd.past_root/1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nrsd.consent/1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nrsd.peers/1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nrsd.identity_draft/1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nrsd.epoch/1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nrsd.chain_heads/1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nrsd.export_queue/1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nrsd.ers/1</w:t>
      </w:r>
      <w:r>
        <w:rPr>
          <w:rFonts w:ascii="Microsoft YaHei" w:eastAsia="Microsoft YaHei" w:hAnsi="Microsoft YaHei"/>
        </w:rPr>
        <w:t xml:space="preserve">（</w:t>
      </w:r>
      <w:r>
        <w:rPr>
          <w:rFonts w:ascii="Consolas" w:eastAsia="Microsoft YaHei" w:hAnsi="Consolas"/>
        </w:rPr>
        <w:t xml:space="preserve">state/ers.json</w:t>
      </w:r>
      <w:r>
        <w:rPr>
          <w:rFonts w:ascii="Microsoft YaHei" w:eastAsia="Microsoft YaHei" w:hAnsi="Microsoft YaHei"/>
        </w:rPr>
        <w:t xml:space="preserve">）、</w:t>
      </w:r>
      <w:r>
        <w:rPr>
          <w:rFonts w:ascii="Consolas" w:eastAsia="Microsoft YaHei" w:hAnsi="Consolas"/>
        </w:rPr>
        <w:t xml:space="preserve">nrsd.fetch_state/1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nrsd.clock/1</w:t>
      </w:r>
      <w:r>
        <w:rPr>
          <w:rFonts w:ascii="Microsoft YaHei" w:eastAsia="Microsoft YaHei" w:hAnsi="Microsoft YaHei"/>
        </w:rPr>
        <w:t xml:space="preserve">（</w:t>
      </w:r>
      <w:r>
        <w:rPr>
          <w:rFonts w:ascii="Consolas" w:eastAsia="Microsoft YaHei" w:hAnsi="Consolas"/>
        </w:rPr>
        <w:t xml:space="preserve">state/clock.json</w:t>
      </w:r>
      <w:r>
        <w:rPr>
          <w:rFonts w:ascii="Microsoft YaHei" w:eastAsia="Microsoft YaHei" w:hAnsi="Microsoft YaHei"/>
        </w:rPr>
        <w:t xml:space="preserve">）、</w:t>
      </w:r>
      <w:r>
        <w:rPr>
          <w:rFonts w:ascii="Consolas" w:eastAsia="Microsoft YaHei" w:hAnsi="Consolas"/>
        </w:rPr>
        <w:t xml:space="preserve">nrsd.work_index/1</w:t>
      </w:r>
      <w:r>
        <w:rPr>
          <w:rFonts w:ascii="Microsoft YaHei" w:eastAsia="Microsoft YaHei" w:hAnsi="Microsoft YaHei"/>
        </w:rPr>
        <w:t xml:space="preserve">（</w:t>
      </w:r>
      <w:r>
        <w:rPr>
          <w:rFonts w:ascii="Consolas" w:eastAsia="Microsoft YaHei" w:hAnsi="Consolas"/>
        </w:rPr>
        <w:t xml:space="preserve">works/index.json</w:t>
      </w:r>
      <w:r>
        <w:rPr>
          <w:rFonts w:ascii="Microsoft YaHei" w:eastAsia="Microsoft YaHei" w:hAnsi="Microsoft YaHei"/>
        </w:rPr>
        <w:t xml:space="preserve">）、</w:t>
      </w:r>
      <w:r>
        <w:rPr>
          <w:rFonts w:ascii="Consolas" w:eastAsia="Microsoft YaHei" w:hAnsi="Consolas"/>
        </w:rPr>
        <w:t xml:space="preserve">nrsd.session_photo/1</w:t>
      </w:r>
      <w:r>
        <w:rPr>
          <w:rFonts w:ascii="Microsoft YaHei" w:eastAsia="Microsoft YaHei" w:hAnsi="Microsoft YaHei"/>
        </w:rPr>
        <w:t xml:space="preserve">（</w:t>
      </w:r>
      <w:r>
        <w:rPr>
          <w:rFonts w:ascii="Consolas" w:eastAsia="Microsoft YaHei" w:hAnsi="Consolas"/>
        </w:rPr>
        <w:t xml:space="preserve">sessions/*/photos/&lt;编号&gt;.json</w:t>
      </w:r>
      <w:r>
        <w:rPr>
          <w:rFonts w:ascii="Microsoft YaHei" w:eastAsia="Microsoft YaHei" w:hAnsi="Microsoft YaHei"/>
        </w:rPr>
        <w:t xml:space="preserve">）、</w:t>
      </w:r>
      <w:r>
        <w:rPr>
          <w:rFonts w:ascii="Consolas" w:eastAsia="Microsoft YaHei" w:hAnsi="Consolas"/>
        </w:rPr>
        <w:t xml:space="preserve">nrsd.session_snapshot/1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nrsd.template_local/1</w:t>
      </w:r>
      <w:r>
        <w:rPr>
          <w:rFonts w:ascii="Microsoft YaHei" w:eastAsia="Microsoft YaHei" w:hAnsi="Microsoft YaHei"/>
        </w:rPr>
        <w:t xml:space="preserve">（</w:t>
      </w:r>
      <w:r>
        <w:rPr>
          <w:rFonts w:ascii="Consolas" w:eastAsia="Microsoft YaHei" w:hAnsi="Consolas"/>
        </w:rPr>
        <w:t xml:space="preserve">templates/*/local.json</w:t>
      </w:r>
      <w:r>
        <w:rPr>
          <w:rFonts w:ascii="Microsoft YaHei" w:eastAsia="Microsoft YaHei" w:hAnsi="Microsoft YaHei"/>
        </w:rPr>
        <w:t xml:space="preserve">）、</w:t>
      </w:r>
      <w:r>
        <w:rPr>
          <w:rFonts w:ascii="Consolas" w:eastAsia="Microsoft YaHei" w:hAnsi="Consolas"/>
        </w:rPr>
        <w:t xml:space="preserve">nrsd.update_manifest/1</w:t>
      </w:r>
      <w:r>
        <w:rPr>
          <w:rFonts w:ascii="Microsoft YaHei" w:eastAsia="Microsoft YaHei" w:hAnsi="Microsoft YaHei"/>
        </w:rPr>
        <w:t xml:space="preserve">、参考信息的各文件（</w:t>
      </w:r>
      <w:r>
        <w:rPr>
          <w:rFonts w:ascii="Consolas" w:eastAsia="Microsoft YaHei" w:hAnsi="Consolas"/>
        </w:rPr>
        <w:t xml:space="preserve">nrsd.ref.&lt;文件名&gt;/1</w:t>
      </w:r>
      <w:r>
        <w:rPr>
          <w:rFonts w:ascii="Microsoft YaHei" w:eastAsia="Microsoft YaHei" w:hAnsi="Microsoft YaHei"/>
        </w:rPr>
        <w:t xml:space="preserve">：</w:t>
      </w:r>
      <w:r>
        <w:rPr>
          <w:rFonts w:ascii="Consolas" w:eastAsia="Microsoft YaHei" w:hAnsi="Consolas"/>
        </w:rPr>
        <w:t xml:space="preserve">platforms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notices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terms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tsa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relays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deadlines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holidays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laws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minimum_version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vex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clearurls</w:t>
      </w:r>
      <w:r>
        <w:rPr>
          <w:rFonts w:ascii="Microsoft YaHei" w:eastAsia="Microsoft YaHei" w:hAnsi="Microsoft YaHei"/>
        </w:rPr>
        <w:t xml:space="preserve">）。</w:t>
      </w:r>
      <w:r>
        <w:rPr>
          <w:rFonts w:ascii="Consolas" w:eastAsia="Microsoft YaHei" w:hAnsi="Consolas"/>
        </w:rPr>
        <w:t xml:space="preserve">history.log</w:t>
      </w:r>
      <w:r>
        <w:rPr>
          <w:rFonts w:ascii="Microsoft YaHei" w:eastAsia="Microsoft YaHei" w:hAnsi="Microsoft YaHei"/>
        </w:rPr>
        <w:t xml:space="preserve">（第4章 11.3）为每行1步的JSON Patch，形式为</w:t>
      </w:r>
      <w:r>
        <w:rPr>
          <w:rFonts w:ascii="Consolas" w:eastAsia="Microsoft YaHei" w:hAnsi="Consolas"/>
        </w:rPr>
        <w:t xml:space="preserve">nrsd.session/1</w:t>
      </w:r>
      <w:r>
        <w:rPr>
          <w:rFonts w:ascii="Microsoft YaHei" w:eastAsia="Microsoft YaHei" w:hAnsi="Microsoft YaHei"/>
        </w:rPr>
        <w:t xml:space="preserve">的</w:t>
      </w:r>
      <w:r>
        <w:rPr>
          <w:rFonts w:ascii="Consolas" w:eastAsia="Microsoft YaHei" w:hAnsi="Consolas"/>
        </w:rPr>
        <w:t xml:space="preserve">history</w:t>
      </w:r>
      <w:r>
        <w:rPr>
          <w:rFonts w:ascii="Microsoft YaHei" w:eastAsia="Microsoft YaHei" w:hAnsi="Microsoft YaHei"/>
        </w:rPr>
        <w:t xml:space="preserve">的元素。期限（VTODO）为</w:t>
      </w:r>
      <w:r>
        <w:rPr>
          <w:rFonts w:ascii="Consolas" w:eastAsia="Microsoft YaHei" w:hAnsi="Consolas"/>
        </w:rPr>
        <w:t xml:space="preserve">.ics</w:t>
      </w:r>
      <w:r>
        <w:rPr>
          <w:rFonts w:ascii="Microsoft YaHei" w:eastAsia="Microsoft YaHei" w:hAnsi="Microsoft YaHei"/>
        </w:rPr>
        <w:t xml:space="preserve">，不是JSON。一览由core-store（第11章 7.1）持有，每次读写时验证。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记录电子签名按行（一件作品、一条状况的追记、一份授权书）持有，各行包含前一行的哈希形成链（顺序与无缺失的证明）。链按写入的终端各一条（一条链始终只由一台终端写入。与Kafka的分区、Syncthing的按终端索引相同），其他终端的行通过同步接收副本，按时钟与单调编号排列显示。行的形式为</w:t>
      </w:r>
      <w:r>
        <w:rPr>
          <w:rFonts w:ascii="Consolas" w:eastAsia="Microsoft YaHei" w:hAnsi="Consolas"/>
        </w:rPr>
        <w:t xml:space="preserve">prev</w:t>
      </w:r>
      <w:r>
        <w:rPr>
          <w:rFonts w:ascii="Microsoft YaHei" w:eastAsia="Microsoft YaHei" w:hAnsi="Microsoft YaHei"/>
        </w:rPr>
        <w:t xml:space="preserve">（前一行保存的字节串的SHA-256。首行为64个</w:t>
      </w:r>
      <w:r>
        <w:rPr>
          <w:rFonts w:ascii="Consolas" w:eastAsia="Microsoft YaHei" w:hAnsi="Consolas"/>
        </w:rPr>
        <w:t xml:space="preserve">0</w:t>
      </w:r>
      <w:r>
        <w:rPr>
          <w:rFonts w:ascii="Microsoft YaHei" w:eastAsia="Microsoft YaHei" w:hAnsi="Microsoft YaHei"/>
        </w:rPr>
        <w:t xml:space="preserve">）、</w:t>
      </w:r>
      <w:r>
        <w:rPr>
          <w:rFonts w:ascii="Consolas" w:eastAsia="Microsoft YaHei" w:hAnsi="Consolas"/>
        </w:rPr>
        <w:t xml:space="preserve">seq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device</w:t>
      </w:r>
      <w:r>
        <w:rPr>
          <w:rFonts w:ascii="Microsoft YaHei" w:eastAsia="Microsoft YaHei" w:hAnsi="Microsoft YaHei"/>
        </w:rPr>
        <w:t xml:space="preserve">（终端编号。8.2）、</w:t>
      </w:r>
      <w:r>
        <w:rPr>
          <w:rFonts w:ascii="Consolas" w:eastAsia="Microsoft YaHei" w:hAnsi="Consolas"/>
        </w:rPr>
        <w:t xml:space="preserve">clock</w:t>
      </w:r>
      <w:r>
        <w:rPr>
          <w:rFonts w:ascii="Microsoft YaHei" w:eastAsia="Microsoft YaHei" w:hAnsi="Microsoft YaHei"/>
        </w:rPr>
        <w:t xml:space="preserve">、正文、</w:t>
      </w:r>
      <w:r>
        <w:rPr>
          <w:rFonts w:ascii="Consolas" w:eastAsia="Microsoft YaHei" w:hAnsi="Consolas"/>
        </w:rPr>
        <w:t xml:space="preserve">sig</w:t>
      </w:r>
      <w:r>
        <w:rPr>
          <w:rFonts w:ascii="Microsoft YaHei" w:eastAsia="Microsoft YaHei" w:hAnsi="Microsoft YaHei"/>
        </w:rPr>
        <w:t xml:space="preserve">。损坏的行移到</w:t>
      </w:r>
      <w:r>
        <w:rPr>
          <w:rFonts w:ascii="Consolas" w:eastAsia="Microsoft YaHei" w:hAnsi="Consolas"/>
        </w:rPr>
        <w:t xml:space="preserve">&lt;stream&gt;/quarantine/</w:t>
      </w:r>
      <w:r>
        <w:rPr>
          <w:rFonts w:ascii="Microsoft YaHei" w:eastAsia="Microsoft YaHei" w:hAnsi="Microsoft YaHei"/>
        </w:rPr>
        <w:t xml:space="preserve">，之后的行带着“链已断”的标记仍可读取（与git fsck报告损坏对象、其余仍可读取相同）。只隔离损坏的行，其他照常使用，只从备份恢复该行。全部记录链的末端每天一次与每次连接时取得可信时间戳（第3章 4“可信时间戳”）。启动时的验证从链的末端进行（第8章 4“完整性”）。各记录分别持有终端时钟的值、当时时钟的偏差、单调编号（按终端的连号）、可信时间戳（如有）（10.7）（2026-09-30 NRSD的要求）。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来自另一台终端、备份的行的对齐（由第8章 5.3“恢复方法（导入）”、5.4“终端之间的同步”调用）：同一stream中</w:t>
      </w:r>
      <w:r>
        <w:rPr>
          <w:rFonts w:ascii="Consolas" w:eastAsia="Microsoft YaHei" w:hAnsi="Consolas"/>
        </w:rPr>
        <w:t xml:space="preserve">device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seq</w:t>
      </w:r>
      <w:r>
        <w:rPr>
          <w:rFonts w:ascii="Microsoft YaHei" w:eastAsia="Microsoft YaHei" w:hAnsi="Microsoft YaHei"/>
        </w:rPr>
        <w:t xml:space="preserve">相同的行视为一行（内容不同则两者都保留并显示差异。通常不会发生）。案件的状况追记按案件、变更的履历跨终端，按时间顺序排列。证据、素材的文件以SHA-256的名称对齐（相同者为一个）。授权书等文书以编号对齐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记录电子签名的形式为JWS（RFC 7515）的detached：正文为以JCS规范化的JSON，受保护的头部持有</w:t>
      </w:r>
      <w:r>
        <w:rPr>
          <w:rFonts w:ascii="Consolas" w:eastAsia="Microsoft YaHei" w:hAnsi="Consolas"/>
        </w:rPr>
        <w:t xml:space="preserve">alg: ES256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x5c</w:t>
      </w:r>
      <w:r>
        <w:rPr>
          <w:rFonts w:ascii="Microsoft YaHei" w:eastAsia="Microsoft YaHei" w:hAnsi="Microsoft YaHei"/>
        </w:rPr>
        <w:t xml:space="preserve">（签名用证书与个人根证书）、JAdES（ETSI TS 119 182-1）的</w:t>
      </w:r>
      <w:r>
        <w:rPr>
          <w:rFonts w:ascii="Consolas" w:eastAsia="Microsoft YaHei" w:hAnsi="Consolas"/>
        </w:rPr>
        <w:t xml:space="preserve">sigT</w:t>
      </w:r>
      <w:r>
        <w:rPr>
          <w:rFonts w:ascii="Microsoft YaHei" w:eastAsia="Microsoft YaHei" w:hAnsi="Microsoft YaHei"/>
        </w:rPr>
        <w:t xml:space="preserve">（签名的时刻）。链的行、授权书的</w:t>
      </w:r>
      <w:r>
        <w:rPr>
          <w:rFonts w:ascii="Consolas" w:eastAsia="Microsoft YaHei" w:hAnsi="Consolas"/>
        </w:rPr>
        <w:t xml:space="preserve">signatures</w:t>
      </w:r>
      <w:r>
        <w:rPr>
          <w:rFonts w:ascii="Microsoft YaHei" w:eastAsia="Microsoft YaHei" w:hAnsi="Microsoft YaHei"/>
        </w:rPr>
        <w:t xml:space="preserve">、WACZ的签名统一为同一形式（参考信息包以NRSD的TUF元数据签名，不使用JWS。第8章 3.4“参考信息包”）。专家可用一般的JWS工具验证。长期的有效性由ERS（第3章 4“可信时间戳”）承担（2026-10-01 NRSD的要求）。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8.4 保留与删除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所有记录都在使用者的终端上，只要使用者不删除就保留。应用自动删除的仅限以下内容：操作日志（90天。初始值）、崩溃时的报告（选择了发送或不发送时删除。未选择的保留到10件、30天为止。与Mozilla的Crash Reporter相同）、不再使用的导入素材（</w:t>
      </w:r>
      <w:r>
        <w:rPr>
          <w:rFonts w:ascii="Consolas" w:eastAsia="Microsoft YaHei" w:hAnsi="Consolas"/>
        </w:rPr>
        <w:t xml:space="preserve">assets/</w:t>
      </w:r>
      <w:r>
        <w:rPr>
          <w:rFonts w:ascii="Microsoft YaHei" w:eastAsia="Microsoft YaHei" w:hAnsi="Microsoft YaHei"/>
        </w:rPr>
        <w:t xml:space="preserve">。不被任何模板、作业引用的，在备份的整理时删除）、缩略图（删除作业时，以及缓存超过1GB时的旧的部分。第8章 6.1“终端容量的估计”）、作业版本备份中超过5个的旧的部分（第4章 11.4“版本的备份”）、异常退出后残留的临时文件（7.8）、记录格式迁移的副本（30天。第9章 4.4“记录格式的迁移”）。使用者的记录（作品数据、案件记录、证据、模板、授权书）不自动删除。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删除案件记录、证据之前，显示损害赔偿请求的期间（日本、中国均为自知道时起3年、自行为时起20年，美国为自请求发生起3年。法务调查 L-20“损害赔偿请求的期间（日、中、美）”），并建议导出。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NRSD不持有使用者的数据，因此NRSD方面不产生保留与删除的方针。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8.5 秘密信息的一览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各秘密的存放位置与泄露时的处理，作为“秘密：”的条目写在持有该秘密的节中（本节不转载。R-1-2-3的一览以grep汇集）：使用者的签名密钥（第2章 7.2“丢失与泄露”）、备份的口令（第8章 5.2“制作方法”）、终端的密钥（第2章 7.2“丢失与泄露”）、收费TSA的账号（第6章 3.2“可信时间戳”）、参考信息签名密钥（第8章 3.4“参考信息包”）、更新签名密钥（第9章 3.2“识别方法”）、代码签名与公证的凭据（第11章 8.3“机密的处理”）、镜像的密钥（第8章 3.6“香港镜像的运营”）、GitHub与各服务商的账号（第8章 3.5“GitHub账号与仓库的保护”）、TUF的密钥（第9章 4.3“更新说明（静态JSON）的形式”）。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8.6 多语言的文件名与文字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文件名以UTF-8（规范化为NFC）处理。操作系统不能使用的字符（Windows的</w:t>
      </w:r>
      <w:r>
        <w:rPr>
          <w:rFonts w:ascii="Consolas" w:eastAsia="Microsoft YaHei" w:hAnsi="Consolas"/>
        </w:rPr>
        <w:t xml:space="preserve">\ / : * ? " &lt; &gt; |</w:t>
      </w:r>
      <w:r>
        <w:rPr>
          <w:rFonts w:ascii="Microsoft YaHei" w:eastAsia="Microsoft YaHei" w:hAnsi="Microsoft YaHei"/>
        </w:rPr>
        <w:t xml:space="preserve">等）替换为</w:t>
      </w:r>
      <w:r>
        <w:rPr>
          <w:rFonts w:ascii="Consolas" w:eastAsia="Microsoft YaHei" w:hAnsi="Consolas"/>
        </w:rPr>
        <w:t xml:space="preserve">_</w:t>
      </w:r>
      <w:r>
        <w:rPr>
          <w:rFonts w:ascii="Microsoft YaHei" w:eastAsia="Microsoft YaHei" w:hAnsi="Microsoft YaHei"/>
        </w:rPr>
        <w:t xml:space="preserve">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应用在其数据位置中创建的文件与文件夹的名称为英文数字（编号），使用者输入的名称放在JSON中。导出输出的名称（使用拍摄名、原文件名）依第3章 10.1“名称与构成”。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输出的名称依第3章 10.1“名称与构成”（交付用为ASCII的可移植名称，社交平台用在导出前的案头检查中自动修正）（2026-09-30 NRSD的要求）。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9. 部署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9.1 各操作系统的存放位置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5"/>
        <w:gridCol w:w="2130"/>
        <w:gridCol w:w="1487"/>
        <w:gridCol w:w="1339"/>
        <w:gridCol w:w="3017"/>
      </w:tblGrid>
      <w:tr>
        <w:trPr>
          <w:cantSplit/>
          <w:tblHeader/>
        </w:trPr>
        <w:tc>
          <w:tcPr>
            <w:tcW w:type="dxa" w:w="166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存放的内容</w:t>
            </w:r>
          </w:p>
        </w:tc>
        <w:tc>
          <w:tcPr>
            <w:tcW w:type="dxa" w:w="21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位置（Tauri的名称）</w:t>
            </w:r>
          </w:p>
        </w:tc>
        <w:tc>
          <w:tcPr>
            <w:tcW w:type="dxa" w:w="148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Windows</w:t>
            </w:r>
          </w:p>
        </w:tc>
        <w:tc>
          <w:tcPr>
            <w:tcW w:type="dxa" w:w="133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macOS</w:t>
            </w:r>
          </w:p>
        </w:tc>
        <w:tc>
          <w:tcPr>
            <w:tcW w:type="dxa" w:w="30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Linux</w:t>
            </w:r>
          </w:p>
        </w:tc>
      </w:tr>
      <w:tr>
        <w:trPr>
          <w:cantSplit/>
          <w:tblHeader w:val="off"/>
        </w:trPr>
        <w:tc>
          <w:tcPr>
            <w:tcW w:type="dxa" w:w="166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记录、作业、证据、模板、导入的素材、设置、获取的参考信息</w:t>
            </w:r>
          </w:p>
        </w:tc>
        <w:tc>
          <w:tcPr>
            <w:tcW w:type="dxa" w:w="21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app_local_data_dir</w:t>
            </w:r>
          </w:p>
        </w:tc>
        <w:tc>
          <w:tcPr>
            <w:tcW w:type="dxa" w:w="148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Local的AppData下应用的编号</w:t>
            </w:r>
          </w:p>
        </w:tc>
        <w:tc>
          <w:tcPr>
            <w:tcW w:type="dxa" w:w="133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~/Library/Application Support下</w:t>
            </w:r>
          </w:p>
        </w:tc>
        <w:tc>
          <w:tcPr>
            <w:tcW w:type="dxa" w:w="30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$XDG_DATA_HOME（没有则~/.local/share）下</w:t>
            </w:r>
          </w:p>
        </w:tc>
      </w:tr>
      <w:tr>
        <w:trPr>
          <w:cantSplit/>
          <w:tblHeader w:val="off"/>
        </w:trPr>
        <w:tc>
          <w:tcPr>
            <w:tcW w:type="dxa" w:w="166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缩略图等可重新生成的内容</w:t>
            </w:r>
          </w:p>
        </w:tc>
        <w:tc>
          <w:tcPr>
            <w:tcW w:type="dxa" w:w="21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app_cache_dir</w:t>
            </w:r>
          </w:p>
        </w:tc>
        <w:tc>
          <w:tcPr>
            <w:tcW w:type="dxa" w:w="148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Local的AppData下</w:t>
            </w:r>
          </w:p>
        </w:tc>
        <w:tc>
          <w:tcPr>
            <w:tcW w:type="dxa" w:w="133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~/Library/Caches下</w:t>
            </w:r>
          </w:p>
        </w:tc>
        <w:tc>
          <w:tcPr>
            <w:tcW w:type="dxa" w:w="30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$XDG_CACHE_HOME（没有则~/.cache）下</w:t>
            </w:r>
          </w:p>
        </w:tc>
      </w:tr>
      <w:tr>
        <w:trPr>
          <w:cantSplit/>
          <w:tblHeader w:val="off"/>
        </w:trPr>
        <w:tc>
          <w:tcPr>
            <w:tcW w:type="dxa" w:w="166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操作日志</w:t>
            </w:r>
          </w:p>
        </w:tc>
        <w:tc>
          <w:tcPr>
            <w:tcW w:type="dxa" w:w="21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app_log_dir</w:t>
            </w:r>
          </w:p>
        </w:tc>
        <w:tc>
          <w:tcPr>
            <w:tcW w:type="dxa" w:w="148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Local的AppData下的logs</w:t>
            </w:r>
          </w:p>
        </w:tc>
        <w:tc>
          <w:tcPr>
            <w:tcW w:type="dxa" w:w="133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~/Library/Logs下</w:t>
            </w:r>
          </w:p>
        </w:tc>
        <w:tc>
          <w:tcPr>
            <w:tcW w:type="dxa" w:w="30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local_data_dir下的logs</w:t>
            </w:r>
          </w:p>
        </w:tc>
      </w:tr>
      <w:tr>
        <w:trPr>
          <w:cantSplit/>
          <w:tblHeader w:val="off"/>
        </w:trPr>
        <w:tc>
          <w:tcPr>
            <w:tcW w:type="dxa" w:w="166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签名密钥</w:t>
            </w:r>
          </w:p>
        </w:tc>
        <w:tc>
          <w:tcPr>
            <w:tcW w:type="dxa" w:w="21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操作系统的密钥存储</w:t>
            </w:r>
          </w:p>
        </w:tc>
        <w:tc>
          <w:tcPr>
            <w:tcW w:type="dxa" w:w="148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凭据管理器与DPAPI</w:t>
            </w:r>
          </w:p>
        </w:tc>
        <w:tc>
          <w:tcPr>
            <w:tcW w:type="dxa" w:w="133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钥匙串</w:t>
            </w:r>
          </w:p>
        </w:tc>
        <w:tc>
          <w:tcPr>
            <w:tcW w:type="dxa" w:w="30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Secret Service（没有时为app_local_data_dir下以口令加密的密钥文件。第2章 7.5“各操作系统的保管方式”）</w:t>
            </w:r>
          </w:p>
        </w:tc>
      </w:tr>
    </w:tbl>
    <w:p>
      <w:pPr>
        <w:spacing w:after="100" w:before="0"/>
      </w:pP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出处：Tauri的PathResolver的说明。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不使用Roaming的AppData（app_data_dir在Windows上的位置）（DD-1-10“数据放在不同步的、按使用者区分的位置”）。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存放位置内的配置在第8章 2.1“配置”中规定。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应用标识符：Tauri的identifier（macOS的bundle id）为</w:t>
      </w:r>
      <w:r>
        <w:rPr>
          <w:rFonts w:ascii="Consolas" w:eastAsia="Microsoft YaHei" w:hAnsi="Consolas"/>
        </w:rPr>
        <w:t xml:space="preserve">jp.nrsd.c2pa4cosplayer</w:t>
      </w:r>
      <w:r>
        <w:rPr>
          <w:rFonts w:ascii="Microsoft YaHei" w:eastAsia="Microsoft YaHei" w:hAnsi="Microsoft YaHei"/>
        </w:rPr>
        <w:t xml:space="preserve">，产品名为</w:t>
      </w:r>
      <w:r>
        <w:rPr>
          <w:rFonts w:ascii="Consolas" w:eastAsia="Microsoft YaHei" w:hAnsi="Consolas"/>
        </w:rPr>
        <w:t xml:space="preserve">c2pa4cosplayer</w:t>
      </w:r>
      <w:r>
        <w:rPr>
          <w:rFonts w:ascii="Microsoft YaHei" w:eastAsia="Microsoft YaHei" w:hAnsi="Microsoft YaHei"/>
        </w:rPr>
        <w:t xml:space="preserve">，向操作系统注册的URL方案为</w:t>
      </w:r>
      <w:r>
        <w:rPr>
          <w:rFonts w:ascii="Consolas" w:eastAsia="Microsoft YaHei" w:hAnsi="Consolas"/>
        </w:rPr>
        <w:t xml:space="preserve">c2pa4cosplayer://</w:t>
      </w:r>
      <w:r>
        <w:rPr>
          <w:rFonts w:ascii="Microsoft YaHei" w:eastAsia="Microsoft YaHei" w:hAnsi="Microsoft YaHei"/>
        </w:rPr>
        <w:t xml:space="preserve">（10.10），Windows的存放位置为</w:t>
      </w:r>
      <w:r>
        <w:rPr>
          <w:rFonts w:ascii="Consolas" w:eastAsia="Microsoft YaHei" w:hAnsi="Consolas"/>
        </w:rPr>
        <w:t xml:space="preserve">%LOCALAPPDATA%\jp.nrsd.c2pa4cosplayer</w:t>
      </w:r>
      <w:r>
        <w:rPr>
          <w:rFonts w:ascii="Microsoft YaHei" w:eastAsia="Microsoft YaHei" w:hAnsi="Microsoft YaHei"/>
        </w:rPr>
        <w:t xml:space="preserve">。第8章 2.1的</w:t>
      </w:r>
      <w:r>
        <w:rPr>
          <w:rFonts w:ascii="Consolas" w:eastAsia="Microsoft YaHei" w:hAnsi="Consolas"/>
        </w:rPr>
        <w:t xml:space="preserve">&lt;标识符&gt;</w:t>
      </w:r>
      <w:r>
        <w:rPr>
          <w:rFonts w:ascii="Microsoft YaHei" w:eastAsia="Microsoft YaHei" w:hAnsi="Microsoft YaHei"/>
        </w:rPr>
        <w:t xml:space="preserve">即此值。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9.2 安装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每个操作系统一个分发物（第9章 DD-9-1“每个操作系统一个分发物，并进行代码签名”）。为不需要管理员权限、按使用者的安装。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9.3 单一启动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每台机器只启动一个（DD-1-11“每台机器只启动一个应用”）。使用Tauri的单一启动插件（tauri-plugin-single-instance。支持Windows、macOS、Linux，在Linux上使用DBus。第二次启动通知第一个后结束。插件必须最先注册）。出处：Tauri官方的指南（v2.tauri.app/plugin/single-instance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第二次启动时如传入了照片、文件夹（把文件拖到窗口等），由第一个接收。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10. 横贯的思路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10.1 数据的模型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数据的对象、持有的内容、与其他的关系，依第8章 2.1“配置”的表与各章记录的项目（第3章 7.2“作品数据的项目（O-10“作品数据的记录格式”的决定）”、第6章 2.4“登记数据的项目”、第4章 15“数据的格式”、第2章 5.3“文书的格式”）（本章不转载）。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10.2 保存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所有记录与输出的文件都按DD-1-9“记录先完整写入临时文件再替换”的步骤写入（不留下写到一半而损坏的文件）：</w:t>
      </w:r>
    </w:p>
    <w:p>
      <w:pPr>
        <w:keepNext/>
        <w:keepLines/>
        <w:spacing w:after="80" w:before="80" w:line="320"/>
      </w:pPr>
      <w:r>
        <w:rPr>
          <w:rFonts w:ascii="Microsoft YaHei" w:eastAsia="Microsoft YaHei" w:hAnsi="Microsoft YaHei"/>
        </w:rPr>
        <w:t xml:space="preserve">  1. 在与目标相同的文件夹中，以临时名称写入。临时名称为</w:t>
      </w:r>
      <w:r>
        <w:rPr>
          <w:rFonts w:ascii="Consolas" w:eastAsia="Microsoft YaHei" w:hAnsi="Consolas"/>
        </w:rPr>
        <w:t xml:space="preserve">~$&lt;最终名称&gt;.tmp</w:t>
      </w:r>
      <w:r>
        <w:rPr>
          <w:rFonts w:ascii="Microsoft YaHei" w:eastAsia="Microsoft YaHei" w:hAnsi="Microsoft YaHei"/>
        </w:rPr>
        <w:t xml:space="preserve">（以</w:t>
      </w:r>
      <w:r>
        <w:rPr>
          <w:rFonts w:ascii="Consolas" w:eastAsia="Microsoft YaHei" w:hAnsi="Consolas"/>
        </w:rPr>
        <w:t xml:space="preserve">~$</w:t>
      </w:r>
      <w:r>
        <w:rPr>
          <w:rFonts w:ascii="Microsoft YaHei" w:eastAsia="Microsoft YaHei" w:hAnsi="Microsoft YaHei"/>
        </w:rPr>
        <w:t xml:space="preserve">开头的文件Dropbox、OneDrive不同步，</w:t>
      </w:r>
      <w:r>
        <w:rPr>
          <w:rFonts w:ascii="Consolas" w:eastAsia="Microsoft YaHei" w:hAnsi="Consolas"/>
        </w:rPr>
        <w:t xml:space="preserve">.tmp</w:t>
      </w:r>
      <w:r>
        <w:rPr>
          <w:rFonts w:ascii="Microsoft YaHei" w:eastAsia="Microsoft YaHei" w:hAnsi="Microsoft YaHei"/>
        </w:rPr>
        <w:t xml:space="preserve">OneDrive不同步。各公司“不同步的文件”的说明，2026-10-01。Google Drive无明文，故向同步文件夹导出时在G-08显示一行“完成前同步软件可能拾取中途的文件”。因在通过回读验证（第3章 8.1 第13段）后才确定名称，即使被拾取，损坏的文件也不会成为正式名称）。</w:t>
      </w:r>
    </w:p>
    <w:p>
      <w:pPr>
        <w:keepNext/>
        <w:keepLines/>
        <w:spacing w:after="80" w:before="80" w:line="320"/>
      </w:pPr>
      <w:r>
        <w:rPr>
          <w:rFonts w:ascii="Microsoft YaHei" w:eastAsia="Microsoft YaHei" w:hAnsi="Microsoft YaHei"/>
        </w:rPr>
        <w:t xml:space="preserve">  2. 把临时文件写入存储介质（Rust的</w:t>
      </w:r>
      <w:r>
        <w:rPr>
          <w:rFonts w:ascii="Consolas" w:eastAsia="Microsoft YaHei" w:hAnsi="Consolas"/>
        </w:rPr>
        <w:t xml:space="preserve">File::sync_all</w:t>
      </w:r>
      <w:r>
        <w:rPr>
          <w:rFonts w:ascii="Microsoft YaHei" w:eastAsia="Microsoft YaHei" w:hAnsi="Microsoft YaHei"/>
        </w:rPr>
        <w:t xml:space="preserve">）。</w:t>
      </w:r>
    </w:p>
    <w:p>
      <w:pPr>
        <w:keepNext/>
        <w:keepLines/>
        <w:spacing w:after="80" w:before="80" w:line="320"/>
      </w:pPr>
      <w:r>
        <w:rPr>
          <w:rFonts w:ascii="Microsoft YaHei" w:eastAsia="Microsoft YaHei" w:hAnsi="Microsoft YaHei"/>
        </w:rPr>
        <w:t xml:space="preserve">  3. 替换名称。Windows以</w:t>
      </w:r>
      <w:r>
        <w:rPr>
          <w:rFonts w:ascii="Consolas" w:eastAsia="Microsoft YaHei" w:hAnsi="Consolas"/>
        </w:rPr>
        <w:t xml:space="preserve">MoveFileExW</w:t>
      </w:r>
      <w:r>
        <w:rPr>
          <w:rFonts w:ascii="Microsoft YaHei" w:eastAsia="Microsoft YaHei" w:hAnsi="Microsoft YaHei"/>
        </w:rPr>
        <w:t xml:space="preserve">附加替换已有与直写的指定（</w:t>
      </w:r>
      <w:r>
        <w:rPr>
          <w:rFonts w:ascii="Consolas" w:eastAsia="Microsoft YaHei" w:hAnsi="Consolas"/>
        </w:rPr>
        <w:t xml:space="preserve">MOVEFILE_REPLACE_EXISTING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MOVEFILE_WRITE_THROUGH</w:t>
      </w:r>
      <w:r>
        <w:rPr>
          <w:rFonts w:ascii="Microsoft YaHei" w:eastAsia="Microsoft YaHei" w:hAnsi="Microsoft YaHei"/>
        </w:rPr>
        <w:t xml:space="preserve">）进行。macOS、Linux以</w:t>
      </w:r>
      <w:r>
        <w:rPr>
          <w:rFonts w:ascii="Consolas" w:eastAsia="Microsoft YaHei" w:hAnsi="Consolas"/>
        </w:rPr>
        <w:t xml:space="preserve">rename</w:t>
      </w:r>
      <w:r>
        <w:rPr>
          <w:rFonts w:ascii="Microsoft YaHei" w:eastAsia="Microsoft YaHei" w:hAnsi="Microsoft YaHei"/>
        </w:rPr>
        <w:t xml:space="preserve">进行。</w:t>
      </w:r>
    </w:p>
    <w:p>
      <w:pPr>
        <w:keepNext/>
        <w:keepLines/>
        <w:spacing w:after="80" w:before="80" w:line="320"/>
      </w:pPr>
      <w:r>
        <w:rPr>
          <w:rFonts w:ascii="Microsoft YaHei" w:eastAsia="Microsoft YaHei" w:hAnsi="Microsoft YaHei"/>
        </w:rPr>
        <w:t xml:space="preserve">  4. macOS、Linux还把文件夹写入存储介质（</w:t>
      </w:r>
      <w:r>
        <w:rPr>
          <w:rFonts w:ascii="Consolas" w:eastAsia="Microsoft YaHei" w:hAnsi="Consolas"/>
        </w:rPr>
        <w:t xml:space="preserve">fsync</w:t>
      </w:r>
      <w:r>
        <w:rPr>
          <w:rFonts w:ascii="Microsoft YaHei" w:eastAsia="Microsoft YaHei" w:hAnsi="Microsoft YaHei"/>
        </w:rPr>
        <w:t xml:space="preserve">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出处：Rust的</w:t>
      </w:r>
      <w:r>
        <w:rPr>
          <w:rFonts w:ascii="Consolas" w:eastAsia="Microsoft YaHei" w:hAnsi="Consolas"/>
        </w:rPr>
        <w:t xml:space="preserve">std::fs::rename</w:t>
      </w:r>
      <w:r>
        <w:rPr>
          <w:rFonts w:ascii="Microsoft YaHei" w:eastAsia="Microsoft YaHei" w:hAnsi="Microsoft YaHei"/>
        </w:rPr>
        <w:t xml:space="preserve">的说明（在Windows上使用</w:t>
      </w:r>
      <w:r>
        <w:rPr>
          <w:rFonts w:ascii="Consolas" w:eastAsia="Microsoft YaHei" w:hAnsi="Consolas"/>
        </w:rPr>
        <w:t xml:space="preserve">MoveFileExW</w:t>
      </w:r>
      <w:r>
        <w:rPr>
          <w:rFonts w:ascii="Microsoft YaHei" w:eastAsia="Microsoft YaHei" w:hAnsi="Microsoft YaHei"/>
        </w:rPr>
        <w:t xml:space="preserve">）、Microsoft的</w:t>
      </w:r>
      <w:r>
        <w:rPr>
          <w:rFonts w:ascii="Consolas" w:eastAsia="Microsoft YaHei" w:hAnsi="Consolas"/>
        </w:rPr>
        <w:t xml:space="preserve">MoveFileExW</w:t>
      </w:r>
      <w:r>
        <w:rPr>
          <w:rFonts w:ascii="Microsoft YaHei" w:eastAsia="Microsoft YaHei" w:hAnsi="Microsoft YaHei"/>
        </w:rPr>
        <w:t xml:space="preserve">的说明、tempfile的</w:t>
      </w:r>
      <w:r>
        <w:rPr>
          <w:rFonts w:ascii="Consolas" w:eastAsia="Microsoft YaHei" w:hAnsi="Consolas"/>
        </w:rPr>
        <w:t xml:space="preserve">persist</w:t>
      </w:r>
      <w:r>
        <w:rPr>
          <w:rFonts w:ascii="Microsoft YaHei" w:eastAsia="Microsoft YaHei" w:hAnsi="Microsoft YaHei"/>
        </w:rPr>
        <w:t xml:space="preserve">的说明（不同步内容与文件夹）、atomicwrites的实现（</w:t>
      </w:r>
      <w:r>
        <w:rPr>
          <w:rFonts w:ascii="Consolas" w:eastAsia="Microsoft YaHei" w:hAnsi="Consolas"/>
        </w:rPr>
        <w:t xml:space="preserve">sync_all</w:t>
      </w:r>
      <w:r>
        <w:rPr>
          <w:rFonts w:ascii="Microsoft YaHei" w:eastAsia="Microsoft YaHei" w:hAnsi="Microsoft YaHei"/>
        </w:rPr>
        <w:t xml:space="preserve">之后替换）。不采用</w:t>
      </w:r>
      <w:r>
        <w:rPr>
          <w:rFonts w:ascii="Consolas" w:eastAsia="Microsoft YaHei" w:hAnsi="Consolas"/>
        </w:rPr>
        <w:t xml:space="preserve">ReplaceFileW</w:t>
      </w:r>
      <w:r>
        <w:rPr>
          <w:rFonts w:ascii="Microsoft YaHei" w:eastAsia="Microsoft YaHei" w:hAnsi="Microsoft YaHei"/>
        </w:rPr>
        <w:t xml:space="preserve">。因为Microsoft的说明中写明，部分失败（错误1176）时替换目标的文件可能消失。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放在链中的记录（作品数据、案件记录与状况的追记、授权书等文书、变更的履历。8.3）附加记录电子签名（DD-1-5“终端的记录附记录电子签名并加以验证”）。读取时验证，不一致则不使用并通知。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两个处理不同时写同一记录。每个记录确定一个写入的处理，其他处理委托写入者。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文件夹的使用中标记（作业的文件夹等），以持续打开其中的</w:t>
      </w:r>
      <w:r>
        <w:rPr>
          <w:rFonts w:ascii="Consolas" w:eastAsia="Microsoft YaHei" w:hAnsi="Consolas"/>
        </w:rPr>
        <w:t xml:space="preserve">lock</w:t>
      </w:r>
      <w:r>
        <w:rPr>
          <w:rFonts w:ascii="Microsoft YaHei" w:eastAsia="Microsoft YaHei" w:hAnsi="Microsoft YaHei"/>
        </w:rPr>
        <w:t xml:space="preserve">并加上操作系统的文件锁（Windows的</w:t>
      </w:r>
      <w:r>
        <w:rPr>
          <w:rFonts w:ascii="Consolas" w:eastAsia="Microsoft YaHei" w:hAnsi="Consolas"/>
        </w:rPr>
        <w:t xml:space="preserve">LockFileEx</w:t>
      </w:r>
      <w:r>
        <w:rPr>
          <w:rFonts w:ascii="Microsoft YaHei" w:eastAsia="Microsoft YaHei" w:hAnsi="Microsoft YaHei"/>
        </w:rPr>
        <w:t xml:space="preserve">、macOS与Linux的</w:t>
      </w:r>
      <w:r>
        <w:rPr>
          <w:rFonts w:ascii="Consolas" w:eastAsia="Microsoft YaHei" w:hAnsi="Consolas"/>
        </w:rPr>
        <w:t xml:space="preserve">flock</w:t>
      </w:r>
      <w:r>
        <w:rPr>
          <w:rFonts w:ascii="Microsoft YaHei" w:eastAsia="Microsoft YaHei" w:hAnsi="Microsoft YaHei"/>
        </w:rPr>
        <w:t xml:space="preserve">。fd-lock的crate）来表示。进程结束时由操作系统解除（比记录PID更可靠）。取不到锁时以只读打开。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ZIP的读写（模板的交接、备份、证据包）共通的确认：其中的路径含有</w:t>
      </w:r>
      <w:r>
        <w:rPr>
          <w:rFonts w:ascii="Consolas" w:eastAsia="Microsoft YaHei" w:hAnsi="Consolas"/>
        </w:rPr>
        <w:t xml:space="preserve">..</w:t>
      </w:r>
      <w:r>
        <w:rPr>
          <w:rFonts w:ascii="Microsoft YaHei" w:eastAsia="Microsoft YaHei" w:hAnsi="Microsoft YaHei"/>
        </w:rPr>
        <w:t xml:space="preserve">、绝对路径、符号链接时中止。项目数与解压合计的上限由调用方传入，超过则中止。解压的合计与其中的头部（本地头）申报的不一致时中止（解压炸弹。10.6）。各自的上限由承接的节持有（第4章 8.3“交接（导出与导入）”、第8章 5.3“恢复方法（导入）”）。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10.3 错误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错误持有分类与编号（8.2）、给使用者的文字、给日志的文字。给使用者的文字以文字文件的键</w:t>
      </w:r>
      <w:r>
        <w:rPr>
          <w:rFonts w:ascii="Consolas" w:eastAsia="Microsoft YaHei" w:hAnsi="Consolas"/>
        </w:rPr>
        <w:t xml:space="preserve">err.&lt;编号&gt;.what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.safe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.next</w:t>
      </w:r>
      <w:r>
        <w:rPr>
          <w:rFonts w:ascii="Microsoft YaHei" w:eastAsia="Microsoft YaHei" w:hAnsi="Microsoft YaHei"/>
        </w:rPr>
        <w:t xml:space="preserve">（第10章 DD-10-8的3个栏）持有，编号在唯一的台账</w:t>
      </w:r>
      <w:r>
        <w:rPr>
          <w:rFonts w:ascii="Consolas" w:eastAsia="Microsoft YaHei" w:hAnsi="Consolas"/>
        </w:rPr>
        <w:t xml:space="preserve">dev/errors.yaml</w:t>
      </w:r>
      <w:r>
        <w:rPr>
          <w:rFonts w:ascii="Microsoft YaHei" w:eastAsia="Microsoft YaHei" w:hAnsi="Microsoft YaHei"/>
        </w:rPr>
        <w:t xml:space="preserve">中编排（栏：编号、正常系还是异常检测、分类、发生条件、检测方法、处理、对原图与记录的影响、文字的键、失败测试的名称）。按分类连号，退役的编号不删除，以</w:t>
      </w:r>
      <w:r>
        <w:rPr>
          <w:rFonts w:ascii="Consolas" w:eastAsia="Microsoft YaHei" w:hAnsi="Consolas"/>
        </w:rPr>
        <w:t xml:space="preserve">retired</w:t>
      </w:r>
      <w:r>
        <w:rPr>
          <w:rFonts w:ascii="Microsoft YaHei" w:eastAsia="Microsoft YaHei" w:hAnsi="Microsoft YaHei"/>
        </w:rPr>
        <w:t xml:space="preserve">标记保留且不再使用（与rustc的error codes登记及tidy检查相同）。Rust的类型（分类与编号）在构建时由台账生成，并在CI中确认类型变体与台账、台账与3种语言的文字、台账与测试的存在一致（第11章 8.1）。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6390"/>
      </w:tblGrid>
      <w:tr>
        <w:trPr>
          <w:cantSplit/>
          <w:tblHeader/>
        </w:trPr>
        <w:tc>
          <w:tcPr>
            <w:tcW w:type="dxa" w:w="32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分类</w:t>
            </w:r>
          </w:p>
        </w:tc>
        <w:tc>
          <w:tcPr>
            <w:tcW w:type="dxa" w:w="639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32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IMG</w:t>
            </w:r>
          </w:p>
        </w:tc>
        <w:tc>
          <w:tcPr>
            <w:tcW w:type="dxa" w:w="639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图像的读写</w:t>
            </w:r>
          </w:p>
        </w:tc>
      </w:tr>
      <w:tr>
        <w:trPr>
          <w:cantSplit/>
          <w:tblHeader w:val="off"/>
        </w:trPr>
        <w:tc>
          <w:tcPr>
            <w:tcW w:type="dxa" w:w="32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SIG</w:t>
            </w:r>
          </w:p>
        </w:tc>
        <w:tc>
          <w:tcPr>
            <w:tcW w:type="dxa" w:w="639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C2PA签名、证书、密钥</w:t>
            </w:r>
          </w:p>
        </w:tc>
      </w:tr>
      <w:tr>
        <w:trPr>
          <w:cantSplit/>
          <w:tblHeader w:val="off"/>
        </w:trPr>
        <w:tc>
          <w:tcPr>
            <w:tcW w:type="dxa" w:w="32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TSA</w:t>
            </w:r>
          </w:p>
        </w:tc>
        <w:tc>
          <w:tcPr>
            <w:tcW w:type="dxa" w:w="639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可信时间戳</w:t>
            </w:r>
          </w:p>
        </w:tc>
      </w:tr>
      <w:tr>
        <w:trPr>
          <w:cantSplit/>
          <w:tblHeader w:val="off"/>
        </w:trPr>
        <w:tc>
          <w:tcPr>
            <w:tcW w:type="dxa" w:w="32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NET</w:t>
            </w:r>
          </w:p>
        </w:tc>
        <w:tc>
          <w:tcPr>
            <w:tcW w:type="dxa" w:w="639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通信</w:t>
            </w:r>
          </w:p>
        </w:tc>
      </w:tr>
      <w:tr>
        <w:trPr>
          <w:cantSplit/>
          <w:tblHeader w:val="off"/>
        </w:trPr>
        <w:tc>
          <w:tcPr>
            <w:tcW w:type="dxa" w:w="32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STO</w:t>
            </w:r>
          </w:p>
        </w:tc>
        <w:tc>
          <w:tcPr>
            <w:tcW w:type="dxa" w:w="639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保存、容量</w:t>
            </w:r>
          </w:p>
        </w:tc>
      </w:tr>
      <w:tr>
        <w:trPr>
          <w:cantSplit/>
          <w:tblHeader w:val="off"/>
        </w:trPr>
        <w:tc>
          <w:tcPr>
            <w:tcW w:type="dxa" w:w="32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REF</w:t>
            </w:r>
          </w:p>
        </w:tc>
        <w:tc>
          <w:tcPr>
            <w:tcW w:type="dxa" w:w="639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参考信息</w:t>
            </w:r>
          </w:p>
        </w:tc>
      </w:tr>
      <w:tr>
        <w:trPr>
          <w:cantSplit/>
          <w:tblHeader w:val="off"/>
        </w:trPr>
        <w:tc>
          <w:tcPr>
            <w:tcW w:type="dxa" w:w="32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UPD</w:t>
            </w:r>
          </w:p>
        </w:tc>
        <w:tc>
          <w:tcPr>
            <w:tcW w:type="dxa" w:w="639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更新</w:t>
            </w:r>
          </w:p>
        </w:tc>
      </w:tr>
      <w:tr>
        <w:trPr>
          <w:cantSplit/>
          <w:tblHeader w:val="off"/>
        </w:trPr>
        <w:tc>
          <w:tcPr>
            <w:tcW w:type="dxa" w:w="32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CAS</w:t>
            </w:r>
          </w:p>
        </w:tc>
        <w:tc>
          <w:tcPr>
            <w:tcW w:type="dxa" w:w="639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登记、证据</w:t>
            </w:r>
          </w:p>
        </w:tc>
      </w:tr>
      <w:tr>
        <w:trPr>
          <w:cantSplit/>
          <w:tblHeader w:val="off"/>
        </w:trPr>
        <w:tc>
          <w:tcPr>
            <w:tcW w:type="dxa" w:w="32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BAK</w:t>
            </w:r>
          </w:p>
        </w:tc>
        <w:tc>
          <w:tcPr>
            <w:tcW w:type="dxa" w:w="639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备份文件</w:t>
            </w:r>
          </w:p>
        </w:tc>
      </w:tr>
      <w:tr>
        <w:trPr>
          <w:cantSplit/>
          <w:tblHeader w:val="off"/>
        </w:trPr>
        <w:tc>
          <w:tcPr>
            <w:tcW w:type="dxa" w:w="32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INP</w:t>
            </w:r>
          </w:p>
        </w:tc>
        <w:tc>
          <w:tcPr>
            <w:tcW w:type="dxa" w:w="639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输入的确认</w:t>
            </w:r>
          </w:p>
        </w:tc>
      </w:tr>
      <w:tr>
        <w:trPr>
          <w:cantSplit/>
          <w:tblHeader w:val="off"/>
        </w:trPr>
        <w:tc>
          <w:tcPr>
            <w:tcW w:type="dxa" w:w="32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SYN</w:t>
            </w:r>
          </w:p>
        </w:tc>
        <w:tc>
          <w:tcPr>
            <w:tcW w:type="dxa" w:w="639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终端之间、与已确认对方的直接连接与对齐</w:t>
            </w:r>
          </w:p>
        </w:tc>
      </w:tr>
      <w:tr>
        <w:trPr>
          <w:cantSplit/>
          <w:tblHeader w:val="off"/>
        </w:trPr>
        <w:tc>
          <w:tcPr>
            <w:tcW w:type="dxa" w:w="324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AUT</w:t>
            </w:r>
          </w:p>
        </w:tc>
        <w:tc>
          <w:tcPr>
            <w:tcW w:type="dxa" w:w="639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操作系统的本人确认</w:t>
            </w:r>
          </w:p>
        </w:tc>
      </w:tr>
    </w:tbl>
    <w:p>
      <w:pPr>
        <w:spacing w:after="100" w:before="0"/>
      </w:pP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给使用者的显示依第10章 DD-10-8“统一错误显示的格式”的格式（发生了什么、原图与记录是否无恙、接下来要做什么、编号）。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事件分为“正常系”与“异常检测”两类（2026-09-30 NRSD的要求：在检测一切错误的基础上，做成不显示错误的设计）。</w:t>
      </w:r>
    </w:p>
    <w:p>
      <w:pPr>
        <w:pStyle w:val="ListParagraph"/>
        <w:keepNext/>
        <w:keepLines/>
        <w:numPr>
          <w:ilvl w:val="1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正常系：已知可能发生的事件（线路不通、空间不足、损坏的图片、密钥存储的拒绝、可信时间戳的挂起、不支持的格式、使用者输入的错误等）。全部载入一览，各自持有规定的处理（停止、跳过、挂起、重试、显示替代途径），对使用者不作为错误而作为状态显示（第10章 DD-10-8“统一错误显示的格式”的格式也用于正常系的通知）。</w:t>
      </w:r>
    </w:p>
    <w:p>
      <w:pPr>
        <w:pStyle w:val="ListParagraph"/>
        <w:keepNext/>
        <w:keepLines/>
        <w:numPr>
          <w:ilvl w:val="1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异常检测：检测到不应发生的事发生了（不变条件被破坏、意料之外的返回值、记录的不一致）。这是应用的错误，目标为零。检测到时倒向保护原图与记录的一侧（停止处理，不留写了一半的东西），附编号记入记录。发生一览中没有的事件时，作为异常检测处理并加入一览。加入之前，附上分类的预留编号</w:t>
      </w:r>
      <w:r>
        <w:rPr>
          <w:rFonts w:ascii="Consolas" w:eastAsia="Microsoft YaHei" w:hAnsi="Consolas"/>
        </w:rPr>
        <w:t xml:space="preserve">&lt;分类&gt;-000</w:t>
      </w:r>
      <w:r>
        <w:rPr>
          <w:rFonts w:ascii="Microsoft YaHei" w:eastAsia="Microsoft YaHei" w:hAnsi="Microsoft YaHei"/>
        </w:rPr>
        <w:t xml:space="preserve">（未登记的异常检测）记录，并在崩溃时的报告的</w:t>
      </w:r>
      <w:r>
        <w:rPr>
          <w:rFonts w:ascii="Consolas" w:eastAsia="Microsoft YaHei" w:hAnsi="Consolas"/>
        </w:rPr>
        <w:t xml:space="preserve">error_number</w:t>
      </w:r>
      <w:r>
        <w:rPr>
          <w:rFonts w:ascii="Microsoft YaHei" w:eastAsia="Microsoft YaHei" w:hAnsi="Microsoft YaHei"/>
        </w:rPr>
        <w:t xml:space="preserve">中也写入该编号与检测的位置（源文件与行）。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编号的一览（编号、正常系还是异常检测、分类、发生的条件、检测的方法、给使用者的文字、应用的处理、对原图与记录的影响、失败的测试）在实现之前制作，与界面的文字文件（第11章 DD-11-8“国际化通过文字文件进行”）以同样的3种语言持有。一览中的各事件，以失败的测试确认实际引发后落到规定的处理（第13章 5“实测与确认的一览”）。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崩溃时的报告：异常检测及应用崩溃（操作系统的异常）时，将与Breakpad（Mozilla的Crash Reporter）相同形式的报告（minidump与附带信息：应用版本、操作系统、错误编号、上一操作的种类）写入</w:t>
      </w:r>
      <w:r>
        <w:rPr>
          <w:rFonts w:ascii="Consolas" w:eastAsia="Microsoft YaHei" w:hAnsi="Consolas"/>
        </w:rPr>
        <w:t xml:space="preserve">crashes/</w:t>
      </w:r>
      <w:r>
        <w:rPr>
          <w:rFonts w:ascii="Microsoft YaHei" w:eastAsia="Microsoft YaHei" w:hAnsi="Microsoft YaHei"/>
        </w:rPr>
        <w:t xml:space="preserve">（第8章 2.1“配置”）。minidump由minidumper（内部使用rust-minidump的minidump-writer。第11章 4.1）生成。不含照片、记录、个人信息。报告保留到使用者选择“发送”或“不发送”，选择后删除。因写入minidump的是另一进程（崩溃的进程自身无法写入），应用在启动时以</w:t>
      </w:r>
      <w:r>
        <w:rPr>
          <w:rFonts w:ascii="Consolas" w:eastAsia="Microsoft YaHei" w:hAnsi="Consolas"/>
        </w:rPr>
        <w:t xml:space="preserve">--crash-handler</w:t>
      </w:r>
      <w:r>
        <w:rPr>
          <w:rFonts w:ascii="Microsoft YaHei" w:eastAsia="Microsoft YaHei" w:hAnsi="Microsoft YaHei"/>
        </w:rPr>
        <w:t xml:space="preserve">参数将自身作为子进程启动，由该进程写入（与Firefox、Chromium的crashreporter相同）。异常检测（未崩溃）时向同一子进程请求写入。询问方式与发送方式依第10章 9“意见受理渠道”（2026-10-01 NRSD的要求）。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10.4 操作日志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目的：使用者提意见（第10章 9“意见受理渠道”）时，使用者自己可以附上的原因线索。应用不自动发送。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写入：时间（UTC）、应用的版本、处理的种类、错误编号、件数与所需时间。形式为JSON Lines（一个事件一行。tracing的JSON输出）。文字固定为英语。默认的级别为info。详细（debug）在提意见时以环境变量</w:t>
      </w:r>
      <w:r>
        <w:rPr>
          <w:rFonts w:ascii="Consolas" w:eastAsia="Microsoft YaHei" w:hAnsi="Consolas"/>
        </w:rPr>
        <w:t xml:space="preserve">NRSD_LOG=debug</w:t>
      </w:r>
      <w:r>
        <w:rPr>
          <w:rFonts w:ascii="Microsoft YaHei" w:eastAsia="Microsoft YaHei" w:hAnsi="Microsoft YaHei"/>
        </w:rPr>
        <w:t xml:space="preserve">切换（Rust的env_logger的惯例）。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不写入：签名密钥、口令、证据的内容、转载页面的内容、照片位置的全部（只写文件名）、权利人信息、URL的查询部分。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大小：每个文件10MB切换，合计50MB以内（初始值）。保留90天（初始值）。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使用者可从设置打开日志的位置（以便附到意见中）。附在意见文字中的“最近的错误编号”为日志中最新的10件（初始值。第10章 9“意见受理渠道”）。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威胁T-14（信息泄露）：操作日志中出现密钥、证据、个人信息。攻击者：看到日志者。目标资产：秘密、个人信息。剩余的缺口：—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10.5 并行处理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长时间处理（导出、自动布局、登记、备份）在核心的后台处理中进行，不冻结界面。通知进度，可以取消。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一次运行的长时间处理每种一个（不同时进行两个导出）。使用者发起的不同种类可以并行（导出期间可以登记）。后台的自动处理（挂起的可信时间戳、参考信息与更新的获取、终端之间的对齐、备份。4.2的队列）在一条队列中依次运行，不妨碍使用者发起的处理（7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图像处理的并行数依第4章 14.4“大的图像与并行的处理”的公式。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进度与取消的类型在全部块中共通。进度：第几件、整体的数量、剩余的估计（秒）。取消：协作式（长时间处理在每个单位（一张、一件）确认取消，不留下写到一半的内容而停止。处理中的一件是完成还是丢弃按处理规定，不留下半成品的输出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10.6 来自外部输入的确认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从终端之外进入的内容（照片、图片图层的图片、字体、模板文件、备份、参考信息、更新、转载页面、TSA与RDAP的响应、扩展的</w:t>
      </w:r>
      <w:r>
        <w:rPr>
          <w:rFonts w:ascii="Consolas" w:eastAsia="Microsoft YaHei" w:hAnsi="Consolas"/>
        </w:rPr>
        <w:t xml:space="preserve">.wacz</w:t>
      </w:r>
      <w:r>
        <w:rPr>
          <w:rFonts w:ascii="Microsoft YaHei" w:eastAsia="Microsoft YaHei" w:hAnsi="Microsoft YaHei"/>
        </w:rPr>
        <w:t xml:space="preserve">、手动适用的更新分发物、QR码的图片、来自另一台终端与对方的记录与文书），由各自承接的节持有上限与确认（第3章 2“输入”、第4章 5“图像图层”、6.4“带入的字体”、8.3“交接（导出与导入）”、第8章 5.3“恢复方法（导入）”、3.4“参考信息包”、第9章 4“更新”、4.5“失败与盗用”、第6章 2.2“不执行脚本的获取”、2.2.2“屏幕图像截取方法的指引”、第3章 4“可信时间戳”、第6章 5“谁、在何处（④）”；本章10.10“URL与QR码的形式”；第8章 5.4“终端之间的同步”）。本节不转载。不设没有上限的入口。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图像的像素数在分配内存之前，从文件头的长宽确认（防范解压炸弹。Rust的image的长宽上限严格生效）。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威胁T-15（拒绝服务）：巨大图片、解压炸弹（图片、模板、备份的ZIP）。攻击者：交付文件者。目标资产：应用的核心。剩余的缺口：—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10.7 时间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不信任终端的时钟。作为证据的时间以RFC 3161的可信时间戳表示。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记录中以UTC的RFC 3339（ISO 8601在网络上的形式。</w:t>
      </w:r>
      <w:r>
        <w:rPr>
          <w:rFonts w:ascii="Consolas" w:eastAsia="Microsoft YaHei" w:hAnsi="Consolas"/>
        </w:rPr>
        <w:t xml:space="preserve">2026-10-01T12:34:56Z</w:t>
      </w:r>
      <w:r>
        <w:rPr>
          <w:rFonts w:ascii="Microsoft YaHei" w:eastAsia="Microsoft YaHei" w:hAnsi="Microsoft YaHei"/>
        </w:rPr>
        <w:t xml:space="preserve">）书写，显示时转换为使用者所在地区的时间并附时差（例：UTC+9）。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时钟的偏差，作为响应的TSA的</w:t>
      </w:r>
      <w:r>
        <w:rPr>
          <w:rFonts w:ascii="Consolas" w:eastAsia="Microsoft YaHei" w:hAnsi="Consolas"/>
        </w:rPr>
        <w:t xml:space="preserve">genTime</w:t>
      </w:r>
      <w:r>
        <w:rPr>
          <w:rFonts w:ascii="Microsoft YaHei" w:eastAsia="Microsoft YaHei" w:hAnsi="Microsoft YaHei"/>
        </w:rPr>
        <w:t xml:space="preserve">的中位数与请求时刻之差自动学习（与NTP的选择同样舍弃离群值），保留最近10次并使用最新的偏差。离线期间的记录，显示以保留的偏差修正的“推定的时刻”并加标记，下次连接时对挂起的全部记录取得可信时间戳，把推定替换为证明。并列持有单调时钟（自启动起的经过）与墙上时钟，检测到墙上时钟回拨、跳变时，对之后的记录加“时钟已变”的标记。比应用构建的日期时间更早、比上一条记录更早的墙上时钟作为异常记录。不要求使用者修正时钟（证书的有效期不依赖时钟。第2章 3.5“各项目”）（2026-09-30 NRSD的要求）。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显示时，对经可信时间戳证明的时刻加“已确认”的标记（与Signal安全号码的“已确认”相同的显示方式），仅凭终端时钟的时刻不加标记显示（2026-09-30 NRSD的要求）。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10.8 语言与国家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“界面的语言”与“权利文书的对象国”作为不同的设置持有（R-1-7-2）。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界面的文字放在各语言的文字文件（第11章 DD-11-8“国际化通过文字文件进行”）中，不直接写在界面上。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10.9 版本的兼容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应用的版本、记录</w:t>
      </w:r>
      <w:r>
        <w:rPr>
          <w:rFonts w:ascii="Consolas" w:eastAsia="Microsoft YaHei" w:hAnsi="Consolas"/>
        </w:rPr>
        <w:t xml:space="preserve">schema</w:t>
      </w:r>
      <w:r>
        <w:rPr>
          <w:rFonts w:ascii="Microsoft YaHei" w:eastAsia="Microsoft YaHei" w:hAnsi="Microsoft YaHei"/>
        </w:rPr>
        <w:t xml:space="preserve">的版本、C2PA规范的版本（第3章 DD-3-7“C2PA规范的版本随c2pa-rs的版本”）、参考信息的版本分别持有。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10.10 URL与QR码的形式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URL的规范化（声明所在账号、转载页面、参考信息的窗口的URL共通）：以WHATWG URL Standard（url的crate）解释，主机名以UTS #46（IDNA Compatibility Processing）的nontransitional规范化，并以punycode记录。显示用Unicode的形式，对混用文字体系的主机名加注意（UTS #39）。按用途的差异只有以下两点。(1) 声明所在账号去掉查询（</w:t>
      </w:r>
      <w:r>
        <w:rPr>
          <w:rFonts w:ascii="Consolas" w:eastAsia="Microsoft YaHei" w:hAnsi="Consolas"/>
        </w:rPr>
        <w:t xml:space="preserve">?</w:t>
      </w:r>
      <w:r>
        <w:rPr>
          <w:rFonts w:ascii="Microsoft YaHei" w:eastAsia="Microsoft YaHei" w:hAnsi="Microsoft YaHei"/>
        </w:rPr>
        <w:t xml:space="preserve">之后）与片段（</w:t>
      </w:r>
      <w:r>
        <w:rPr>
          <w:rFonts w:ascii="Consolas" w:eastAsia="Microsoft YaHei" w:hAnsi="Consolas"/>
        </w:rPr>
        <w:t xml:space="preserve">#</w:t>
      </w:r>
      <w:r>
        <w:rPr>
          <w:rFonts w:ascii="Microsoft YaHei" w:eastAsia="Microsoft YaHei" w:hAnsi="Microsoft YaHei"/>
        </w:rPr>
        <w:t xml:space="preserve">之后）后记录。(2) 转载页面把输入原样的URL留在记录中，比对与重复的判定使用以ClearURLs的规则（参考信息包。第8章 3.4“参考信息包”）去掉追踪参数（utm_、fbclid等）后的规范形式。不展开短网址（2026-10-01 NRSD的要求）。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发布网站的判定：将规范化后的主机名与路径的型（表的</w:t>
      </w:r>
      <w:r>
        <w:rPr>
          <w:rFonts w:ascii="Consolas" w:eastAsia="Microsoft YaHei" w:hAnsi="Consolas"/>
        </w:rPr>
        <w:t xml:space="preserve">hosts</w:t>
      </w:r>
      <w:r>
        <w:rPr>
          <w:rFonts w:ascii="Microsoft YaHei" w:eastAsia="Microsoft YaHei" w:hAnsi="Microsoft YaHei"/>
        </w:rPr>
        <w:t xml:space="preserve">与</w:t>
      </w:r>
      <w:r>
        <w:rPr>
          <w:rFonts w:ascii="Consolas" w:eastAsia="Microsoft YaHei" w:hAnsi="Consolas"/>
        </w:rPr>
        <w:t xml:space="preserve">paths</w:t>
      </w:r>
      <w:r>
        <w:rPr>
          <w:rFonts w:ascii="Microsoft YaHei" w:eastAsia="Microsoft YaHei" w:hAnsi="Microsoft YaHei"/>
        </w:rPr>
        <w:t xml:space="preserve">。第7章 2.1的行的形式）与参考信息</w:t>
      </w:r>
      <w:r>
        <w:rPr>
          <w:rFonts w:ascii="Consolas" w:eastAsia="Microsoft YaHei" w:hAnsi="Consolas"/>
        </w:rPr>
        <w:t xml:space="preserve">platforms.json</w:t>
      </w:r>
      <w:r>
        <w:rPr>
          <w:rFonts w:ascii="Microsoft YaHei" w:eastAsia="Microsoft YaHei" w:hAnsi="Microsoft YaHei"/>
        </w:rPr>
        <w:t xml:space="preserve">（第8章 3.4）的表匹配。表由调用方传入（本节的处理不读取参考信息）。不匹配则视为一般网站。判定在声明所在账号（第2章 2.3“输入的确认”）与转载页面（第6章 2.1“步骤”）中相同。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本应用的URL方案：</w:t>
      </w:r>
      <w:r>
        <w:rPr>
          <w:rFonts w:ascii="Consolas" w:eastAsia="Microsoft YaHei" w:hAnsi="Consolas"/>
        </w:rPr>
        <w:t xml:space="preserve">c2pa4cosplayer://&lt;种类&gt;?&lt;名称&gt;=&lt;值&gt;&amp;…</w:t>
      </w:r>
      <w:r>
        <w:rPr>
          <w:rFonts w:ascii="Microsoft YaHei" w:eastAsia="Microsoft YaHei" w:hAnsi="Microsoft YaHei"/>
        </w:rPr>
        <w:t xml:space="preserve">（应用标识符见9.1）。种类与值仅限以下4种。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0"/>
        <w:gridCol w:w="5493"/>
        <w:gridCol w:w="3015"/>
      </w:tblGrid>
      <w:tr>
        <w:trPr>
          <w:cantSplit/>
          <w:tblHeader/>
        </w:trPr>
        <w:tc>
          <w:tcPr>
            <w:tcW w:type="dxa" w:w="11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种类</w:t>
            </w:r>
          </w:p>
        </w:tc>
        <w:tc>
          <w:tcPr>
            <w:tcW w:type="dxa" w:w="549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值</w:t>
            </w:r>
          </w:p>
        </w:tc>
        <w:tc>
          <w:tcPr>
            <w:tcW w:type="dxa" w:w="301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使用处</w:t>
            </w:r>
          </w:p>
        </w:tc>
      </w:tr>
      <w:tr>
        <w:trPr>
          <w:cantSplit/>
          <w:tblHeader w:val="off"/>
        </w:trPr>
        <w:tc>
          <w:tcPr>
            <w:tcW w:type="dxa" w:w="11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import</w:t>
            </w:r>
          </w:p>
        </w:tc>
        <w:tc>
          <w:tcPr>
            <w:tcW w:type="dxa" w:w="549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浏览器扩展保存的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.wacz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的位置（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path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。仅限使用者的Downloads或监视的文件夹之下）</w:t>
            </w:r>
          </w:p>
        </w:tc>
        <w:tc>
          <w:tcPr>
            <w:tcW w:type="dxa" w:w="301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第6章 2.2.2“屏幕图像截取方法的指引”（不载入QR码。只经操作系统的URL方案）</w:t>
            </w:r>
          </w:p>
        </w:tc>
      </w:tr>
      <w:tr>
        <w:trPr>
          <w:cantSplit/>
          <w:tblHeader w:val="off"/>
        </w:trPr>
        <w:tc>
          <w:tcPr>
            <w:tcW w:type="dxa" w:w="11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contact</w:t>
            </w:r>
          </w:p>
        </w:tc>
        <w:tc>
          <w:tcPr>
            <w:tcW w:type="dxa" w:w="549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声明码、个人根证书的SHA-256、终端的公钥（base64url）</w:t>
            </w:r>
          </w:p>
        </w:tc>
        <w:tc>
          <w:tcPr>
            <w:tcW w:type="dxa" w:w="301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第2章 5.5“对方的添加（文书的交接）”</w:t>
            </w:r>
          </w:p>
        </w:tc>
      </w:tr>
      <w:tr>
        <w:trPr>
          <w:cantSplit/>
          <w:tblHeader w:val="off"/>
        </w:trPr>
        <w:tc>
          <w:tcPr>
            <w:tcW w:type="dxa" w:w="11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link</w:t>
            </w:r>
          </w:p>
        </w:tc>
        <w:tc>
          <w:tcPr>
            <w:tcW w:type="dxa" w:w="549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新终端的公钥（Ed25519）与一次性的随机数（16字节）（base64url。与Signal的终端链接的QR码相同的内容）</w:t>
            </w:r>
          </w:p>
        </w:tc>
        <w:tc>
          <w:tcPr>
            <w:tcW w:type="dxa" w:w="301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第8章 5.4“终端之间的同步”</w:t>
            </w:r>
          </w:p>
        </w:tc>
      </w:tr>
      <w:tr>
        <w:trPr>
          <w:cantSplit/>
          <w:tblHeader w:val="off"/>
        </w:trPr>
        <w:tc>
          <w:tcPr>
            <w:tcW w:type="dxa" w:w="11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recovery</w:t>
            </w:r>
          </w:p>
        </w:tc>
        <w:tc>
          <w:tcPr>
            <w:tcW w:type="dxa" w:w="549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恢复密钥的字符串（age的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AGE-SECRET-KEY-1…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。保持Bech32）</w:t>
            </w:r>
          </w:p>
        </w:tc>
        <w:tc>
          <w:tcPr>
            <w:tcW w:type="dxa" w:w="301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第8章 5.1“格式”</w:t>
            </w:r>
          </w:p>
        </w:tc>
      </w:tr>
    </w:tbl>
    <w:p>
      <w:pPr>
        <w:spacing w:after="100" w:before="0"/>
      </w:pP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QR码：ISO/IEC 18004。纠错等级M。以字节模式载入上述URL。读取的图片为PNG、JPEG，20MB、长宽各8,000像素以内（10.6）。读取的URL确认方案与种类，值的形式不符则不接受。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10.11 PDF文件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PDF文件（紧急套件（第8章 5.1“格式”）、报告书（第6章 3.4“导出”））以krilla制作（带PDF/A-1〜4与PDF/UA-1验证的导出、带标签的PDF、嵌入文件。2026-10-01在docs.rs的</w:t>
      </w:r>
      <w:r>
        <w:rPr>
          <w:rFonts w:ascii="Consolas" w:eastAsia="Microsoft YaHei" w:hAnsi="Consolas"/>
        </w:rPr>
        <w:t xml:space="preserve">Archival</w:t>
      </w:r>
      <w:r>
        <w:rPr>
          <w:rFonts w:ascii="Microsoft YaHei" w:eastAsia="Microsoft YaHei" w:hAnsi="Microsoft YaHei"/>
        </w:rPr>
        <w:t xml:space="preserve">（</w:t>
      </w:r>
      <w:r>
        <w:rPr>
          <w:rFonts w:ascii="Consolas" w:eastAsia="Microsoft YaHei" w:hAnsi="Consolas"/>
        </w:rPr>
        <w:t xml:space="preserve">A2_U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A3_U</w:t>
      </w:r>
      <w:r>
        <w:rPr>
          <w:rFonts w:ascii="Microsoft YaHei" w:eastAsia="Microsoft YaHei" w:hAnsi="Microsoft YaHei"/>
        </w:rPr>
        <w:t xml:space="preserve">）、</w:t>
      </w:r>
      <w:r>
        <w:rPr>
          <w:rFonts w:ascii="Consolas" w:eastAsia="Microsoft YaHei" w:hAnsi="Consolas"/>
        </w:rPr>
        <w:t xml:space="preserve">Validator::Ua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embed</w:t>
      </w:r>
      <w:r>
        <w:rPr>
          <w:rFonts w:ascii="Microsoft YaHei" w:eastAsia="Microsoft YaHei" w:hAnsi="Microsoft YaHei"/>
        </w:rPr>
        <w:t xml:space="preserve">各项中确认）。导出前通过krilla的验证（PDF/A-2u或3u与PDF/UA-1），不通过则作为异常检测停止（第1章 10.3“错误”）。文字嵌入附带的字体（第4章 6.1“同捆的字体”），做成持有标题、段落、表、图的替代文字的带标签PDF。嵌入文件（PDF/A-3u的报告书的</w:t>
      </w:r>
      <w:r>
        <w:rPr>
          <w:rFonts w:ascii="Consolas" w:eastAsia="Microsoft YaHei" w:hAnsi="Consolas"/>
        </w:rPr>
        <w:t xml:space="preserve">manifest-sha256.txt</w:t>
      </w:r>
      <w:r>
        <w:rPr>
          <w:rFonts w:ascii="Microsoft YaHei" w:eastAsia="Microsoft YaHei" w:hAnsi="Microsoft YaHei"/>
        </w:rPr>
        <w:t xml:space="preserve">与ERS的EvidenceRecord）以krilla的</w:t>
      </w:r>
      <w:r>
        <w:rPr>
          <w:rFonts w:ascii="Consolas" w:eastAsia="Microsoft YaHei" w:hAnsi="Consolas"/>
        </w:rPr>
        <w:t xml:space="preserve">EmbeddedFile</w:t>
      </w:r>
      <w:r>
        <w:rPr>
          <w:rFonts w:ascii="Microsoft YaHei" w:eastAsia="Microsoft YaHei" w:hAnsi="Microsoft YaHei"/>
        </w:rPr>
        <w:t xml:space="preserve">（</w:t>
      </w:r>
      <w:r>
        <w:rPr>
          <w:rFonts w:ascii="Consolas" w:eastAsia="Microsoft YaHei" w:hAnsi="Consolas"/>
        </w:rPr>
        <w:t xml:space="preserve">AssociationKind</w:t>
      </w:r>
      <w:r>
        <w:rPr>
          <w:rFonts w:ascii="Microsoft YaHei" w:eastAsia="Microsoft YaHei" w:hAnsi="Microsoft YaHei"/>
        </w:rPr>
        <w:t xml:space="preserve">）关联。CI中还以veraPDF验证（第11章 8.1“每次变更”）。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11. 信任与威胁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11.1 信任的边界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8"/>
        <w:gridCol w:w="1808"/>
        <w:gridCol w:w="6202"/>
      </w:tblGrid>
      <w:tr>
        <w:trPr>
          <w:cantSplit/>
          <w:tblHeader/>
        </w:trPr>
        <w:tc>
          <w:tcPr>
            <w:tcW w:type="dxa" w:w="16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边界</w:t>
            </w:r>
          </w:p>
        </w:tc>
        <w:tc>
          <w:tcPr>
            <w:tcW w:type="dxa" w:w="18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跨越的内容</w:t>
            </w:r>
          </w:p>
        </w:tc>
        <w:tc>
          <w:tcPr>
            <w:tcW w:type="dxa" w:w="620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验证</w:t>
            </w:r>
          </w:p>
        </w:tc>
      </w:tr>
      <w:tr>
        <w:trPr>
          <w:cantSplit/>
          <w:tblHeader w:val="off"/>
        </w:trPr>
        <w:tc>
          <w:tcPr>
            <w:tcW w:type="dxa" w:w="16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界面与核心之间</w:t>
            </w:r>
          </w:p>
        </w:tc>
        <w:tc>
          <w:tcPr>
            <w:tcW w:type="dxa" w:w="18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命令与结果</w:t>
            </w:r>
          </w:p>
        </w:tc>
        <w:tc>
          <w:tcPr>
            <w:tcW w:type="dxa" w:w="620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仅许可的命令。确认输入（DD-1-8“界面只负责显示与输入，处理在Rust核心中进行”、10.6）</w:t>
            </w:r>
          </w:p>
        </w:tc>
      </w:tr>
      <w:tr>
        <w:trPr>
          <w:cantSplit/>
          <w:tblHeader w:val="off"/>
        </w:trPr>
        <w:tc>
          <w:tcPr>
            <w:tcW w:type="dxa" w:w="16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应用与公开仓库、镜像之间</w:t>
            </w:r>
          </w:p>
        </w:tc>
        <w:tc>
          <w:tcPr>
            <w:tcW w:type="dxa" w:w="18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更新、参考信息</w:t>
            </w:r>
          </w:p>
        </w:tc>
        <w:tc>
          <w:tcPr>
            <w:tcW w:type="dxa" w:w="620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验证TUF元数据（内部持有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root.json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。第9章 4.3“更新说明（静态JSON）的形式”），更新还验证更新电子签名。失败则不使用</w:t>
            </w:r>
          </w:p>
        </w:tc>
      </w:tr>
      <w:tr>
        <w:trPr>
          <w:cantSplit/>
          <w:tblHeader w:val="off"/>
        </w:trPr>
        <w:tc>
          <w:tcPr>
            <w:tcW w:type="dxa" w:w="16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应用与公开的DHT之间</w:t>
            </w:r>
          </w:p>
        </w:tc>
        <w:tc>
          <w:tcPr>
            <w:tcW w:type="dxa" w:w="18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以口令连接的终端编号的记录</w:t>
            </w:r>
          </w:p>
        </w:tc>
        <w:tc>
          <w:tcPr>
            <w:tcW w:type="dxa" w:w="620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确认以口令导出的密钥的签名，连接后以SPAKE2只放行知道口令的对方（第8章 5.4“终端之间的同步”）</w:t>
            </w:r>
          </w:p>
        </w:tc>
      </w:tr>
      <w:tr>
        <w:trPr>
          <w:cantSplit/>
          <w:tblHeader w:val="off"/>
        </w:trPr>
        <w:tc>
          <w:tcPr>
            <w:tcW w:type="dxa" w:w="16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应用与TSA之间</w:t>
            </w:r>
          </w:p>
        </w:tc>
        <w:tc>
          <w:tcPr>
            <w:tcW w:type="dxa" w:w="18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哈希、时间戳响应</w:t>
            </w:r>
          </w:p>
        </w:tc>
        <w:tc>
          <w:tcPr>
            <w:tcW w:type="dxa" w:w="620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验证TSA的证书链。只发送哈希</w:t>
            </w:r>
          </w:p>
        </w:tc>
      </w:tr>
      <w:tr>
        <w:trPr>
          <w:cantSplit/>
          <w:tblHeader w:val="off"/>
        </w:trPr>
        <w:tc>
          <w:tcPr>
            <w:tcW w:type="dxa" w:w="16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应用与转载页面之间</w:t>
            </w:r>
          </w:p>
        </w:tc>
        <w:tc>
          <w:tcPr>
            <w:tcW w:type="dxa" w:w="18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获取物</w:t>
            </w:r>
          </w:p>
        </w:tc>
        <w:tc>
          <w:tcPr>
            <w:tcW w:type="dxa" w:w="620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不信任。不执行脚本，不渲染（第6章）</w:t>
            </w:r>
          </w:p>
        </w:tc>
      </w:tr>
      <w:tr>
        <w:trPr>
          <w:cantSplit/>
          <w:tblHeader w:val="off"/>
        </w:trPr>
        <w:tc>
          <w:tcPr>
            <w:tcW w:type="dxa" w:w="16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应用与终端上的文件之间</w:t>
            </w:r>
          </w:p>
        </w:tc>
        <w:tc>
          <w:tcPr>
            <w:tcW w:type="dxa" w:w="18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记录、证据</w:t>
            </w:r>
          </w:p>
        </w:tc>
        <w:tc>
          <w:tcPr>
            <w:tcW w:type="dxa" w:w="620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读取时验证记录电子签名与哈希（DD-1-5“终端的记录附记录电子签名并加以验证”）</w:t>
            </w:r>
          </w:p>
        </w:tc>
      </w:tr>
      <w:tr>
        <w:trPr>
          <w:cantSplit/>
          <w:tblHeader w:val="off"/>
        </w:trPr>
        <w:tc>
          <w:tcPr>
            <w:tcW w:type="dxa" w:w="16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应用与其他使用者之间</w:t>
            </w:r>
          </w:p>
        </w:tc>
        <w:tc>
          <w:tcPr>
            <w:tcW w:type="dxa" w:w="18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授权书、模板文件</w:t>
            </w:r>
          </w:p>
        </w:tc>
        <w:tc>
          <w:tcPr>
            <w:tcW w:type="dxa" w:w="620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授权书验证主要权利人的记录电子签名。模板确认格式与大小</w:t>
            </w:r>
          </w:p>
        </w:tc>
      </w:tr>
      <w:tr>
        <w:trPr>
          <w:cantSplit/>
          <w:tblHeader w:val="off"/>
        </w:trPr>
        <w:tc>
          <w:tcPr>
            <w:tcW w:type="dxa" w:w="16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应用与使用者本人的另一台终端之间</w:t>
            </w:r>
          </w:p>
        </w:tc>
        <w:tc>
          <w:tcPr>
            <w:tcW w:type="dxa" w:w="18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记录的行、证据与素材的文件、模板、作业、不依赖终端的设置、参考信息包</w:t>
            </w:r>
          </w:p>
        </w:tc>
        <w:tc>
          <w:tcPr>
            <w:tcW w:type="dxa" w:w="620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相互的签名挑战应答（同一个人根证书的密钥）。验证接收的行的记录电子签名、文件的SHA-256、信息包的TUF元数据（第8章 5.4“终端之间的同步”）</w:t>
            </w:r>
          </w:p>
        </w:tc>
      </w:tr>
      <w:tr>
        <w:trPr>
          <w:cantSplit/>
          <w:tblHeader w:val="off"/>
        </w:trPr>
        <w:tc>
          <w:tcPr>
            <w:tcW w:type="dxa" w:w="16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应用与“已确认”的对方的终端之间</w:t>
            </w:r>
          </w:p>
        </w:tc>
        <w:tc>
          <w:tcPr>
            <w:tcW w:type="dxa" w:w="180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文书、参考信息包</w:t>
            </w:r>
          </w:p>
        </w:tc>
        <w:tc>
          <w:tcPr>
            <w:tcW w:type="dxa" w:w="620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文书验证记录电子签名与声明码（第2章 5.4“文书的核对”），信息包验证TUF元数据与版本（第8章 3.4“参考信息包”）。其他不接收</w:t>
            </w:r>
          </w:p>
        </w:tc>
      </w:tr>
    </w:tbl>
    <w:p>
      <w:pPr>
        <w:spacing w:after="100" w:before="0"/>
      </w:pPr>
    </w:p>
    <w:p>
      <w:pPr>
        <w:keepNext/>
        <w:spacing w:after="60" w:before="160"/>
        <w:jc w:val="center"/>
      </w:pPr>
      <w:r>
        <w:drawing>
          <wp:inline distT="0" distB="0" distL="0" distR="0">
            <wp:extent cx="6096000" cy="26955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Microsoft YaHei" w:eastAsia="Microsoft YaHei" w:hAnsi="Microsoft YaHei"/>
          <w:color w:val="404040"/>
          <w:sz w:val="19"/>
          <w:szCs w:val="19"/>
        </w:rPr>
        <w:t xml:space="preserve">图1-3 信任的边界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11.2 威胁的一览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对每个要素（使用者、界面、应用的核心、终端的记录、操作系统的密钥存储、备份文件、公开仓库与镜像、TSA、转载页面、NRSD的运营者工具与密钥），套用STRIDE的6个分类（冒充、篡改、否认、信息泄露、拒绝服务、权限提升。Microsoft的威胁分类）进行识别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威胁（T-1〜T-26）作为“威胁T-编号”的条目写在持有对策的节中（本节不转载。一览为第13章 3.1“威胁与对策”的表与grep）。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12. 对外部的依赖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应用与终端之外交互的对方停止时的处理，依4.2的表的“失败时”栏（本节不转载）。NRSD方面所依赖的外部如下。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9"/>
        <w:gridCol w:w="7369"/>
      </w:tblGrid>
      <w:tr>
        <w:trPr>
          <w:cantSplit/>
          <w:tblHeader/>
        </w:trPr>
        <w:tc>
          <w:tcPr>
            <w:tcW w:type="dxa" w:w="22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外部</w:t>
            </w:r>
          </w:p>
        </w:tc>
        <w:tc>
          <w:tcPr>
            <w:tcW w:type="dxa" w:w="73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停止时</w:t>
            </w:r>
          </w:p>
        </w:tc>
      </w:tr>
      <w:tr>
        <w:trPr>
          <w:cantSplit/>
          <w:tblHeader w:val="off"/>
        </w:trPr>
        <w:tc>
          <w:tcPr>
            <w:tcW w:type="dxa" w:w="22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代码签名的服务（Artifact Signing、Apple的公证）</w:t>
            </w:r>
          </w:p>
        </w:tc>
        <w:tc>
          <w:tcPr>
            <w:tcW w:type="dxa" w:w="73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无法签名期间不发布（不分发没有签名的分发物。第9章 DD-9-1“每个操作系统一个分发物，并进行代码签名”）。现有使用者不受影响</w:t>
            </w:r>
          </w:p>
        </w:tc>
      </w:tr>
      <w:tr>
        <w:trPr>
          <w:cantSplit/>
          <w:tblHeader w:val="off"/>
        </w:trPr>
        <w:tc>
          <w:tcPr>
            <w:tcW w:type="dxa" w:w="22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Flathub</w:t>
            </w:r>
          </w:p>
        </w:tc>
        <w:tc>
          <w:tcPr>
            <w:tcW w:type="dxa" w:w="73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Flatpak版的更新停止。AppImage（NRSD自行分发）继续。在README中引导使用AppImage</w:t>
            </w:r>
          </w:p>
        </w:tc>
      </w:tr>
      <w:tr>
        <w:trPr>
          <w:cantSplit/>
          <w:tblHeader w:val="off"/>
        </w:trPr>
        <w:tc>
          <w:tcPr>
            <w:tcW w:type="dxa" w:w="22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扩展的商店（Chrome Web Store、AMO）</w:t>
            </w:r>
          </w:p>
        </w:tc>
        <w:tc>
          <w:tcPr>
            <w:tcW w:type="dxa" w:w="73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扩展的更新与新获取停止。第6章 2.2.2“屏幕图像截取方法的指引”的手动截图方法的说明仍在。应用本体不受影响</w:t>
            </w:r>
          </w:p>
        </w:tc>
      </w:tr>
      <w:tr>
        <w:trPr>
          <w:cantSplit/>
          <w:tblHeader w:val="off"/>
        </w:trPr>
        <w:tc>
          <w:tcPr>
            <w:tcW w:type="dxa" w:w="22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GitHub（发布与公开页面的存放处）</w:t>
            </w:r>
          </w:p>
        </w:tc>
        <w:tc>
          <w:tcPr>
            <w:tcW w:type="dxa" w:w="73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依第8章 7“对GitHub的依赖”</w:t>
            </w:r>
          </w:p>
        </w:tc>
      </w:tr>
      <w:tr>
        <w:trPr>
          <w:cantSplit/>
          <w:tblHeader w:val="off"/>
        </w:trPr>
        <w:tc>
          <w:tcPr>
            <w:tcW w:type="dxa" w:w="22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iroh的公开中继（由n0运营）</w:t>
            </w:r>
          </w:p>
        </w:tc>
        <w:tc>
          <w:tcPr>
            <w:tcW w:type="dxa" w:w="73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直接连接的打洞与中继停止，终端之间、与已确认对方的连接只剩同一网络内与云的同步文件夹、文件的交接（第8章 5.4“终端之间的同步”）。替换为其他中继以参考信息的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relays.json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（第8章 3.4“参考信息包”）分发</w:t>
            </w:r>
          </w:p>
        </w:tc>
      </w:tr>
    </w:tbl>
    <w:p>
      <w:pPr>
        <w:spacing w:after="100" w:before="0"/>
      </w:pPr>
    </w:p>
    <w:p>
      <w:pPr>
        <w:pStyle w:val="Heading1"/>
      </w:pPr>
      <w:r>
        <w:rPr>
          <w:rFonts w:ascii="Microsoft YaHei" w:eastAsia="Microsoft YaHei" w:hAnsi="Microsoft YaHei"/>
        </w:rPr>
        <w:t xml:space="preserve">13. 终端与人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终端的丢失、故障（R-1-6-1）：记录与签名密钥只在终端上。备份在首次确定存放处后，之后自动创建，存放处无法到达时的通知也依第8章 5.5“备份的存放处与自动备份”。在新终端上导入，即可找回签名密钥、声明码、记录。没有备份时重新生成密钥，重新发布声明码（第2章 7“签名密钥”）。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多台终端（R-1-6-2）：在另一台终端上导入备份文件，使用同一签名密钥（只需一个声明码）。在两台机器上并行生成记录时的合并依第8章 5“备份文件”。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多台终端（续）：持有同一个人根证书的终端之间的链接与记录的对齐、互为备份的存放处、上限5台，依第8章 5.4“终端之间的同步”、5.5“备份的存放处与自动备份”（本章不转载）。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交接：本人无法操作时，接手的人可凭紧急套件（恢复密钥与步骤的一页。与1Password的Emergency Kit相同的形式。第8章 5.1“格式”）与备份，以“作为交接打开”（只读）进行查看、证据包的导出、随附文件的重新生成（第8章 5.3“恢复方法（导入）”）。不判定权利的归属（D-2-6“不进行法律程序的代理及法律判断”）（2026-09-30 NRSD的要求）。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授权关系与权利的转移（R-1-6-3）：授权书的发放与撤销（第2章 5“授权与共同权利”）。权利人的变更，由新的权利人以本人的信息进行C2PA签名。过去的作品数据不转移。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14. 质量的要求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14.1 规模与性能的目标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规模的前提（一次批量处理以500张为参考、无上限，照片为1亿像素、200MB，证据为每年200件、每件20MB）与处理时间的基准（每张10秒），分别由第3章 9“批量处理”、第3章 2“输入”、第8章 6.1“终端容量的估计”、第3章 5“隐形水印”持有（本节不转载）。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2"/>
        <w:gridCol w:w="5353"/>
        <w:gridCol w:w="1283"/>
      </w:tblGrid>
      <w:tr>
        <w:trPr>
          <w:cantSplit/>
          <w:tblHeader/>
        </w:trPr>
        <w:tc>
          <w:tcPr>
            <w:tcW w:type="dxa" w:w="300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项目</w:t>
            </w:r>
          </w:p>
        </w:tc>
        <w:tc>
          <w:tcPr>
            <w:tcW w:type="dxa" w:w="535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目标</w:t>
            </w:r>
          </w:p>
        </w:tc>
        <w:tc>
          <w:tcPr>
            <w:tcW w:type="dxa" w:w="128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依据</w:t>
            </w:r>
          </w:p>
        </w:tc>
      </w:tr>
      <w:tr>
        <w:trPr>
          <w:cantSplit/>
          <w:tblHeader w:val="off"/>
        </w:trPr>
        <w:tc>
          <w:tcPr>
            <w:tcW w:type="dxa" w:w="300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500张（2,400万像素）社交平台用的导出</w:t>
            </w:r>
          </w:p>
        </w:tc>
        <w:tc>
          <w:tcPr>
            <w:tcW w:type="dxa" w:w="535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30分钟以内（初始值）</w:t>
            </w:r>
          </w:p>
        </w:tc>
        <w:tc>
          <w:tcPr>
            <w:tcW w:type="dxa" w:w="128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［需实测］</w:t>
            </w:r>
          </w:p>
        </w:tc>
      </w:tr>
      <w:tr>
        <w:trPr>
          <w:cantSplit/>
          <w:tblHeader w:val="off"/>
        </w:trPr>
        <w:tc>
          <w:tcPr>
            <w:tcW w:type="dxa" w:w="300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应用的启动</w:t>
            </w:r>
          </w:p>
        </w:tc>
        <w:tc>
          <w:tcPr>
            <w:tcW w:type="dxa" w:w="535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10秒以内可以操作（到界面出现并可操作为止。不包括后台的处理。7）</w:t>
            </w:r>
          </w:p>
        </w:tc>
        <w:tc>
          <w:tcPr>
            <w:tcW w:type="dxa" w:w="128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［需实测］</w:t>
            </w:r>
          </w:p>
        </w:tc>
      </w:tr>
    </w:tbl>
    <w:p>
      <w:pPr>
        <w:spacing w:after="100" w:before="0"/>
      </w:pP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“一般电脑”指4核以上的CPU（支持x86-64-v3者，或Apple CPU）、16GB内存、SSD（初始值）。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偏离目标时设计上的处理：启动超过10秒时，把ONNX Runtime与模型、附带字体的加载推迟到首次使用时（导出、打开编辑界面时）。500张社交平台用的导出超过30分钟时，重新考虑同时处理的张数（第4章 14.4“大的图像与并行的处理”）与水印的variant（第3章 5“隐形水印”）。每张超过10秒时也同样。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14.2 质量的场景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是否满足各场景的确认方法（测试的步骤与合格的判定）在测试文件中规定。本节只显示针对各质量目标、设计应回应的场景与响应。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6"/>
        <w:gridCol w:w="3705"/>
        <w:gridCol w:w="5027"/>
      </w:tblGrid>
      <w:tr>
        <w:trPr>
          <w:cantSplit/>
          <w:tblHeader/>
        </w:trPr>
        <w:tc>
          <w:tcPr>
            <w:tcW w:type="dxa" w:w="90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目标</w:t>
            </w:r>
          </w:p>
        </w:tc>
        <w:tc>
          <w:tcPr>
            <w:tcW w:type="dxa" w:w="370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场景</w:t>
            </w:r>
          </w:p>
        </w:tc>
        <w:tc>
          <w:tcPr>
            <w:tcW w:type="dxa" w:w="502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要求的响应</w:t>
            </w:r>
          </w:p>
        </w:tc>
      </w:tr>
      <w:tr>
        <w:trPr>
          <w:cantSplit/>
          <w:tblHeader w:val="off"/>
        </w:trPr>
        <w:tc>
          <w:tcPr>
            <w:tcW w:type="dxa" w:w="90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70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导出途中电脑断电</w:t>
            </w:r>
          </w:p>
        </w:tc>
        <w:tc>
          <w:tcPr>
            <w:tcW w:type="dxa" w:w="502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原图不变。已导出的已被记录，可从中途继续导出。作业的变更最多丢失最后2秒</w:t>
            </w:r>
          </w:p>
        </w:tc>
      </w:tr>
      <w:tr>
        <w:trPr>
          <w:cantSplit/>
          <w:tblHeader w:val="off"/>
        </w:trPr>
        <w:tc>
          <w:tcPr>
            <w:tcW w:type="dxa" w:w="90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70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保存记录途中应用崩溃</w:t>
            </w:r>
          </w:p>
        </w:tc>
        <w:tc>
          <w:tcPr>
            <w:tcW w:type="dxa" w:w="502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记录以旧版本或新版本之一留下，没有损坏的记录</w:t>
            </w:r>
          </w:p>
        </w:tc>
      </w:tr>
      <w:tr>
        <w:trPr>
          <w:cantSplit/>
          <w:tblHeader w:val="off"/>
        </w:trPr>
        <w:tc>
          <w:tcPr>
            <w:tcW w:type="dxa" w:w="90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70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从备份文件恢复到另一台终端</w:t>
            </w:r>
          </w:p>
        </w:tc>
        <w:tc>
          <w:tcPr>
            <w:tcW w:type="dxa" w:w="502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签名密钥与全部记录恢复，所有记录电子签名都通过验证</w:t>
            </w:r>
          </w:p>
        </w:tc>
      </w:tr>
      <w:tr>
        <w:trPr>
          <w:cantSplit/>
          <w:tblHeader w:val="off"/>
        </w:trPr>
        <w:tc>
          <w:tcPr>
            <w:tcW w:type="dxa" w:w="90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70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首次的使用者在没有说明的情况下完成首次输入与声明的发布</w:t>
            </w:r>
          </w:p>
        </w:tc>
        <w:tc>
          <w:tcPr>
            <w:tcW w:type="dxa" w:w="502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5人中有4人完成</w:t>
            </w:r>
          </w:p>
        </w:tc>
      </w:tr>
      <w:tr>
        <w:trPr>
          <w:cantSplit/>
          <w:tblHeader w:val="off"/>
        </w:trPr>
        <w:tc>
          <w:tcPr>
            <w:tcW w:type="dxa" w:w="90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70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计数应用向外部发送的内容</w:t>
            </w:r>
          </w:p>
        </w:tc>
        <w:tc>
          <w:tcPr>
            <w:tcW w:type="dxa" w:w="502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只有4.2的表中的对象与内容</w:t>
            </w:r>
          </w:p>
        </w:tc>
      </w:tr>
      <w:tr>
        <w:trPr>
          <w:cantSplit/>
          <w:tblHeader w:val="off"/>
        </w:trPr>
        <w:tc>
          <w:tcPr>
            <w:tcW w:type="dxa" w:w="90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70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在公开的验证网站上核验导出的图片</w:t>
            </w:r>
          </w:p>
        </w:tc>
        <w:tc>
          <w:tcPr>
            <w:tcW w:type="dxa" w:w="502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C2PA签名显示为有效（不显示为受信任。第2章 3.3“在验证器中的显示”）</w:t>
            </w:r>
          </w:p>
        </w:tc>
      </w:tr>
      <w:tr>
        <w:trPr>
          <w:cantSplit/>
          <w:tblHeader w:val="off"/>
        </w:trPr>
        <w:tc>
          <w:tcPr>
            <w:tcW w:type="dxa" w:w="90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70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改变导出图片的一个像素</w:t>
            </w:r>
          </w:p>
        </w:tc>
        <w:tc>
          <w:tcPr>
            <w:tcW w:type="dxa" w:w="502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验证显示篡改</w:t>
            </w:r>
          </w:p>
        </w:tc>
      </w:tr>
      <w:tr>
        <w:trPr>
          <w:cantSplit/>
          <w:tblHeader w:val="off"/>
        </w:trPr>
        <w:tc>
          <w:tcPr>
            <w:tcW w:type="dxa" w:w="90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70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在3种操作系统上导出同一作业</w:t>
            </w:r>
          </w:p>
        </w:tc>
        <w:tc>
          <w:tcPr>
            <w:tcW w:type="dxa" w:w="502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像素值的差在1以内</w:t>
            </w:r>
          </w:p>
        </w:tc>
      </w:tr>
    </w:tbl>
    <w:p>
      <w:pPr>
        <w:spacing w:after="100" w:before="0"/>
      </w:pPr>
    </w:p>
    <w:p>
      <w:pPr>
        <w:pStyle w:val="Heading1"/>
      </w:pPr>
      <w:r>
        <w:rPr>
          <w:rFonts w:ascii="Microsoft YaHei" w:eastAsia="Microsoft YaHei" w:hAnsi="Microsoft YaHei"/>
        </w:rPr>
        <w:t xml:space="preserve">15. 风险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风险作为“风险：”的条目写在为之准备的节中（本节不转载。一览以grep汇集）。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16. 用语集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7"/>
        <w:gridCol w:w="8261"/>
      </w:tblGrid>
      <w:tr>
        <w:trPr>
          <w:cantSplit/>
          <w:tblHeader/>
        </w:trPr>
        <w:tc>
          <w:tcPr>
            <w:tcW w:type="dxa" w:w="137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用语</w:t>
            </w:r>
          </w:p>
        </w:tc>
        <w:tc>
          <w:tcPr>
            <w:tcW w:type="dxa" w:w="82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含义</w:t>
            </w:r>
          </w:p>
        </w:tc>
      </w:tr>
      <w:tr>
        <w:trPr>
          <w:cantSplit/>
          <w:tblHeader w:val="off"/>
        </w:trPr>
        <w:tc>
          <w:tcPr>
            <w:tcW w:type="dxa" w:w="137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C2PA签名</w:t>
            </w:r>
          </w:p>
        </w:tc>
        <w:tc>
          <w:tcPr>
            <w:tcW w:type="dxa" w:w="82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附加在图片上的密码学签名（依C2PA技术规范的清单签名）</w:t>
            </w:r>
          </w:p>
        </w:tc>
      </w:tr>
      <w:tr>
        <w:trPr>
          <w:cantSplit/>
          <w:tblHeader w:val="off"/>
        </w:trPr>
        <w:tc>
          <w:tcPr>
            <w:tcW w:type="dxa" w:w="137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可见签名</w:t>
            </w:r>
          </w:p>
        </w:tc>
        <w:tc>
          <w:tcPr>
            <w:tcW w:type="dxa" w:w="82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描绘在照片像素上的名称、署名（第4章）</w:t>
            </w:r>
          </w:p>
        </w:tc>
      </w:tr>
      <w:tr>
        <w:trPr>
          <w:cantSplit/>
          <w:tblHeader w:val="off"/>
        </w:trPr>
        <w:tc>
          <w:tcPr>
            <w:tcW w:type="dxa" w:w="137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记录电子签名</w:t>
            </w:r>
          </w:p>
        </w:tc>
        <w:tc>
          <w:tcPr>
            <w:tcW w:type="dxa" w:w="82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以使用者签名用证书的密钥附加在作品数据、案件记录、授权书等上的密码学签名（8.3。参考信息与更新以NRSD的TUF元数据保护）</w:t>
            </w:r>
          </w:p>
        </w:tc>
      </w:tr>
      <w:tr>
        <w:trPr>
          <w:cantSplit/>
          <w:tblHeader w:val="off"/>
        </w:trPr>
        <w:tc>
          <w:tcPr>
            <w:tcW w:type="dxa" w:w="137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代码签名</w:t>
            </w:r>
          </w:p>
        </w:tc>
        <w:tc>
          <w:tcPr>
            <w:tcW w:type="dxa" w:w="82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在分发物上附加操作系统所核验的签名（第9章）</w:t>
            </w:r>
          </w:p>
        </w:tc>
      </w:tr>
      <w:tr>
        <w:trPr>
          <w:cantSplit/>
          <w:tblHeader w:val="off"/>
        </w:trPr>
        <w:tc>
          <w:tcPr>
            <w:tcW w:type="dxa" w:w="137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更新电子签名</w:t>
            </w:r>
          </w:p>
        </w:tc>
        <w:tc>
          <w:tcPr>
            <w:tcW w:type="dxa" w:w="82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以NRSD的更新签名密钥附加在更新分发物上的签名（第9章）</w:t>
            </w:r>
          </w:p>
        </w:tc>
      </w:tr>
      <w:tr>
        <w:trPr>
          <w:cantSplit/>
          <w:tblHeader w:val="off"/>
        </w:trPr>
        <w:tc>
          <w:tcPr>
            <w:tcW w:type="dxa" w:w="137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个人根证书</w:t>
            </w:r>
          </w:p>
        </w:tc>
        <w:tc>
          <w:tcPr>
            <w:tcW w:type="dxa" w:w="82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在使用者终端上生成、发行签名用证书的证书（第2章）</w:t>
            </w:r>
          </w:p>
        </w:tc>
      </w:tr>
      <w:tr>
        <w:trPr>
          <w:cantSplit/>
          <w:tblHeader w:val="off"/>
        </w:trPr>
        <w:tc>
          <w:tcPr>
            <w:tcW w:type="dxa" w:w="137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声明码</w:t>
            </w:r>
          </w:p>
        </w:tc>
        <w:tc>
          <w:tcPr>
            <w:tcW w:type="dxa" w:w="82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把个人根证书公钥的指纹缩短后的字符串。发布在声明所在账号上（第2章）</w:t>
            </w:r>
          </w:p>
        </w:tc>
      </w:tr>
      <w:tr>
        <w:trPr>
          <w:cantSplit/>
          <w:tblHeader w:val="off"/>
        </w:trPr>
        <w:tc>
          <w:tcPr>
            <w:tcW w:type="dxa" w:w="137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识别编号</w:t>
            </w:r>
          </w:p>
        </w:tc>
        <w:tc>
          <w:tcPr>
            <w:tcW w:type="dxa" w:w="82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每件作品的编号。放入水印、清单等（8.2）</w:t>
            </w:r>
          </w:p>
        </w:tc>
      </w:tr>
      <w:tr>
        <w:trPr>
          <w:cantSplit/>
          <w:tblHeader w:val="off"/>
        </w:trPr>
        <w:tc>
          <w:tcPr>
            <w:tcW w:type="dxa" w:w="137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作业</w:t>
            </w:r>
          </w:p>
        </w:tc>
        <w:tc>
          <w:tcPr>
            <w:tcW w:type="dxa" w:w="82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把编辑中途的状态汇总在一起的对象（第4章 11“作业（编辑中途的状态）”）</w:t>
            </w:r>
          </w:p>
        </w:tc>
      </w:tr>
      <w:tr>
        <w:trPr>
          <w:cantSplit/>
          <w:tblHeader w:val="off"/>
        </w:trPr>
        <w:tc>
          <w:tcPr>
            <w:tcW w:type="dxa" w:w="137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模板</w:t>
            </w:r>
          </w:p>
        </w:tc>
        <w:tc>
          <w:tcPr>
            <w:tcW w:type="dxa" w:w="82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可见签名的组与图层的样式（第4章 8“模板”）</w:t>
            </w:r>
          </w:p>
        </w:tc>
      </w:tr>
      <w:tr>
        <w:trPr>
          <w:cantSplit/>
          <w:tblHeader w:val="off"/>
        </w:trPr>
        <w:tc>
          <w:tcPr>
            <w:tcW w:type="dxa" w:w="137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组、图层</w:t>
            </w:r>
          </w:p>
        </w:tc>
        <w:tc>
          <w:tcPr>
            <w:tcW w:type="dxa" w:w="82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可见签名布局的单位，以及其中文字、图片的要素（第4章 4“组与图层”）</w:t>
            </w:r>
          </w:p>
        </w:tc>
      </w:tr>
      <w:tr>
        <w:trPr>
          <w:cantSplit/>
          <w:tblHeader w:val="off"/>
        </w:trPr>
        <w:tc>
          <w:tcPr>
            <w:tcW w:type="dxa" w:w="137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作品数据</w:t>
            </w:r>
          </w:p>
        </w:tc>
        <w:tc>
          <w:tcPr>
            <w:tcW w:type="dxa" w:w="82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已导出作品的记录（第3章）</w:t>
            </w:r>
          </w:p>
        </w:tc>
      </w:tr>
      <w:tr>
        <w:trPr>
          <w:cantSplit/>
          <w:tblHeader w:val="off"/>
        </w:trPr>
        <w:tc>
          <w:tcPr>
            <w:tcW w:type="dxa" w:w="137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案件、案件记录</w:t>
            </w:r>
          </w:p>
        </w:tc>
        <w:tc>
          <w:tcPr>
            <w:tcW w:type="dxa" w:w="82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已登记的转载及其记录（第6章）</w:t>
            </w:r>
          </w:p>
        </w:tc>
      </w:tr>
      <w:tr>
        <w:trPr>
          <w:cantSplit/>
          <w:tblHeader w:val="off"/>
        </w:trPr>
        <w:tc>
          <w:tcPr>
            <w:tcW w:type="dxa" w:w="137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证据包</w:t>
            </w:r>
          </w:p>
        </w:tc>
        <w:tc>
          <w:tcPr>
            <w:tcW w:type="dxa" w:w="82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案件的获取物、屏幕截图、哈希列表、可信时间戳（第6章）</w:t>
            </w:r>
          </w:p>
        </w:tc>
      </w:tr>
      <w:tr>
        <w:trPr>
          <w:cantSplit/>
          <w:tblHeader w:val="off"/>
        </w:trPr>
        <w:tc>
          <w:tcPr>
            <w:tcW w:type="dxa" w:w="137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参考信息</w:t>
            </w:r>
          </w:p>
        </w:tc>
        <w:tc>
          <w:tcPr>
            <w:tcW w:type="dxa" w:w="82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窗口、文字示例、各国法律的参考、随附文件的文字（DD-1-6“参考信息由NRSD电子签名后放在公开仓库与镜像中”）</w:t>
            </w:r>
          </w:p>
        </w:tc>
      </w:tr>
      <w:tr>
        <w:trPr>
          <w:cantSplit/>
          <w:tblHeader w:val="off"/>
        </w:trPr>
        <w:tc>
          <w:tcPr>
            <w:tcW w:type="dxa" w:w="137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备份文件</w:t>
            </w:r>
          </w:p>
        </w:tc>
        <w:tc>
          <w:tcPr>
            <w:tcW w:type="dxa" w:w="82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把签名密钥与全部记录以口令加密的一个文件（第8章）</w:t>
            </w:r>
          </w:p>
        </w:tc>
      </w:tr>
      <w:tr>
        <w:trPr>
          <w:cantSplit/>
          <w:tblHeader w:val="off"/>
        </w:trPr>
        <w:tc>
          <w:tcPr>
            <w:tcW w:type="dxa" w:w="137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授权书</w:t>
            </w:r>
          </w:p>
        </w:tc>
        <w:tc>
          <w:tcPr>
            <w:tcW w:type="dxa" w:w="82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主要权利人授予授权的记录（第2章 5“授权与共同权利”）</w:t>
            </w:r>
          </w:p>
        </w:tc>
      </w:tr>
      <w:tr>
        <w:trPr>
          <w:cantSplit/>
          <w:tblHeader w:val="off"/>
        </w:trPr>
        <w:tc>
          <w:tcPr>
            <w:tcW w:type="dxa" w:w="137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紧急套件</w:t>
            </w:r>
          </w:p>
        </w:tc>
        <w:tc>
          <w:tcPr>
            <w:tcW w:type="dxa" w:w="82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把恢复密钥（QR码与文字）、备份的存放处、恢复的方法、给接手者的步骤做成一页PDF的文件（第8章 5.1“格式”。与1Password的Emergency Kit相同的形式）</w:t>
            </w:r>
          </w:p>
        </w:tc>
      </w:tr>
      <w:tr>
        <w:trPr>
          <w:cantSplit/>
          <w:tblHeader w:val="off"/>
        </w:trPr>
        <w:tc>
          <w:tcPr>
            <w:tcW w:type="dxa" w:w="137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终端（已链接的终端）</w:t>
            </w:r>
          </w:p>
        </w:tc>
        <w:tc>
          <w:tcPr>
            <w:tcW w:type="dxa" w:w="82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持有同一个人根证书、直接连接以对齐记录的使用者本人的另一台终端（第8章 5.4“终端之间的同步”）</w:t>
            </w:r>
          </w:p>
        </w:tc>
      </w:tr>
      <w:tr>
        <w:trPr>
          <w:cantSplit/>
          <w:tblHeader w:val="off"/>
        </w:trPr>
        <w:tc>
          <w:tcPr>
            <w:tcW w:type="dxa" w:w="137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已确认的对方</w:t>
            </w:r>
          </w:p>
        </w:tc>
        <w:tc>
          <w:tcPr>
            <w:tcW w:type="dxa" w:w="82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比对安全号码确认过的其他使用者的终端。文书直接送达（第2章 5.5“对方的添加（文书的交接）”）</w:t>
            </w:r>
          </w:p>
        </w:tc>
      </w:tr>
      <w:tr>
        <w:trPr>
          <w:cantSplit/>
          <w:tblHeader w:val="off"/>
        </w:trPr>
        <w:tc>
          <w:tcPr>
            <w:tcW w:type="dxa" w:w="137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安全号码</w:t>
            </w:r>
          </w:p>
        </w:tc>
        <w:tc>
          <w:tcPr>
            <w:tcW w:type="dxa" w:w="82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由双方的个人根证书公钥与声明码生成的60位数字串。在双方的界面上比对（第2章 5.5“对方的添加（文书的交接）”。与Signal相同）</w:t>
            </w:r>
          </w:p>
        </w:tc>
      </w:tr>
      <w:tr>
        <w:trPr>
          <w:cantSplit/>
          <w:tblHeader w:val="off"/>
        </w:trPr>
        <w:tc>
          <w:tcPr>
            <w:tcW w:type="dxa" w:w="137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随身套件</w:t>
            </w:r>
          </w:p>
        </w:tc>
        <w:tc>
          <w:tcPr>
            <w:tcW w:type="dxa" w:w="82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用于以USB等携带应用的分发物与参考信息包的导出（第9章 5“获取途径”）</w:t>
            </w:r>
          </w:p>
        </w:tc>
      </w:tr>
      <w:tr>
        <w:trPr>
          <w:cantSplit/>
          <w:tblHeader w:val="off"/>
        </w:trPr>
        <w:tc>
          <w:tcPr>
            <w:tcW w:type="dxa" w:w="137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界面用语“备份”</w:t>
            </w:r>
          </w:p>
        </w:tc>
        <w:tc>
          <w:tcPr>
            <w:tcW w:type="dxa" w:w="82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设计用语“备份文件（控え）”在界面上的称呼（第10章 G-05“创建备份”）</w:t>
            </w:r>
          </w:p>
        </w:tc>
      </w:tr>
    </w:tbl>
    <w:p>
      <w:pPr>
        <w:spacing w:after="100" w:before="0"/>
      </w:pPr>
    </w:p>
    <w:p>
      <w:pPr>
        <w:pStyle w:val="Heading1"/>
      </w:pPr>
      <w:r>
        <w:rPr>
          <w:rFonts w:ascii="Microsoft YaHei" w:eastAsia="Microsoft YaHei" w:hAnsi="Microsoft YaHei"/>
        </w:rPr>
        <w:t xml:space="preserve">17. 与要求的对应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24"/>
        <w:gridCol w:w="4514"/>
      </w:tblGrid>
      <w:tr>
        <w:trPr>
          <w:cantSplit/>
          <w:tblHeader/>
        </w:trPr>
        <w:tc>
          <w:tcPr>
            <w:tcW w:type="dxa" w:w="512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要求编号（文字见概要设计书）</w:t>
            </w:r>
          </w:p>
        </w:tc>
        <w:tc>
          <w:tcPr>
            <w:tcW w:type="dxa" w:w="451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本章承接的节</w:t>
            </w:r>
          </w:p>
        </w:tc>
      </w:tr>
      <w:tr>
        <w:trPr>
          <w:cantSplit/>
          <w:tblHeader w:val="off"/>
        </w:trPr>
        <w:tc>
          <w:tcPr>
            <w:tcW w:type="dxa" w:w="512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R-1-1-1</w:t>
            </w:r>
          </w:p>
        </w:tc>
        <w:tc>
          <w:tcPr>
            <w:tcW w:type="dxa" w:w="451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4.1“构成要素”、6“构成要素的内容”</w:t>
            </w:r>
          </w:p>
        </w:tc>
      </w:tr>
      <w:tr>
        <w:trPr>
          <w:cantSplit/>
          <w:tblHeader w:val="off"/>
        </w:trPr>
        <w:tc>
          <w:tcPr>
            <w:tcW w:type="dxa" w:w="512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R-1-1-2</w:t>
            </w:r>
          </w:p>
        </w:tc>
        <w:tc>
          <w:tcPr>
            <w:tcW w:type="dxa" w:w="451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4.1“构成要素”</w:t>
            </w:r>
          </w:p>
        </w:tc>
      </w:tr>
      <w:tr>
        <w:trPr>
          <w:cantSplit/>
          <w:tblHeader w:val="off"/>
        </w:trPr>
        <w:tc>
          <w:tcPr>
            <w:tcW w:type="dxa" w:w="512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R-1-2-1</w:t>
            </w:r>
          </w:p>
        </w:tc>
        <w:tc>
          <w:tcPr>
            <w:tcW w:type="dxa" w:w="451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8.1“数据的一览”</w:t>
            </w:r>
          </w:p>
        </w:tc>
      </w:tr>
      <w:tr>
        <w:trPr>
          <w:cantSplit/>
          <w:tblHeader w:val="off"/>
        </w:trPr>
        <w:tc>
          <w:tcPr>
            <w:tcW w:type="dxa" w:w="512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R-1-2-2</w:t>
            </w:r>
          </w:p>
        </w:tc>
        <w:tc>
          <w:tcPr>
            <w:tcW w:type="dxa" w:w="451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8.2“标识符的体系”、8.3“格式与版本”</w:t>
            </w:r>
          </w:p>
        </w:tc>
      </w:tr>
      <w:tr>
        <w:trPr>
          <w:cantSplit/>
          <w:tblHeader w:val="off"/>
        </w:trPr>
        <w:tc>
          <w:tcPr>
            <w:tcW w:type="dxa" w:w="512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R-1-2-3</w:t>
            </w:r>
          </w:p>
        </w:tc>
        <w:tc>
          <w:tcPr>
            <w:tcW w:type="dxa" w:w="451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8.5“秘密信息的一览”</w:t>
            </w:r>
          </w:p>
        </w:tc>
      </w:tr>
      <w:tr>
        <w:trPr>
          <w:cantSplit/>
          <w:tblHeader w:val="off"/>
        </w:trPr>
        <w:tc>
          <w:tcPr>
            <w:tcW w:type="dxa" w:w="512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R-1-2-4</w:t>
            </w:r>
          </w:p>
        </w:tc>
        <w:tc>
          <w:tcPr>
            <w:tcW w:type="dxa" w:w="451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8.4“保留与删除”</w:t>
            </w:r>
          </w:p>
        </w:tc>
      </w:tr>
      <w:tr>
        <w:trPr>
          <w:cantSplit/>
          <w:tblHeader w:val="off"/>
        </w:trPr>
        <w:tc>
          <w:tcPr>
            <w:tcW w:type="dxa" w:w="512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R-1-2-5</w:t>
            </w:r>
          </w:p>
        </w:tc>
        <w:tc>
          <w:tcPr>
            <w:tcW w:type="dxa" w:w="451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8.6“多语言的文件名与文字”</w:t>
            </w:r>
          </w:p>
        </w:tc>
      </w:tr>
      <w:tr>
        <w:trPr>
          <w:cantSplit/>
          <w:tblHeader w:val="off"/>
        </w:trPr>
        <w:tc>
          <w:tcPr>
            <w:tcW w:type="dxa" w:w="512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R-1-3-1</w:t>
            </w:r>
          </w:p>
        </w:tc>
        <w:tc>
          <w:tcPr>
            <w:tcW w:type="dxa" w:w="451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7“运行时的场景”</w:t>
            </w:r>
          </w:p>
        </w:tc>
      </w:tr>
      <w:tr>
        <w:trPr>
          <w:cantSplit/>
          <w:tblHeader w:val="off"/>
        </w:trPr>
        <w:tc>
          <w:tcPr>
            <w:tcW w:type="dxa" w:w="512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R-1-3-2</w:t>
            </w:r>
          </w:p>
        </w:tc>
        <w:tc>
          <w:tcPr>
            <w:tcW w:type="dxa" w:w="451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7“运行时的场景”、10.2“保存”</w:t>
            </w:r>
          </w:p>
        </w:tc>
      </w:tr>
      <w:tr>
        <w:trPr>
          <w:cantSplit/>
          <w:tblHeader w:val="off"/>
        </w:trPr>
        <w:tc>
          <w:tcPr>
            <w:tcW w:type="dxa" w:w="512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R-1-3-3</w:t>
            </w:r>
          </w:p>
        </w:tc>
        <w:tc>
          <w:tcPr>
            <w:tcW w:type="dxa" w:w="451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4.2“与外部的交互”、7.9“离线导出与事后的可信时间戳”</w:t>
            </w:r>
          </w:p>
        </w:tc>
      </w:tr>
      <w:tr>
        <w:trPr>
          <w:cantSplit/>
          <w:tblHeader w:val="off"/>
        </w:trPr>
        <w:tc>
          <w:tcPr>
            <w:tcW w:type="dxa" w:w="512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R-1-4-1</w:t>
            </w:r>
          </w:p>
        </w:tc>
        <w:tc>
          <w:tcPr>
            <w:tcW w:type="dxa" w:w="451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11.1“信任的边界”</w:t>
            </w:r>
          </w:p>
        </w:tc>
      </w:tr>
      <w:tr>
        <w:trPr>
          <w:cantSplit/>
          <w:tblHeader w:val="off"/>
        </w:trPr>
        <w:tc>
          <w:tcPr>
            <w:tcW w:type="dxa" w:w="512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R-1-4-2</w:t>
            </w:r>
          </w:p>
        </w:tc>
        <w:tc>
          <w:tcPr>
            <w:tcW w:type="dxa" w:w="451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11.2“威胁的一览”</w:t>
            </w:r>
          </w:p>
        </w:tc>
      </w:tr>
      <w:tr>
        <w:trPr>
          <w:cantSplit/>
          <w:tblHeader w:val="off"/>
        </w:trPr>
        <w:tc>
          <w:tcPr>
            <w:tcW w:type="dxa" w:w="512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R-1-5-1</w:t>
            </w:r>
          </w:p>
        </w:tc>
        <w:tc>
          <w:tcPr>
            <w:tcW w:type="dxa" w:w="451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12“对外部的依赖”</w:t>
            </w:r>
          </w:p>
        </w:tc>
      </w:tr>
      <w:tr>
        <w:trPr>
          <w:cantSplit/>
          <w:tblHeader w:val="off"/>
        </w:trPr>
        <w:tc>
          <w:tcPr>
            <w:tcW w:type="dxa" w:w="512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R-1-6-1</w:t>
            </w:r>
          </w:p>
        </w:tc>
        <w:tc>
          <w:tcPr>
            <w:tcW w:type="dxa" w:w="451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13“终端与人”</w:t>
            </w:r>
          </w:p>
        </w:tc>
      </w:tr>
      <w:tr>
        <w:trPr>
          <w:cantSplit/>
          <w:tblHeader w:val="off"/>
        </w:trPr>
        <w:tc>
          <w:tcPr>
            <w:tcW w:type="dxa" w:w="512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R-1-6-2</w:t>
            </w:r>
          </w:p>
        </w:tc>
        <w:tc>
          <w:tcPr>
            <w:tcW w:type="dxa" w:w="451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13“终端与人”</w:t>
            </w:r>
          </w:p>
        </w:tc>
      </w:tr>
      <w:tr>
        <w:trPr>
          <w:cantSplit/>
          <w:tblHeader w:val="off"/>
        </w:trPr>
        <w:tc>
          <w:tcPr>
            <w:tcW w:type="dxa" w:w="512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R-1-6-3</w:t>
            </w:r>
          </w:p>
        </w:tc>
        <w:tc>
          <w:tcPr>
            <w:tcW w:type="dxa" w:w="451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13“终端与人”</w:t>
            </w:r>
          </w:p>
        </w:tc>
      </w:tr>
      <w:tr>
        <w:trPr>
          <w:cantSplit/>
          <w:tblHeader w:val="off"/>
        </w:trPr>
        <w:tc>
          <w:tcPr>
            <w:tcW w:type="dxa" w:w="512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R-1-7-1</w:t>
            </w:r>
          </w:p>
        </w:tc>
        <w:tc>
          <w:tcPr>
            <w:tcW w:type="dxa" w:w="451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10“横贯的思路”、14“质量的要求”</w:t>
            </w:r>
          </w:p>
        </w:tc>
      </w:tr>
      <w:tr>
        <w:trPr>
          <w:cantSplit/>
          <w:tblHeader w:val="off"/>
        </w:trPr>
        <w:tc>
          <w:tcPr>
            <w:tcW w:type="dxa" w:w="512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R-1-7-2</w:t>
            </w:r>
          </w:p>
        </w:tc>
        <w:tc>
          <w:tcPr>
            <w:tcW w:type="dxa" w:w="451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10.8“语言与国家”</w:t>
            </w:r>
          </w:p>
        </w:tc>
      </w:tr>
      <w:tr>
        <w:trPr>
          <w:cantSplit/>
          <w:tblHeader w:val="off"/>
        </w:trPr>
        <w:tc>
          <w:tcPr>
            <w:tcW w:type="dxa" w:w="512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R-1-8-1</w:t>
            </w:r>
          </w:p>
        </w:tc>
        <w:tc>
          <w:tcPr>
            <w:tcW w:type="dxa" w:w="451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18“运营”</w:t>
            </w:r>
          </w:p>
        </w:tc>
      </w:tr>
      <w:tr>
        <w:trPr>
          <w:cantSplit/>
          <w:tblHeader w:val="off"/>
        </w:trPr>
        <w:tc>
          <w:tcPr>
            <w:tcW w:type="dxa" w:w="512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R-1-8-2</w:t>
            </w:r>
          </w:p>
        </w:tc>
        <w:tc>
          <w:tcPr>
            <w:tcW w:type="dxa" w:w="451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18“运营”</w:t>
            </w:r>
          </w:p>
        </w:tc>
      </w:tr>
      <w:tr>
        <w:trPr>
          <w:cantSplit/>
          <w:tblHeader w:val="off"/>
        </w:trPr>
        <w:tc>
          <w:tcPr>
            <w:tcW w:type="dxa" w:w="512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R-1-9-1</w:t>
            </w:r>
          </w:p>
        </w:tc>
        <w:tc>
          <w:tcPr>
            <w:tcW w:type="dxa" w:w="451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4.1“构成要素”（图1-1）、7“运行时的场景”（图1-2）、11.1“信任的边界”（图1-3）</w:t>
            </w:r>
          </w:p>
        </w:tc>
      </w:tr>
      <w:tr>
        <w:trPr>
          <w:cantSplit/>
          <w:tblHeader w:val="off"/>
        </w:trPr>
        <w:tc>
          <w:tcPr>
            <w:tcW w:type="dxa" w:w="512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R-1-9-2</w:t>
            </w:r>
          </w:p>
        </w:tc>
        <w:tc>
          <w:tcPr>
            <w:tcW w:type="dxa" w:w="451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第13章 1.2“从设计计划书的决定到概要设计书、基本设计的对应”</w:t>
            </w:r>
          </w:p>
        </w:tc>
      </w:tr>
      <w:tr>
        <w:trPr>
          <w:cantSplit/>
          <w:tblHeader w:val="off"/>
        </w:trPr>
        <w:tc>
          <w:tcPr>
            <w:tcW w:type="dxa" w:w="512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R-1-9-3</w:t>
            </w:r>
          </w:p>
        </w:tc>
        <w:tc>
          <w:tcPr>
            <w:tcW w:type="dxa" w:w="451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概要设计书 1-9“图与对应”、20“章的依赖”</w:t>
            </w:r>
          </w:p>
        </w:tc>
      </w:tr>
      <w:tr>
        <w:trPr>
          <w:cantSplit/>
          <w:tblHeader w:val="off"/>
        </w:trPr>
        <w:tc>
          <w:tcPr>
            <w:tcW w:type="dxa" w:w="512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R-1-10-1</w:t>
            </w:r>
          </w:p>
        </w:tc>
        <w:tc>
          <w:tcPr>
            <w:tcW w:type="dxa" w:w="451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19“运营者工具”</w:t>
            </w:r>
          </w:p>
        </w:tc>
      </w:tr>
      <w:tr>
        <w:trPr>
          <w:cantSplit/>
          <w:tblHeader w:val="off"/>
        </w:trPr>
        <w:tc>
          <w:tcPr>
            <w:tcW w:type="dxa" w:w="512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R-1-10-2</w:t>
            </w:r>
          </w:p>
        </w:tc>
        <w:tc>
          <w:tcPr>
            <w:tcW w:type="dxa" w:w="451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19“运营者工具”</w:t>
            </w:r>
          </w:p>
        </w:tc>
      </w:tr>
    </w:tbl>
    <w:p>
      <w:pPr>
        <w:spacing w:after="100" w:before="0"/>
      </w:pPr>
    </w:p>
    <w:p>
      <w:pPr>
        <w:pStyle w:val="Heading1"/>
      </w:pPr>
      <w:r>
        <w:rPr>
          <w:rFonts w:ascii="Microsoft YaHei" w:eastAsia="Microsoft YaHei" w:hAnsi="Microsoft YaHei"/>
        </w:rPr>
        <w:t xml:space="preserve">18. 运营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18.1 NRSD的参与点与体制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52"/>
        <w:gridCol w:w="2298"/>
        <w:gridCol w:w="1588"/>
      </w:tblGrid>
      <w:tr>
        <w:trPr>
          <w:cantSplit/>
          <w:tblHeader/>
        </w:trPr>
        <w:tc>
          <w:tcPr>
            <w:tcW w:type="dxa" w:w="575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作业</w:t>
            </w:r>
          </w:p>
        </w:tc>
        <w:tc>
          <w:tcPr>
            <w:tcW w:type="dxa" w:w="229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频度</w:t>
            </w:r>
          </w:p>
        </w:tc>
        <w:tc>
          <w:tcPr>
            <w:tcW w:type="dxa" w:w="15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负责</w:t>
            </w:r>
          </w:p>
        </w:tc>
      </w:tr>
      <w:tr>
        <w:trPr>
          <w:cantSplit/>
          <w:tblHeader w:val="off"/>
        </w:trPr>
        <w:tc>
          <w:tcPr>
            <w:tcW w:type="dxa" w:w="575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参考信息的维护（窗口、文字、法令）</w:t>
            </w:r>
          </w:p>
        </w:tc>
        <w:tc>
          <w:tcPr>
            <w:tcW w:type="dxa" w:w="229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每季度，以及每次变更时</w:t>
            </w:r>
          </w:p>
        </w:tc>
        <w:tc>
          <w:tcPr>
            <w:tcW w:type="dxa" w:w="15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NRSD的运营负责人（权利文书的文字经专家确认。第5章）</w:t>
            </w:r>
          </w:p>
        </w:tc>
      </w:tr>
      <w:tr>
        <w:trPr>
          <w:cantSplit/>
          <w:tblHeader w:val="off"/>
        </w:trPr>
        <w:tc>
          <w:tcPr>
            <w:tcW w:type="dxa" w:w="575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意见的受理（第10章 9“意见受理渠道”）</w:t>
            </w:r>
          </w:p>
        </w:tc>
        <w:tc>
          <w:tcPr>
            <w:tcW w:type="dxa" w:w="229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随时。7日内（初始值）回复已收到</w:t>
            </w:r>
          </w:p>
        </w:tc>
        <w:tc>
          <w:tcPr>
            <w:tcW w:type="dxa" w:w="15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NRSD的运营负责人</w:t>
            </w:r>
          </w:p>
        </w:tc>
      </w:tr>
      <w:tr>
        <w:trPr>
          <w:cantSplit/>
          <w:tblHeader w:val="off"/>
        </w:trPr>
        <w:tc>
          <w:tcPr>
            <w:tcW w:type="dxa" w:w="575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发布</w:t>
            </w:r>
          </w:p>
        </w:tc>
        <w:tc>
          <w:tcPr>
            <w:tcW w:type="dxa" w:w="229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随时</w:t>
            </w:r>
          </w:p>
        </w:tc>
        <w:tc>
          <w:tcPr>
            <w:tcW w:type="dxa" w:w="15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NRSD的开发负责人</w:t>
            </w:r>
          </w:p>
        </w:tc>
      </w:tr>
      <w:tr>
        <w:trPr>
          <w:cantSplit/>
          <w:tblHeader w:val="off"/>
        </w:trPr>
        <w:tc>
          <w:tcPr>
            <w:tcW w:type="dxa" w:w="575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密钥的管理（更新签名密钥的密钥文件与纸质备份、参考信息签名密钥的硬件令牌2个、TUF的root与targets的密钥。第9章 4.3“更新说明（静态JSON）的形式”）</w:t>
            </w:r>
          </w:p>
        </w:tc>
        <w:tc>
          <w:tcPr>
            <w:tcW w:type="dxa" w:w="229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每年确认一次（初始值）。在TUF的root的期限（1年）、targets的期限（6个月）之前重新签名</w:t>
            </w:r>
          </w:p>
        </w:tc>
        <w:tc>
          <w:tcPr>
            <w:tcW w:type="dxa" w:w="15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NRSD的代表</w:t>
            </w:r>
          </w:p>
        </w:tc>
      </w:tr>
      <w:tr>
        <w:trPr>
          <w:cantSplit/>
          <w:tblHeader w:val="off"/>
        </w:trPr>
        <w:tc>
          <w:tcPr>
            <w:tcW w:type="dxa" w:w="575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确认TUF的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timestamp.json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的重新签名（CI的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tuf-online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每3天自动进行。第9章 4.3“更新说明（静态JSON）的形式”）没有停止</w:t>
            </w:r>
          </w:p>
        </w:tc>
        <w:tc>
          <w:tcPr>
            <w:tcW w:type="dxa" w:w="229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每周一次（初始值。在期限7天之内）</w:t>
            </w:r>
          </w:p>
        </w:tc>
        <w:tc>
          <w:tcPr>
            <w:tcW w:type="dxa" w:w="15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NRSD的开发负责人</w:t>
            </w:r>
          </w:p>
        </w:tc>
      </w:tr>
      <w:tr>
        <w:trPr>
          <w:cantSplit/>
          <w:tblHeader w:val="off"/>
        </w:trPr>
        <w:tc>
          <w:tcPr>
            <w:tcW w:type="dxa" w:w="575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应对与本系统运营相关的法律诉讼（设计计划书 11.1继承的企划草案第9节。与应对使用者的权利侵害不同，不是为使用者而做的工作）</w:t>
            </w:r>
          </w:p>
        </w:tc>
        <w:tc>
          <w:tcPr>
            <w:tcW w:type="dxa" w:w="229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发生时</w:t>
            </w:r>
          </w:p>
        </w:tc>
        <w:tc>
          <w:tcPr>
            <w:tcW w:type="dxa" w:w="158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NRSD的委任律师</w:t>
            </w:r>
          </w:p>
        </w:tc>
      </w:tr>
    </w:tbl>
    <w:p>
      <w:pPr>
        <w:spacing w:after="100" w:before="0"/>
      </w:pP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运营负责人、开发负责人、代表是角色的名称，截至2026-09-30由一名负责开发者兼任全部（3“约束”）。GitHub组织的所有者，以值得信任的另一个人作为第二人（第8章 DD-8-9“以GitHub组织与不可更改的发布加以保护”）。在能设置第二人之前，以一名所有者运营，登记多种认证手段，把恢复码以纸质放在另一处，并在手边保留公开仓库的副本（第8章 3.5“GitHub账号与仓库的保护”）。不把本人的第二个账号设为所有者（免费账号每人限一个（GitHub使用条款B.3），GitHub的建议是“两个以上的人”）。无法恢复组织的风险作为缺口声明（第13章 H-45“GitHub组织的所有者只有一人期间，若其失去全部认证手段与恢复手段，组织将无法恢复”）。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NRSD不进行使用者的接纳、证书的发行、记录的保管。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风险：NRSD的体制规模小。影响：密钥与参考信息的维护停止。准备：密钥备份的步骤（第9章）。［NRSD的判断］体制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18.2 运营费用（公开初期的参考值。2026年9月调查）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7"/>
        <w:gridCol w:w="4473"/>
        <w:gridCol w:w="2438"/>
      </w:tblGrid>
      <w:tr>
        <w:trPr>
          <w:cantSplit/>
          <w:tblHeader/>
        </w:trPr>
        <w:tc>
          <w:tcPr>
            <w:tcW w:type="dxa" w:w="272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项目</w:t>
            </w:r>
          </w:p>
        </w:tc>
        <w:tc>
          <w:tcPr>
            <w:tcW w:type="dxa" w:w="447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费用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出处</w:t>
            </w:r>
          </w:p>
        </w:tc>
      </w:tr>
      <w:tr>
        <w:trPr>
          <w:cantSplit/>
          <w:tblHeader w:val="off"/>
        </w:trPr>
        <w:tc>
          <w:tcPr>
            <w:tcW w:type="dxa" w:w="272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Apple Developer Program（macOS的代码签名与公证）</w:t>
            </w:r>
          </w:p>
        </w:tc>
        <w:tc>
          <w:tcPr>
            <w:tcW w:type="dxa" w:w="447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每年99美元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调查资料“GitHub与分发”</w:t>
            </w:r>
          </w:p>
        </w:tc>
      </w:tr>
      <w:tr>
        <w:trPr>
          <w:cantSplit/>
          <w:tblHeader w:val="off"/>
        </w:trPr>
        <w:tc>
          <w:tcPr>
            <w:tcW w:type="dxa" w:w="272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Azure Artifact Signing（Windows的代码签名）</w:t>
            </w:r>
          </w:p>
        </w:tc>
        <w:tc>
          <w:tcPr>
            <w:tcW w:type="dxa" w:w="447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每月9.99美元（5,000次）。需要有偿的Azure合同（按量计费等），免费、试用的合同不能使用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同上，Microsoft“Artifact Signing FAQ”</w:t>
            </w:r>
          </w:p>
        </w:tc>
      </w:tr>
      <w:tr>
        <w:trPr>
          <w:cantSplit/>
          <w:tblHeader w:val="off"/>
        </w:trPr>
        <w:tc>
          <w:tcPr>
            <w:tcW w:type="dxa" w:w="272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GitHub（公开仓库）</w:t>
            </w:r>
          </w:p>
        </w:tc>
        <w:tc>
          <w:tcPr>
            <w:tcW w:type="dxa" w:w="447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公开仓库的Actions标准运行环境免费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同上</w:t>
            </w:r>
          </w:p>
        </w:tc>
      </w:tr>
      <w:tr>
        <w:trPr>
          <w:cantSplit/>
          <w:tblHeader w:val="off"/>
        </w:trPr>
        <w:tc>
          <w:tcPr>
            <w:tcW w:type="dxa" w:w="272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香港镜像（对象存储）</w:t>
            </w:r>
          </w:p>
        </w:tc>
        <w:tc>
          <w:tcPr>
            <w:tcW w:type="dxa" w:w="447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对外传输每月5GB以内免费。超出部分为阿里云的单价（［需估算］）。公式见第8章 6.3“镜像费用的估算”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第8章 6.3“镜像费用的估算”</w:t>
            </w:r>
          </w:p>
        </w:tc>
      </w:tr>
      <w:tr>
        <w:trPr>
          <w:cantSplit/>
          <w:tblHeader w:val="off"/>
        </w:trPr>
        <w:tc>
          <w:tcPr>
            <w:tcW w:type="dxa" w:w="272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可信时间戳（C2PA签名时）</w:t>
            </w:r>
          </w:p>
        </w:tc>
        <w:tc>
          <w:tcPr>
            <w:tcW w:type="dxa" w:w="447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免费的TSA（DigiCert等）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调查资料“签名处理的技术要素”</w:t>
            </w:r>
          </w:p>
        </w:tc>
      </w:tr>
      <w:tr>
        <w:trPr>
          <w:cantSplit/>
          <w:tblHeader w:val="off"/>
        </w:trPr>
        <w:tc>
          <w:tcPr>
            <w:tcW w:type="dxa" w:w="272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扩展商店的注册</w:t>
            </w:r>
          </w:p>
        </w:tc>
        <w:tc>
          <w:tcPr>
            <w:tcW w:type="dxa" w:w="447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Chrome Web Store的开发者注册5美元（一次）。Firefox的AMO免费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各公司的说明</w:t>
            </w:r>
          </w:p>
        </w:tc>
      </w:tr>
      <w:tr>
        <w:trPr>
          <w:cantSplit/>
          <w:tblHeader w:val="off"/>
        </w:trPr>
        <w:tc>
          <w:tcPr>
            <w:tcW w:type="dxa" w:w="272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硬件令牌（参考信息签名密钥。具有PIV的ECC P-256者）</w:t>
            </w:r>
          </w:p>
        </w:tc>
        <w:tc>
          <w:tcPr>
            <w:tcW w:type="dxa" w:w="447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YubiKey 5系列每个58美元（2026-09 Yubico的销售页面）。包括备用共2个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Yubico的销售页面、第8章 3.4“参考信息包”</w:t>
            </w:r>
          </w:p>
        </w:tc>
      </w:tr>
      <w:tr>
        <w:trPr>
          <w:cantSplit/>
          <w:tblHeader w:val="off"/>
        </w:trPr>
        <w:tc>
          <w:tcPr>
            <w:tcW w:type="dxa" w:w="272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放置更新签名密钥的不联网电脑</w:t>
            </w:r>
          </w:p>
        </w:tc>
        <w:tc>
          <w:tcPr>
            <w:tcW w:type="dxa" w:w="447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使用现有的电脑（是否新购属于NRSD的判断）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第9章 DD-9-4“更新签名密钥放在CI之外，代码签名的凭据放在CI的机密中”</w:t>
            </w:r>
          </w:p>
        </w:tc>
      </w:tr>
      <w:tr>
        <w:trPr>
          <w:cantSplit/>
          <w:tblHeader w:val="off"/>
        </w:trPr>
        <w:tc>
          <w:tcPr>
            <w:tcW w:type="dxa" w:w="272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权利文书文字的专家确认</w:t>
            </w:r>
          </w:p>
        </w:tc>
        <w:tc>
          <w:tcPr>
            <w:tcW w:type="dxa" w:w="447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［需估算］按国家，每次修订文字时</w:t>
            </w:r>
          </w:p>
        </w:tc>
        <w:tc>
          <w:tcPr>
            <w:tcW w:type="dxa" w:w="24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第5章</w:t>
            </w:r>
          </w:p>
        </w:tc>
      </w:tr>
    </w:tbl>
    <w:p>
      <w:pPr>
        <w:spacing w:after="100" w:before="0"/>
      </w:pP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负担者：NRSD（本系统免费。如法务调查 L-10“法律事务的处理（非律师执业）（日）”所述，不从使用者收取对价是非律师执业界线的前提）。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18.3 NRSD的密钥事故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2"/>
        <w:gridCol w:w="8746"/>
      </w:tblGrid>
      <w:tr>
        <w:trPr>
          <w:cantSplit/>
          <w:tblHeader/>
        </w:trPr>
        <w:tc>
          <w:tcPr>
            <w:tcW w:type="dxa" w:w="8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步骤</w:t>
            </w:r>
          </w:p>
        </w:tc>
        <w:tc>
          <w:tcPr>
            <w:tcW w:type="dxa" w:w="87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要做的事</w:t>
            </w:r>
          </w:p>
        </w:tc>
      </w:tr>
      <w:tr>
        <w:trPr>
          <w:cantSplit/>
          <w:tblHeader w:val="off"/>
        </w:trPr>
        <w:tc>
          <w:tcPr>
            <w:tcW w:type="dxa" w:w="8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 察觉</w:t>
            </w:r>
          </w:p>
        </w:tc>
        <w:tc>
          <w:tcPr>
            <w:tcW w:type="dxa" w:w="87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密钥文件、纸质备份、硬件令牌的丢失，电脑被劫持的嫌疑，不认识的更新电子签名、参考信息包</w:t>
            </w:r>
          </w:p>
        </w:tc>
      </w:tr>
      <w:tr>
        <w:trPr>
          <w:cantSplit/>
          <w:tblHeader w:val="off"/>
        </w:trPr>
        <w:tc>
          <w:tcPr>
            <w:tcW w:type="dxa" w:w="8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 停止</w:t>
            </w:r>
          </w:p>
        </w:tc>
        <w:tc>
          <w:tcPr>
            <w:tcW w:type="dxa" w:w="87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停止公开仓库中更新清单与参考信息包的公开（与第9章 6.5“发布了有错误的版本时”的1相同）</w:t>
            </w:r>
          </w:p>
        </w:tc>
      </w:tr>
      <w:tr>
        <w:trPr>
          <w:cantSplit/>
          <w:tblHeader w:val="off"/>
        </w:trPr>
        <w:tc>
          <w:tcPr>
            <w:tcW w:type="dxa" w:w="8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 通知</w:t>
            </w:r>
          </w:p>
        </w:tc>
        <w:tc>
          <w:tcPr>
            <w:tcW w:type="dxa" w:w="87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在公开页面上通知事故的日期时间、影响（应怀疑哪个期间的更新、参考信息）、使用者要做的事（从README重新安装）。应用的通知（G-21“通知”）载于参考信息包中（第8章 3.4“参考信息包”），因此参考信息令牌密钥事故期间不使用，以步骤4替换密钥后的第一个信息包的通知进行通知（只有root的密钥两个都丢失时，才以嵌入新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root.json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的应用版本的变更说明通知。第9章 4.1“流程与状态”的步骤6）。更新签名密钥的事故，以新的参考信息包的通知进行通知</w:t>
            </w:r>
          </w:p>
        </w:tc>
      </w:tr>
      <w:tr>
        <w:trPr>
          <w:cantSplit/>
          <w:tblHeader w:val="off"/>
        </w:trPr>
        <w:tc>
          <w:tcPr>
            <w:tcW w:type="dxa" w:w="8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 替换</w:t>
            </w:r>
          </w:p>
        </w:tc>
        <w:tc>
          <w:tcPr>
            <w:tcW w:type="dxa" w:w="87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密钥的替换以TUF角色密钥的替换（第9章 4.3“更新说明（静态JSON）的形式”）进行，不需要发布应用的版本。参考信息的令牌密钥（主、备。委托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reference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）在一方事故时以另一方照常发布信息包，两方事故时以离线电脑的密钥重新签名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targets.json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并委托给新的令牌密钥。root的密钥（2个，阈值1）在一方事故时以剩下的密钥分发新版本的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root.json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来替换，只有两个都丢失时才以更新签名密钥分发嵌入新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root.json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的应用版本。更新签名密钥（Tauri的更新密钥）的事故，现有使用者从README手动重新安装（第9章 4.5“失败与盗用”）。不采用以旧密钥提高“最低版本”的步骤（丢失密钥时无法签名，泄露时攻击者可以用大的版本号抢先）</w:t>
            </w:r>
          </w:p>
        </w:tc>
      </w:tr>
      <w:tr>
        <w:trPr>
          <w:cantSplit/>
          <w:tblHeader w:val="off"/>
        </w:trPr>
        <w:tc>
          <w:tcPr>
            <w:tcW w:type="dxa" w:w="89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 记录</w:t>
            </w:r>
          </w:p>
        </w:tc>
        <w:tc>
          <w:tcPr>
            <w:tcW w:type="dxa" w:w="87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把事故的经过与处理记入运营的记录</w:t>
            </w:r>
          </w:p>
        </w:tc>
      </w:tr>
    </w:tbl>
    <w:p>
      <w:pPr>
        <w:spacing w:after="100" w:before="0"/>
      </w:pP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故障时的联系：以公开页面与应用的通知（第10章 G-21“通知”）通知。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威胁T-8（权限提升）：盗取NRSD的密钥。攻击者：内部、外部。目标资产：全体使用者。剩余的缺口：密钥本身被盗时（第13章 H-22“NRSD的密钥（更新、参考信息）被盗时，可能被分发伪造的更新、参考信息”）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19. 运营者工具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以与客户端应用相同的基础制作的另一个可执行程序，不分发给使用者。标识符为</w:t>
      </w:r>
      <w:r>
        <w:rPr>
          <w:rFonts w:ascii="Consolas" w:eastAsia="Microsoft YaHei" w:hAnsi="Consolas"/>
        </w:rPr>
        <w:t xml:space="preserve">jp.nrsd.c2pa4cosplayer.operator</w:t>
      </w:r>
      <w:r>
        <w:rPr>
          <w:rFonts w:ascii="Microsoft YaHei" w:eastAsia="Microsoft YaHei" w:hAnsi="Microsoft YaHei"/>
        </w:rPr>
        <w:t xml:space="preserve">，数据的位置按与使用者的应用相同的规则（9.1）放在该标识符之下。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"/>
        <w:gridCol w:w="1030"/>
        <w:gridCol w:w="7878"/>
      </w:tblGrid>
      <w:tr>
        <w:trPr>
          <w:cantSplit/>
          <w:tblHeader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编号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界面</w:t>
            </w:r>
          </w:p>
        </w:tc>
        <w:tc>
          <w:tcPr>
            <w:tcW w:type="dxa" w:w="787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能做的事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M-01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参考信息</w:t>
            </w:r>
          </w:p>
        </w:tc>
        <w:tc>
          <w:tcPr>
            <w:tcW w:type="dxa" w:w="787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窗口、文字、各国法律、随附文件文字的版本编辑，与前一版本差异的确认，IANA的RDAP引导列表的获取与同前一版本差异的显示（第8章 3.4“参考信息包”），订正的标记（第8章 3.4“参考信息包”），信息包预算80%的警告，对TUF的委托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reference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的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targets.json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的签名（主或备的硬件令牌。attestation的证书附在目录中。第9章 4.3“更新说明（静态JSON）的形式”）与公开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M-02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发布电子签名</w:t>
            </w:r>
          </w:p>
        </w:tc>
        <w:tc>
          <w:tcPr>
            <w:tcW w:type="dxa" w:w="787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分发物哈希的确认、更新电子签名（在不联网的运营者电脑上，使用以口令加密的更新签名密钥。第9章 DD-9-4“更新签名密钥放在CI之外，代码签名的凭据放在CI的机密中”），对TUF的委托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release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的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targets.json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与root的版本的签名（同一电脑的离线密钥。第9章 4.3“更新说明（静态JSON）的形式”、6.1“步骤”）</w:t>
            </w:r>
          </w:p>
        </w:tc>
      </w:tr>
    </w:tbl>
    <w:p>
      <w:pPr>
        <w:spacing w:after="100" w:before="0"/>
      </w:pP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M-01把参考信息的原稿与信息包写入公开仓库的本地副本（clone），由运营者以带电子签名的提交提出拉取请求（第8章 3.5“GitHub账号与仓库的保护”的主分支规则）。公开页面（</w:t>
      </w:r>
      <w:r>
        <w:rPr>
          <w:rFonts w:ascii="Consolas" w:eastAsia="Microsoft YaHei" w:hAnsi="Consolas"/>
        </w:rPr>
        <w:t xml:space="preserve">/rights/</w:t>
      </w:r>
      <w:r>
        <w:rPr>
          <w:rFonts w:ascii="Microsoft YaHei" w:eastAsia="Microsoft YaHei" w:hAnsi="Microsoft YaHei"/>
        </w:rPr>
        <w:t xml:space="preserve">、条款、通知）由CI从同一原稿生成（第8章 3.3“公开页面（O-05“公开页面的刊载内容”的决定）”）。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使用密钥的操作只在运营者的电脑上进行。M-01“参考信息”在运营者的管理用电脑上进行（联网。参考信息签名密钥在硬件令牌中，每次签名都输入PIN），M-02“发布电子签名”在不联网的运营者电脑上进行（更新签名密钥）。CI不持有任何一方的密钥（R-1-10-2）。意见以电子邮件接收，不在运营者工具中处理（第10章 9“意见受理渠道”）。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参考信息原稿的形式：置于</w:t>
      </w:r>
      <w:r>
        <w:rPr>
          <w:rFonts w:ascii="Consolas" w:eastAsia="Microsoft YaHei" w:hAnsi="Consolas"/>
        </w:rPr>
        <w:t xml:space="preserve">reference/src/</w:t>
      </w:r>
      <w:r>
        <w:rPr>
          <w:rFonts w:ascii="Microsoft YaHei" w:eastAsia="Microsoft YaHei" w:hAnsi="Microsoft YaHei"/>
        </w:rPr>
        <w:t xml:space="preserve">。表（窗口、期限、判定、法律的参照处、通知）为YAML（1表1文件。行的键为编号，文字为</w:t>
      </w:r>
      <w:r>
        <w:rPr>
          <w:rFonts w:ascii="Consolas" w:eastAsia="Microsoft YaHei" w:hAnsi="Consolas"/>
        </w:rPr>
        <w:t xml:space="preserve">ja: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zh:</w:t>
      </w:r>
      <w:r>
        <w:rPr>
          <w:rFonts w:ascii="Microsoft YaHei" w:eastAsia="Microsoft YaHei" w:hAnsi="Microsoft YaHei"/>
        </w:rPr>
        <w:t xml:space="preserve">、</w:t>
      </w:r>
      <w:r>
        <w:rPr>
          <w:rFonts w:ascii="Consolas" w:eastAsia="Microsoft YaHei" w:hAnsi="Consolas"/>
        </w:rPr>
        <w:t xml:space="preserve">en:</w:t>
      </w:r>
      <w:r>
        <w:rPr>
          <w:rFonts w:ascii="Microsoft YaHei" w:eastAsia="Microsoft YaHei" w:hAnsi="Microsoft YaHei"/>
        </w:rPr>
        <w:t xml:space="preserve">栏），长文（范本、随附文件的文字、条款、例文）为Markdown（1文件1语言1文件），RDAP引导、ClearURLs、VEX保持其原格式。M-01按项目的栏编辑YAML、Markdown，并由同一原稿生成信息包（JSON、zstd）与公开页面（静态站点生成的Markdown＋YAML惯例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从离线PC带出：M-02将分发物的更新电子签名、指引、</w:t>
      </w:r>
      <w:r>
        <w:rPr>
          <w:rFonts w:ascii="Consolas" w:eastAsia="Microsoft YaHei" w:hAnsi="Consolas"/>
        </w:rPr>
        <w:t xml:space="preserve">release</w:t>
      </w:r>
      <w:r>
        <w:rPr>
          <w:rFonts w:ascii="Microsoft YaHei" w:eastAsia="Microsoft YaHei" w:hAnsi="Microsoft YaHei"/>
        </w:rPr>
        <w:t xml:space="preserve">的targets与</w:t>
      </w:r>
      <w:r>
        <w:rPr>
          <w:rFonts w:ascii="Consolas" w:eastAsia="Microsoft YaHei" w:hAnsi="Consolas"/>
        </w:rPr>
        <w:t xml:space="preserve">manifest-sha256.txt</w:t>
      </w:r>
      <w:r>
        <w:rPr>
          <w:rFonts w:ascii="Microsoft YaHei" w:eastAsia="Microsoft YaHei" w:hAnsi="Microsoft YaHei"/>
        </w:rPr>
        <w:t xml:space="preserve">一起写入USB。公开用PC的</w:t>
      </w:r>
      <w:r>
        <w:rPr>
          <w:rFonts w:ascii="Consolas" w:eastAsia="Microsoft YaHei" w:hAnsi="Consolas"/>
        </w:rPr>
        <w:t xml:space="preserve">tools/</w:t>
      </w:r>
      <w:r>
        <w:rPr>
          <w:rFonts w:ascii="Microsoft YaHei" w:eastAsia="Microsoft YaHei" w:hAnsi="Microsoft YaHei"/>
        </w:rPr>
        <w:t xml:space="preserve">工具核对全部文件的哈希后放到GitHub Pages与镜像（air-gap惯例）。USB每次往返都清空。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20. 章的依赖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依概要设计书 1-9“图与对应”的依赖表。本章的DD-1-3（在终端生成证书）与DD-1-4（记录放在终端上）同时约束第2章“签名信息与比对”与第8章“仓库与数据管理”。DD-1-8（界面与核心的分工）约束第10章与第11章。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21. 本章声明的缺口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本章的缺口依第13章 4.1“机制的缺口”的表（章的栏为本章的行。附为何无法堵上、尽力的范围、剩余的风险、承担者）（本章不转载）。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22. 对其他章、概要设计书的订正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第4章 11.8“放置处”：缩略图不放在</w:t>
      </w:r>
      <w:r>
        <w:rPr>
          <w:rFonts w:ascii="Consolas" w:eastAsia="Microsoft YaHei" w:hAnsi="Consolas"/>
        </w:rPr>
        <w:t xml:space="preserve">sessions/&lt;作业编号&gt;/thumbs/</w:t>
      </w:r>
      <w:r>
        <w:rPr>
          <w:rFonts w:ascii="Microsoft YaHei" w:eastAsia="Microsoft YaHei" w:hAnsi="Microsoft YaHei"/>
        </w:rPr>
        <w:t xml:space="preserve">，而放在操作系统的缓存位置（DD-1-10“数据放在不同步的、按使用者区分的位置”）。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第8章 2.1“配置”：存放位置为app_local_data_dir（不用Roaming）。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第10章：把DD-1-8“界面只负责显示与输入，处理在Rust核心中进行”的界面与核心的分工作为界面设计的前提。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第11章：在部件中加入tauri-plugin-single-instance。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第13章：威胁为从T-1“冒充权利人抢先C2PA签名，或替换C2PA签名”到T-26“直接连接的中继能看到IP地址与终端的编号”的26件（2026-09-30加入了T-24〜T-26）。</w:t>
      </w:r>
    </w:p>
    <w:sectPr>
      <w:headerReference w:type="default" r:id="rId6"/>
      <w:footerReference w:type="default" r:id="rId7"/>
      <w:pgSz w:w="11906" w:h="16838" w:orient="portrait"/>
      <w:pgMar w:top="1304" w:right="1134" w:bottom="130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808080"/>
        <w:sz w:val="16"/>
        <w:szCs w:val="16"/>
      </w:rPr>
      <w:t xml:space="preserve">Cosplay照片防盗图工具 基本设计书 第1章 整体结构　第1版（草案）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300"/>
      </w:pPr>
    </w:lvl>
    <w:lvl w:ilvl="1" w:tentative="1">
      <w:start w:val="1"/>
      <w:numFmt w:val="bullet"/>
      <w:lvlText w:val="◦"/>
      <w:lvlJc w:val="left"/>
      <w:pPr>
        <w:ind w:left="780" w:hanging="300"/>
      </w:pPr>
    </w:lvl>
    <w:lvl w:ilvl="2" w:tentative="1">
      <w:start w:val="1"/>
      <w:numFmt w:val="bullet"/>
      <w:lvlText w:val="▪"/>
      <w:lvlJc w:val="left"/>
      <w:pPr>
        <w:ind w:left="114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eastAsia="Microsoft YaHei" w:hAnsi="Microsoft YaHei"/>
        <w:sz w:val="21"/>
        <w:szCs w:val="21"/>
        <w:lang w:val="zh-CN" w:eastAsia="zh-CN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outlineLvl w:val="0"/>
    </w:pPr>
    <w:rPr>
      <w:rFonts w:ascii="Microsoft YaHei" w:cs="Microsoft YaHei" w:eastAsia="Microsoft YaHei" w:hAnsi="Microsoft YaHei"/>
      <w:b/>
      <w:bCs/>
      <w:color w:val="345A8A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80"/>
      <w:outlineLvl w:val="1"/>
    </w:pPr>
    <w:rPr>
      <w:rFonts w:ascii="Microsoft YaHei" w:cs="Microsoft YaHei" w:eastAsia="Microsoft YaHei" w:hAnsi="Microsoft YaHei"/>
      <w:b/>
      <w:bCs/>
      <w:color w:val="4F81BD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Microsoft YaHei" w:cs="Microsoft YaHei" w:eastAsia="Microsoft YaHei" w:hAnsi="Microsoft YaHei"/>
      <w:b/>
      <w:bCs/>
      <w:color w:val="4F81BD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a7718a056f8d7a7afcde24d6535624263634d11.png"/><Relationship Id="rId10" Type="http://schemas.openxmlformats.org/officeDocument/2006/relationships/image" Target="media/b9ffcacebbadd0561ed62684c653d2837ea5dfa9.png"/><Relationship Id="rId11" Type="http://schemas.openxmlformats.org/officeDocument/2006/relationships/image" Target="media/de9449e5b8c99a508af28282ea7525fc7599982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基本设计书 第1章 整体结构</dc:title>
  <dc:creator>石川宗</dc:creator>
  <cp:lastModifiedBy>Un-named</cp:lastModifiedBy>
  <cp:revision>1</cp:revision>
  <dcterms:created xsi:type="dcterms:W3CDTF">2026-10-01T13:30:56.383Z</dcterms:created>
  <dcterms:modified xsi:type="dcterms:W3CDTF">2026-10-01T13:30:56.383Z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