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color w:val="404040"/>
          <w:sz w:val="26"/>
          <w:szCs w:val="26"/>
        </w:rPr>
        <w:t xml:space="preserve">Anti-Repost Tool for Cosplay Photos</w:t>
      </w:r>
    </w:p>
    <w:p>
      <w:pPr>
        <w:spacing w:after="300"/>
        <w:jc w:val="center"/>
      </w:pPr>
      <w:r>
        <w:rPr>
          <w:rFonts w:ascii="Calibri" w:cs="Calibri" w:eastAsia="Calibri" w:hAnsi="Calibri"/>
          <w:b/>
          <w:bCs/>
          <w:color w:val="345A8A"/>
          <w:sz w:val="40"/>
          <w:szCs w:val="40"/>
        </w:rPr>
        <w:t xml:space="preserve">Basic Design Document Chapter 5: Rights Documents</w:t>
      </w:r>
    </w:p>
    <w:p>
      <w:pPr>
        <w:spacing w:after="1600"/>
        <w:jc w:val="center"/>
      </w:pPr>
      <w:r>
        <w:rPr>
          <w:rFonts w:ascii="Calibri" w:cs="Calibri" w:eastAsia="Calibri" w:hAnsi="Calibri"/>
          <w:sz w:val="24"/>
          <w:szCs w:val="24"/>
        </w:rPr>
        <w:t xml:space="preserve">Edition 1 (Draft)  2026-09-29 · Ishikawa Sou</w:t>
      </w:r>
    </w:p>
    <w:p>
      <w:pPr>
        <w:spacing w:after="120"/>
        <w:jc w:val="center"/>
      </w:pPr>
      <w:r>
        <w:rPr>
          <w:rFonts w:ascii="Calibri" w:cs="Calibri" w:eastAsia="Calibri" w:hAnsi="Calibri"/>
          <w:sz w:val="24"/>
          <w:szCs w:val="24"/>
        </w:rPr>
        <w:t xml:space="preserve">Nagareyama Software Development Co., Ltd. (NRSD)</w:t>
      </w:r>
    </w:p>
    <w:p>
      <w:pPr>
        <w:spacing w:before="2400" w:line="300"/>
      </w:pPr>
      <w:r>
        <w:rPr>
          <w:rFonts w:ascii="Calibri" w:cs="Calibri" w:eastAsia="Calibri" w:hAnsi="Calibri"/>
          <w:color w:val="404040"/>
          <w:sz w:val="18"/>
          <w:szCs w:val="18"/>
        </w:rPr>
        <w:t xml:space="preserve">© 2026 Nagareyama Software Development Co., Ltd. (NRSD), Lead Developer: Ishikawa Sou (石川宗). Copyright in this document belongs to Nagareyama Software Development Co., Ltd. (NRSD). Rights in the third-party standards, software, commentaries on laws, and other materials referred to in this document belong to their respective holders. This is a translation of the Japanese original; where they differ, the Japanese original prevails.</w:t>
      </w:r>
    </w:p>
    <w:p>
      <w:pPr>
        <w:pageBreakBefore/>
        <w:spacing w:after="240"/>
      </w:pPr>
      <w:r>
        <w:rPr>
          <w:rFonts w:ascii="Calibri" w:cs="Calibri" w:eastAsia="Calibri" w:hAnsi="Calibri"/>
          <w:b/>
          <w:bCs/>
          <w:color w:val="345A8A"/>
          <w:sz w:val="30"/>
          <w:szCs w:val="30"/>
        </w:rPr>
        <w:t xml:space="preserve">Contents</w:t>
      </w:r>
    </w:p>
    <w:p>
      <w:pPr>
        <w:spacing w:after="40" w:before="40"/>
        <w:ind w:left="240"/>
      </w:pPr>
      <w:r>
        <w:rPr>
          <w:rFonts w:ascii="Calibri" w:cs="Calibri" w:eastAsia="Calibri" w:hAnsi="Calibri"/>
          <w:sz w:val="22"/>
          <w:szCs w:val="22"/>
        </w:rPr>
        <w:t xml:space="preserve">Position of This Document</w:t>
      </w:r>
    </w:p>
    <w:p>
      <w:pPr>
        <w:spacing w:after="40" w:before="40"/>
        <w:ind w:left="240"/>
      </w:pPr>
      <w:r>
        <w:rPr>
          <w:rFonts w:ascii="Calibri" w:cs="Calibri" w:eastAsia="Calibri" w:hAnsi="Calibri"/>
          <w:sz w:val="22"/>
          <w:szCs w:val="22"/>
        </w:rPr>
        <w:t xml:space="preserve">1. List of Design Decisions</w:t>
      </w:r>
    </w:p>
    <w:p>
      <w:pPr>
        <w:spacing w:after="40" w:before="40"/>
        <w:ind w:left="240"/>
      </w:pPr>
      <w:r>
        <w:rPr>
          <w:rFonts w:ascii="Calibri" w:cs="Calibri" w:eastAsia="Calibri" w:hAnsi="Calibri"/>
          <w:sz w:val="22"/>
          <w:szCs w:val="22"/>
        </w:rPr>
        <w:t xml:space="preserve">2. Permitted Scope</w:t>
      </w:r>
    </w:p>
    <w:p>
      <w:pPr>
        <w:spacing w:after="40" w:before="40"/>
        <w:ind w:left="240"/>
      </w:pPr>
      <w:r>
        <w:rPr>
          <w:rFonts w:ascii="Calibri" w:cs="Calibri" w:eastAsia="Calibri" w:hAnsi="Calibri"/>
          <w:sz w:val="22"/>
          <w:szCs w:val="22"/>
        </w:rPr>
        <w:t xml:space="preserve">3. Enclosed Document</w:t>
      </w:r>
    </w:p>
    <w:p>
      <w:pPr>
        <w:spacing w:after="40" w:before="40"/>
        <w:ind w:left="240"/>
      </w:pPr>
      <w:r>
        <w:rPr>
          <w:rFonts w:ascii="Calibri" w:cs="Calibri" w:eastAsia="Calibri" w:hAnsi="Calibri"/>
          <w:sz w:val="22"/>
          <w:szCs w:val="22"/>
        </w:rPr>
        <w:t xml:space="preserve">4. Management of the Wording</w:t>
      </w:r>
    </w:p>
    <w:p>
      <w:pPr>
        <w:spacing w:after="40" w:before="40"/>
        <w:ind w:left="240"/>
      </w:pPr>
      <w:r>
        <w:rPr>
          <w:rFonts w:ascii="Calibri" w:cs="Calibri" w:eastAsia="Calibri" w:hAnsi="Calibri"/>
          <w:sz w:val="22"/>
          <w:szCs w:val="22"/>
        </w:rPr>
        <w:t xml:space="preserve">5. Countries</w:t>
      </w:r>
    </w:p>
    <w:p>
      <w:pPr>
        <w:spacing w:after="40" w:before="40"/>
        <w:ind w:left="240"/>
      </w:pPr>
      <w:r>
        <w:rPr>
          <w:rFonts w:ascii="Calibri" w:cs="Calibri" w:eastAsia="Calibri" w:hAnsi="Calibri"/>
          <w:sz w:val="22"/>
          <w:szCs w:val="22"/>
        </w:rPr>
        <w:t xml:space="preserve">6. Support for Notices</w:t>
      </w:r>
    </w:p>
    <w:p>
      <w:pPr>
        <w:spacing w:after="40" w:before="40"/>
        <w:ind w:left="240"/>
      </w:pPr>
      <w:r>
        <w:rPr>
          <w:rFonts w:ascii="Calibri" w:cs="Calibri" w:eastAsia="Calibri" w:hAnsi="Calibri"/>
          <w:sz w:val="22"/>
          <w:szCs w:val="22"/>
        </w:rPr>
        <w:t xml:space="preserve">7. Mapping to Requirements</w:t>
      </w:r>
    </w:p>
    <w:p>
      <w:pPr>
        <w:spacing w:after="40" w:before="40"/>
        <w:ind w:left="240"/>
      </w:pPr>
      <w:r>
        <w:rPr>
          <w:rFonts w:ascii="Calibri" w:cs="Calibri" w:eastAsia="Calibri" w:hAnsi="Calibri"/>
          <w:sz w:val="22"/>
          <w:szCs w:val="22"/>
        </w:rPr>
        <w:t xml:space="preserve">8. Gaps Declared in This Chapter</w:t>
      </w:r>
    </w:p>
    <w:p>
      <w:pPr>
        <w:spacing w:after="40" w:before="40"/>
        <w:ind w:left="240"/>
      </w:pPr>
      <w:r>
        <w:rPr>
          <w:rFonts w:ascii="Calibri" w:cs="Calibri" w:eastAsia="Calibri" w:hAnsi="Calibri"/>
          <w:sz w:val="22"/>
          <w:szCs w:val="22"/>
        </w:rPr>
        <w:t xml:space="preserve">9. Corrections to the Outline Design Document</w:t>
      </w:r>
    </w:p>
    <w:p>
      <w:r>
        <w:br w:type="page"/>
      </w:r>
    </w:p>
    <w:p>
      <w:pPr>
        <w:pStyle w:val="Heading1"/>
      </w:pPr>
      <w:r>
        <w:rPr>
          <w:rFonts w:ascii="Calibri" w:eastAsia="Yu Gothic" w:hAnsi="Calibri"/>
        </w:rPr>
        <w:t xml:space="preserve">Position of This Document</w:t>
      </w:r>
    </w:p>
    <w:p>
      <w:pPr>
        <w:pStyle w:val="ListParagraph"/>
        <w:keepNext/>
        <w:keepLines/>
        <w:numPr>
          <w:ilvl w:val="0"/>
          <w:numId w:val="2"/>
        </w:numPr>
        <w:spacing w:after="20" w:before="20" w:line="300"/>
      </w:pPr>
      <w:r>
        <w:rPr>
          <w:rFonts w:ascii="Calibri" w:eastAsia="Yu Gothic" w:hAnsi="Calibri"/>
        </w:rPr>
        <w:t xml:space="preserve">Details Chapter 5 of the Outline Design Document. Decided together with Chapter 3 (recording in the manifest) (Chapters 3 and 5 depend on each other).</w:t>
      </w:r>
    </w:p>
    <w:p>
      <w:pPr>
        <w:pStyle w:val="ListParagraph"/>
        <w:keepNext w:val="false"/>
        <w:keepLines/>
        <w:numPr>
          <w:ilvl w:val="0"/>
          <w:numId w:val="2"/>
        </w:numPr>
        <w:spacing w:after="20" w:before="20" w:line="300"/>
      </w:pPr>
      <w:r>
        <w:rPr>
          <w:rFonts w:ascii="Calibri" w:eastAsia="Yu Gothic" w:hAnsi="Calibri"/>
        </w:rPr>
        <w:t xml:space="preserve">The decisions received are as in the following table (the decisions, items to be investigated, and open items of Design Plan Edition 2, and omissions found in the item breakdown). The texts of the Design Plan's decisions, items to be investigated, and open items are per Chapter 13, 1.2 “Mapping from Design Plan decisions to the Outline Design Document and basic design” and the destination table of the Outline Design Document (not reproduced in this chapter; only the numbers and the omissions found in the item breakdown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2501"/>
        <w:gridCol w:w="6127"/>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250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612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A-2</w:t>
            </w:r>
          </w:p>
        </w:tc>
        <w:tc>
          <w:tcPr>
            <w:tcW w:type="dxa" w:w="2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61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Functions supporting the Notice (the Notice is the premise of effectiveness, and Entitlement matching relies on it)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A-19</w:t>
            </w:r>
          </w:p>
        </w:tc>
        <w:tc>
          <w:tcPr>
            <w:tcW w:type="dxa" w:w="25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61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Consistency with the terms of sales platforms (handled by Legal)</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The references are as in the following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42"/>
        <w:gridCol w:w="4596"/>
      </w:tblGrid>
      <w:tr>
        <w:trPr>
          <w:cantSplit/>
          <w:tblHeader/>
        </w:trPr>
        <w:tc>
          <w:tcPr>
            <w:tcW w:type="dxa" w:w="50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Reference</w:t>
            </w:r>
          </w:p>
        </w:tc>
        <w:tc>
          <w:tcPr>
            <w:tcW w:type="dxa" w:w="459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referred to</w:t>
            </w:r>
          </w:p>
        </w:tc>
      </w:tr>
      <w:tr>
        <w:trPr>
          <w:cantSplit/>
          <w:tblHeader w:val="off"/>
        </w:trPr>
        <w:tc>
          <w:tcPr>
            <w:tcW w:type="dxa" w:w="5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Legal Research L-1“Removal or alteration of rights management information (Japan)” to L-9“Takedown request procedures (US)”</w:t>
            </w:r>
          </w:p>
        </w:tc>
        <w:tc>
          <w:tcPr>
            <w:tcW w:type="dxa" w:w="45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Rights management information, portrait rights, procedures for takedown requests (Japan, China, the United States)</w:t>
            </w:r>
          </w:p>
        </w:tc>
      </w:tr>
      <w:tr>
        <w:trPr>
          <w:cantSplit/>
          <w:tblHeader w:val="off"/>
        </w:trPr>
        <w:tc>
          <w:tcPr>
            <w:tcW w:type="dxa" w:w="5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Legal Research L-17“Terms of sales platforms”</w:t>
            </w:r>
          </w:p>
        </w:tc>
        <w:tc>
          <w:tcPr>
            <w:tcW w:type="dxa" w:w="45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Terms of sales venues (Patreon)</w:t>
            </w:r>
          </w:p>
        </w:tc>
      </w:tr>
      <w:tr>
        <w:trPr>
          <w:cantSplit/>
          <w:tblHeader w:val="off"/>
        </w:trPr>
        <w:tc>
          <w:tcPr>
            <w:tcW w:type="dxa" w:w="5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3, 3.1 “Fields recorded”</w:t>
            </w:r>
          </w:p>
        </w:tc>
        <w:tc>
          <w:tcPr>
            <w:tcW w:type="dxa" w:w="45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Recording in the manifest (rights information, whether AI training is allowed)</w:t>
            </w:r>
          </w:p>
        </w:tc>
      </w:tr>
      <w:tr>
        <w:trPr>
          <w:cantSplit/>
          <w:tblHeader w:val="off"/>
        </w:trPr>
        <w:tc>
          <w:tcPr>
            <w:tcW w:type="dxa" w:w="50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DD-1-6“NRSD signs reference information and places it in the Public Repository and the mirror”</w:t>
            </w:r>
          </w:p>
        </w:tc>
        <w:tc>
          <w:tcPr>
            <w:tcW w:type="dxa" w:w="45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NRSD signing and distributing the reference information</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For the wording (the provisions of Enclosed Documents and Notice texts), this document sets the structure and how they are made; the provisions themselves are written by NRSD as reference information and are reviewed by experts (I-08“Wording of Rights Documents”). The sample sentences in this document are outlines to explain the structure, not final provisions.</w:t>
      </w:r>
    </w:p>
    <w:p>
      <w:pPr>
        <w:pStyle w:val="Heading1"/>
      </w:pPr>
      <w:r>
        <w:rPr>
          <w:rFonts w:ascii="Calibri" w:eastAsia="Yu Gothic" w:hAnsi="Calibri"/>
        </w:rPr>
        <w:t xml:space="preserve">1. List of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3406"/>
        <w:gridCol w:w="3406"/>
        <w:gridCol w:w="1816"/>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340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Decision</w:t>
            </w:r>
          </w:p>
        </w:tc>
        <w:tc>
          <w:tcPr>
            <w:tcW w:type="dxa" w:w="340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Reason</w:t>
            </w:r>
          </w:p>
        </w:tc>
        <w:tc>
          <w:tcPr>
            <w:tcW w:type="dxa" w:w="181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Rejected alternatives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DD-5-1</w:t>
            </w:r>
          </w:p>
        </w:tc>
        <w:tc>
          <w:tcPr>
            <w:tcW w:type="dxa" w:w="34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Permitted Scope is chosen as a “basic scope (one radio button)” and “additional permissions (checkboxes)”. Commercial use is not among the options and always “requires separate permission”</w:t>
            </w:r>
          </w:p>
        </w:tc>
        <w:tc>
          <w:tcPr>
            <w:tcW w:type="dxa" w:w="34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Non-technical people can understand it at a glance (Design Plan 8.2 “Screens”, 9.1 “easy-to-understand methods such as radio buttons”). The conditions of commercial permission (consideration, period, media, number of copies, etc.) are decided per transaction and cannot be expressed as options. Selecting and displaying model forms and reflecting input are ordinarily not legal services, ordinary contracts without disputes are in many cases considered not to involve a legal case (the Ministry of Justice's guidelines), and the System is free of charge, so the reason for not providing commercial options is not the unauthorized practice of law</w:t>
            </w:r>
          </w:p>
        </w:tc>
        <w:tc>
          <w:tcPr>
            <w:tcW w:type="dxa" w:w="18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Choosing everything with checkboxes (too many combinations; confusing)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DD-5-2</w:t>
            </w:r>
          </w:p>
        </w:tc>
        <w:tc>
          <w:tcPr>
            <w:tcW w:type="dxa" w:w="34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Enclosed Document is divided into a “common part” (statements of fact independent of language) and a “country part” (summaries of the country's law and references to contact points); the common part is enclosed in all languages and the country part as TXT only for the chosen countries. Complete coverage is shown by a link to the public page</w:t>
            </w:r>
          </w:p>
        </w:tc>
        <w:tc>
          <w:tcPr>
            <w:tcW w:type="dxa" w:w="34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Design Plan 9.3 “Countries Covered” (countries, not languages), D-9-5“Information covering all countries is published as a link destination, and text versions are enclosed only for the nationalities common among purchasers” (complete coverage by link, TXT only for common nationalities)</w:t>
            </w:r>
          </w:p>
        </w:tc>
        <w:tc>
          <w:tcPr>
            <w:tcW w:type="dxa" w:w="18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Writing the full text per country (much duplication)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DD-5-3</w:t>
            </w:r>
          </w:p>
        </w:tc>
        <w:tc>
          <w:tcPr>
            <w:tcW w:type="dxa" w:w="34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Enclosed Document places the sentence “do not give or receive the images to or from others without permission” near the top of the common part (D-9-4“The Enclosed Document includes a sentence stating that the images must not be passed to others without permission. Its loss is not due to the fault of the Rights Holder”)</w:t>
            </w:r>
          </w:p>
        </w:tc>
        <w:tc>
          <w:tcPr>
            <w:tcW w:type="dxa" w:w="34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Placed where purchasers read first</w:t>
            </w:r>
          </w:p>
        </w:tc>
        <w:tc>
          <w:tcPr>
            <w:tcW w:type="dxa" w:w="18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DD-5-4</w:t>
            </w:r>
          </w:p>
        </w:tc>
        <w:tc>
          <w:tcPr>
            <w:tcW w:type="dxa" w:w="34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list of the names and SHA-256 of all files of the Enclosed Document (files beginning with </w:t>
            </w:r>
            <w:r>
              <w:rPr>
                <w:rFonts w:ascii="Consolas" w:eastAsia="Yu Gothic" w:hAnsi="Consolas"/>
                <w:b w:val="false"/>
                <w:bCs w:val="false"/>
                <w:sz w:val="18"/>
                <w:szCs w:val="18"/>
              </w:rPr>
              <w:t xml:space="preserve">00_RIGHTS</w:t>
            </w:r>
            <w:r>
              <w:rPr>
                <w:rFonts w:ascii="Calibri" w:eastAsia="Yu Gothic" w:hAnsi="Calibri"/>
                <w:b w:val="false"/>
                <w:bCs w:val="false"/>
                <w:sz w:val="18"/>
                <w:szCs w:val="18"/>
              </w:rPr>
              <w:t xml:space="preserve">) is recorded in the manifest (jp.nrsd.rights) of every image output in that sale</w:t>
            </w:r>
          </w:p>
        </w:tc>
        <w:tc>
          <w:tcPr>
            <w:tcW w:type="dxa" w:w="34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Rewriting of the Enclosed Document can be detected (R-5-2-2). Links images and documents as a set</w:t>
            </w:r>
          </w:p>
        </w:tc>
        <w:tc>
          <w:tcPr>
            <w:tcW w:type="dxa" w:w="18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Attaching a record signature to the Enclosed Document (asking purchasers to verify it is difficult; recording hashes suffices)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DD-5-5</w:t>
            </w:r>
          </w:p>
        </w:tc>
        <w:tc>
          <w:tcPr>
            <w:tcW w:type="dxa" w:w="34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wording is managed by NRSD with versions as reference information (Chapter 1, DD-1-6“NRSD signs reference information and places it in the Public Repository and the mirror”), and the app records the version when generating</w:t>
            </w:r>
          </w:p>
        </w:tc>
        <w:tc>
          <w:tcPr>
            <w:tcW w:type="dxa" w:w="34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Updates to the wording reach Users, and which version was used can be shown later (R-5-3-1, R-5-3-2)</w:t>
            </w:r>
          </w:p>
        </w:tc>
        <w:tc>
          <w:tcPr>
            <w:tcW w:type="dxa" w:w="18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Embedding it fixed in the app</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DD-5-6</w:t>
            </w:r>
          </w:p>
        </w:tc>
        <w:tc>
          <w:tcPr>
            <w:tcW w:type="dxa" w:w="34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Sample Notice texts, including the posting of the notice code, are prepared in three levels (short, medium, long) to fit each platform's character count</w:t>
            </w:r>
          </w:p>
        </w:tc>
        <w:tc>
          <w:tcPr>
            <w:tcW w:type="dxa" w:w="34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Fits profile limits (X 160, Instagram 150, Xiaohongshu about 100) and pinned posts (long) (Chapter 2, 2.2 “Limits of the places where notice codes are posted”)</w:t>
            </w:r>
          </w:p>
        </w:tc>
        <w:tc>
          <w:tcPr>
            <w:tcW w:type="dxa" w:w="18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DD-5-7</w:t>
            </w:r>
          </w:p>
        </w:tc>
        <w:tc>
          <w:tcPr>
            <w:tcW w:type="dxa" w:w="34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machine-readable Permitted Scope (</w:t>
            </w:r>
            <w:r>
              <w:rPr>
                <w:rFonts w:ascii="Consolas" w:eastAsia="Yu Gothic" w:hAnsi="Consolas"/>
                <w:b w:val="false"/>
                <w:bCs w:val="false"/>
                <w:sz w:val="18"/>
                <w:szCs w:val="18"/>
              </w:rPr>
              <w:t xml:space="preserve">00_RIGHTS.json</w:t>
            </w:r>
            <w:r>
              <w:rPr>
                <w:rFonts w:ascii="Calibri" w:eastAsia="Yu Gothic" w:hAnsi="Calibri"/>
                <w:b w:val="false"/>
                <w:bCs w:val="false"/>
                <w:sz w:val="18"/>
                <w:szCs w:val="18"/>
              </w:rPr>
              <w:t xml:space="preserve">) is written in W3C ODRL 2.2 (a Recommendation for expressing usage conditions; JSON-LD). AI training and inference are not standard ODRL actions, so they are expressed as the System's extension actions</w:t>
            </w:r>
          </w:p>
        </w:tc>
        <w:tc>
          <w:tcPr>
            <w:tcW w:type="dxa" w:w="34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standard format other software can read is better than a custom format. ODRL has permissions, prohibitions, and duties, and actions for display, print, reproduce, distribute, and modify (W3C Recommendation, 2018-02-15)</w:t>
            </w:r>
          </w:p>
        </w:tc>
        <w:tc>
          <w:tcPr>
            <w:tcW w:type="dxa" w:w="18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Custom JSON (first draft)</w:t>
            </w:r>
          </w:p>
        </w:tc>
      </w:tr>
    </w:tbl>
    <w:p>
      <w:pPr>
        <w:spacing w:after="100" w:before="0"/>
      </w:pPr>
    </w:p>
    <w:p>
      <w:pPr>
        <w:pStyle w:val="Heading1"/>
      </w:pPr>
      <w:r>
        <w:rPr>
          <w:rFonts w:ascii="Calibri" w:eastAsia="Yu Gothic" w:hAnsi="Calibri"/>
        </w:rPr>
        <w:t xml:space="preserve">2. Permitted Scope</w:t>
      </w:r>
    </w:p>
    <w:p>
      <w:pPr>
        <w:pStyle w:val="Heading2"/>
      </w:pPr>
      <w:r>
        <w:rPr>
          <w:rFonts w:ascii="Calibri" w:eastAsia="Yu Gothic" w:hAnsi="Calibri"/>
        </w:rPr>
        <w:t xml:space="preserve">2.1 Options (decision on O-04“Options for the Permitted Scope”)</w:t>
      </w:r>
    </w:p>
    <w:p>
      <w:pPr>
        <w:keepNext/>
        <w:keepLines/>
        <w:spacing w:after="80" w:before="80" w:line="320"/>
      </w:pPr>
      <w:r>
        <w:rPr>
          <w:rFonts w:ascii="Calibri" w:eastAsia="Yu Gothic" w:hAnsi="Calibri"/>
        </w:rPr>
        <w:t xml:space="preserve">Basic scope (choose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668"/>
        <w:gridCol w:w="7450"/>
      </w:tblGrid>
      <w:tr>
        <w:trPr>
          <w:cantSplit/>
          <w:tblHeader/>
        </w:trPr>
        <w:tc>
          <w:tcPr>
            <w:tcW w:type="dxa" w:w="5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ID</w:t>
            </w:r>
          </w:p>
        </w:tc>
        <w:tc>
          <w:tcPr>
            <w:tcW w:type="dxa" w:w="16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Name</w:t>
            </w:r>
          </w:p>
        </w:tc>
        <w:tc>
          <w:tcPr>
            <w:tcW w:type="dxa" w:w="745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P1</w:t>
            </w:r>
          </w:p>
        </w:tc>
        <w:tc>
          <w:tcPr>
            <w:tcW w:type="dxa" w:w="1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Viewing only</w:t>
            </w:r>
          </w:p>
        </w:tc>
        <w:tc>
          <w:tcPr>
            <w:tcW w:type="dxa" w:w="74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purchaser personally views the images as an individual. Copying is limited to saving on the purchaser's own devices</w:t>
            </w:r>
          </w:p>
        </w:tc>
      </w:tr>
      <w:tr>
        <w:trPr>
          <w:cantSplit/>
          <w:tblHeader w:val="off"/>
        </w:trPr>
        <w:tc>
          <w:tcPr>
            <w:tcW w:type="dxa" w:w="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P2</w:t>
            </w:r>
          </w:p>
        </w:tc>
        <w:tc>
          <w:tcPr>
            <w:tcW w:type="dxa" w:w="1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Viewing and private printing</w:t>
            </w:r>
          </w:p>
        </w:tc>
        <w:tc>
          <w:tcPr>
            <w:tcW w:type="dxa" w:w="74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 addition to P1, the purchaser personally prints the images for personal viewing</w:t>
            </w:r>
          </w:p>
        </w:tc>
      </w:tr>
    </w:tbl>
    <w:p>
      <w:pPr>
        <w:spacing w:after="100" w:before="0"/>
      </w:pPr>
    </w:p>
    <w:p>
      <w:pPr>
        <w:keepNext/>
        <w:keepLines/>
        <w:spacing w:after="80" w:before="80" w:line="320"/>
      </w:pPr>
      <w:r>
        <w:rPr>
          <w:rFonts w:ascii="Calibri" w:eastAsia="Yu Gothic" w:hAnsi="Calibri"/>
        </w:rPr>
        <w:t xml:space="preserve">Additional permissions (optional)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2158"/>
        <w:gridCol w:w="6960"/>
      </w:tblGrid>
      <w:tr>
        <w:trPr>
          <w:cantSplit/>
          <w:tblHeader/>
        </w:trPr>
        <w:tc>
          <w:tcPr>
            <w:tcW w:type="dxa" w:w="5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ID</w:t>
            </w:r>
          </w:p>
        </w:tc>
        <w:tc>
          <w:tcPr>
            <w:tcW w:type="dxa" w:w="215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Name</w:t>
            </w:r>
          </w:p>
        </w:tc>
        <w:tc>
          <w:tcPr>
            <w:tcW w:type="dxa" w:w="696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w:t>
            </w:r>
          </w:p>
        </w:tc>
        <w:tc>
          <w:tcPr>
            <w:tcW w:type="dxa" w:w="21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Introducing on social media</w:t>
            </w:r>
          </w:p>
        </w:tc>
        <w:tc>
          <w:tcPr>
            <w:tcW w:type="dxa" w:w="69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purchaser introduces a reduced image (1080 pixels or less on the long side; initial value) on their own social media, showing the Rights Holder's name and the identification number. Paid distribution and sale are not included</w:t>
            </w:r>
          </w:p>
        </w:tc>
      </w:tr>
      <w:tr>
        <w:trPr>
          <w:cantSplit/>
          <w:tblHeader w:val="off"/>
        </w:trPr>
        <w:tc>
          <w:tcPr>
            <w:tcW w:type="dxa" w:w="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A2</w:t>
            </w:r>
          </w:p>
        </w:tc>
        <w:tc>
          <w:tcPr>
            <w:tcW w:type="dxa" w:w="21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Personal editing</w:t>
            </w:r>
          </w:p>
        </w:tc>
        <w:tc>
          <w:tcPr>
            <w:tcW w:type="dxa" w:w="69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Editing (cropping, color adjustment, etc.) for the purchaser's personal enjoyment. Publishing edited images is not included (if A1 is chosen, they can be published within the scope of A1)</w:t>
            </w:r>
          </w:p>
        </w:tc>
      </w:tr>
      <w:tr>
        <w:trPr>
          <w:cantSplit/>
          <w:tblHeader w:val="off"/>
        </w:trPr>
        <w:tc>
          <w:tcPr>
            <w:tcW w:type="dxa" w:w="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A3</w:t>
            </w:r>
          </w:p>
        </w:tc>
        <w:tc>
          <w:tcPr>
            <w:tcW w:type="dxa" w:w="21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Permission for AI training and inference</w:t>
            </w:r>
          </w:p>
        </w:tc>
        <w:tc>
          <w:tcPr>
            <w:tcW w:type="dxa" w:w="69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Allows use for AI training, inference, and data mining (not allowed by default; reflected in the four items of cawg.training-mining; Chapter 3, 3.1 “Fields recorded”)</w:t>
            </w:r>
          </w:p>
        </w:tc>
      </w:tr>
    </w:tbl>
    <w:p>
      <w:pPr>
        <w:spacing w:after="100" w:before="0"/>
      </w:pPr>
    </w:p>
    <w:p>
      <w:pPr>
        <w:keepNext/>
        <w:keepLines/>
        <w:spacing w:after="80" w:before="80" w:line="320"/>
      </w:pPr>
      <w:r>
        <w:rPr>
          <w:rFonts w:ascii="Calibri" w:eastAsia="Yu Gothic" w:hAnsi="Calibri"/>
        </w:rPr>
        <w:t xml:space="preserve">Conditions always included</w:t>
      </w:r>
    </w:p>
    <w:p>
      <w:pPr>
        <w:pStyle w:val="ListParagraph"/>
        <w:keepNext/>
        <w:keepLines/>
        <w:numPr>
          <w:ilvl w:val="0"/>
          <w:numId w:val="2"/>
        </w:numPr>
        <w:spacing w:after="20" w:before="20" w:line="300"/>
      </w:pPr>
      <w:r>
        <w:rPr>
          <w:rFonts w:ascii="Calibri" w:eastAsia="Yu Gothic" w:hAnsi="Calibri"/>
        </w:rPr>
        <w:t xml:space="preserve">Commercial use (advertising, merchandising, paid distribution or sale) requires separate written permission from the Rights Holder.</w:t>
      </w:r>
    </w:p>
    <w:p>
      <w:pPr>
        <w:pStyle w:val="ListParagraph"/>
        <w:keepNext/>
        <w:keepLines/>
        <w:numPr>
          <w:ilvl w:val="0"/>
          <w:numId w:val="2"/>
        </w:numPr>
        <w:spacing w:after="20" w:before="20" w:line="300"/>
      </w:pPr>
      <w:r>
        <w:rPr>
          <w:rFonts w:ascii="Calibri" w:eastAsia="Yu Gothic" w:hAnsi="Calibri"/>
        </w:rPr>
        <w:t xml:space="preserve">Transfer, sharing, and reposting to others are not allowed (except within the scope of A1).</w:t>
      </w:r>
    </w:p>
    <w:p>
      <w:pPr>
        <w:pStyle w:val="ListParagraph"/>
        <w:keepNext/>
        <w:keepLines/>
        <w:numPr>
          <w:ilvl w:val="0"/>
          <w:numId w:val="2"/>
        </w:numPr>
        <w:spacing w:after="20" w:before="20" w:line="300"/>
      </w:pPr>
      <w:r>
        <w:rPr>
          <w:rFonts w:ascii="Calibri" w:eastAsia="Yu Gothic" w:hAnsi="Calibri"/>
        </w:rPr>
        <w:t xml:space="preserve">Rights (copyright and portrait rights) do not transfer by purchase.</w:t>
      </w:r>
    </w:p>
    <w:p>
      <w:pPr>
        <w:pStyle w:val="ListParagraph"/>
        <w:keepNext/>
        <w:keepLines/>
        <w:numPr>
          <w:ilvl w:val="0"/>
          <w:numId w:val="2"/>
        </w:numPr>
        <w:spacing w:after="20" w:before="20" w:line="300"/>
      </w:pPr>
      <w:r>
        <w:rPr>
          <w:rFonts w:ascii="Calibri" w:eastAsia="Yu Gothic" w:hAnsi="Calibri"/>
        </w:rPr>
        <w:t xml:space="preserve">The Matching Data (C2PA signature, invisible watermark, identification number) must not be removed.</w:t>
      </w:r>
    </w:p>
    <w:p>
      <w:pPr>
        <w:pStyle w:val="ListParagraph"/>
        <w:keepNext/>
        <w:keepLines/>
        <w:numPr>
          <w:ilvl w:val="0"/>
          <w:numId w:val="2"/>
        </w:numPr>
        <w:spacing w:after="20" w:before="20" w:line="300"/>
      </w:pPr>
      <w:r>
        <w:rPr>
          <w:rFonts w:ascii="Calibri" w:eastAsia="Yu Gothic" w:hAnsi="Calibri"/>
        </w:rPr>
        <w:t xml:space="preserve">The default Permitted Scope of social media images is “equivalent to P1: viewing only, no reposting” (Chapter 3, 8.2 “Differences between streams”).</w:t>
      </w:r>
    </w:p>
    <w:p>
      <w:pPr>
        <w:pStyle w:val="ListParagraph"/>
        <w:keepNext w:val="false"/>
        <w:keepLines/>
        <w:numPr>
          <w:ilvl w:val="0"/>
          <w:numId w:val="2"/>
        </w:numPr>
        <w:spacing w:after="20" w:before="20" w:line="300"/>
      </w:pPr>
      <w:r>
        <w:rPr>
          <w:rFonts w:ascii="Calibri" w:eastAsia="Yu Gothic" w:hAnsi="Calibri"/>
        </w:rPr>
        <w:t xml:space="preserve">Short notation (the Visible Signature placeholder </w:t>
      </w:r>
      <w:r>
        <w:rPr>
          <w:rFonts w:ascii="Consolas" w:eastAsia="Yu Gothic" w:hAnsi="Consolas"/>
        </w:rPr>
        <w:t xml:space="preserve">{license}</w:t>
      </w:r>
      <w:r>
        <w:rPr>
          <w:rFonts w:ascii="Calibri" w:eastAsia="Yu Gothic" w:hAnsi="Calibri"/>
        </w:rPr>
        <w:t xml:space="preserve">; Chapter 4, 3.1 “Content and placeholders”): the IDs of the basic scope and the additional permissions joined with </w:t>
      </w:r>
      <w:r>
        <w:rPr>
          <w:rFonts w:ascii="Consolas" w:eastAsia="Yu Gothic" w:hAnsi="Consolas"/>
        </w:rPr>
        <w:t xml:space="preserve">+</w:t>
      </w:r>
      <w:r>
        <w:rPr>
          <w:rFonts w:ascii="Calibri" w:eastAsia="Yu Gothic" w:hAnsi="Calibri"/>
        </w:rPr>
        <w:t xml:space="preserve"> (e.g., </w:t>
      </w:r>
      <w:r>
        <w:rPr>
          <w:rFonts w:ascii="Consolas" w:eastAsia="Yu Gothic" w:hAnsi="Consolas"/>
        </w:rPr>
        <w:t xml:space="preserve">P1</w:t>
      </w:r>
      <w:r>
        <w:rPr>
          <w:rFonts w:ascii="Calibri" w:eastAsia="Yu Gothic" w:hAnsi="Calibri"/>
        </w:rPr>
        <w:t xml:space="preserve">, </w:t>
      </w:r>
      <w:r>
        <w:rPr>
          <w:rFonts w:ascii="Consolas" w:eastAsia="Yu Gothic" w:hAnsi="Consolas"/>
        </w:rPr>
        <w:t xml:space="preserve">P2+A1+A2</w:t>
      </w:r>
      <w:r>
        <w:rPr>
          <w:rFonts w:ascii="Calibri" w:eastAsia="Yu Gothic" w:hAnsi="Calibri"/>
        </w:rPr>
        <w:t xml:space="preserve">; the same idea as the Creative Commons abbreviations (CC BY-NC)).</w:t>
      </w:r>
    </w:p>
    <w:p>
      <w:pPr>
        <w:pStyle w:val="Heading2"/>
      </w:pPr>
      <w:r>
        <w:rPr>
          <w:rFonts w:ascii="Calibri" w:eastAsia="Yu Gothic" w:hAnsi="Calibri"/>
        </w:rPr>
        <w:t xml:space="preserve">2.2 Explanation for non-technical people</w:t>
      </w:r>
    </w:p>
    <w:p>
      <w:pPr>
        <w:pStyle w:val="ListParagraph"/>
        <w:keepNext/>
        <w:keepLines/>
        <w:numPr>
          <w:ilvl w:val="0"/>
          <w:numId w:val="2"/>
        </w:numPr>
        <w:spacing w:after="20" w:before="20" w:line="300"/>
      </w:pPr>
      <w:r>
        <w:rPr>
          <w:rFonts w:ascii="Calibri" w:eastAsia="Yu Gothic" w:hAnsi="Calibri"/>
        </w:rPr>
        <w:t xml:space="preserve">Each option has a one-sentence explanation and illustrated examples of “what you can do / cannot do” (made into screens in Chapter 10 “Screens and Design”).</w:t>
      </w:r>
    </w:p>
    <w:p>
      <w:pPr>
        <w:pStyle w:val="ListParagraph"/>
        <w:keepNext w:val="false"/>
        <w:keepLines/>
        <w:numPr>
          <w:ilvl w:val="0"/>
          <w:numId w:val="2"/>
        </w:numPr>
        <w:spacing w:after="20" w:before="20" w:line="300"/>
      </w:pPr>
      <w:r>
        <w:rPr>
          <w:rFonts w:ascii="Calibri" w:eastAsia="Yu Gothic" w:hAnsi="Calibri"/>
        </w:rPr>
        <w:t xml:space="preserve">Criterion: in User trials, 80% or more of Users who read the explanation can correctly answer whether purchasers may post on social media under the chosen scope (Chapter 10 “Screens and Design”).</w:t>
      </w:r>
    </w:p>
    <w:p>
      <w:pPr>
        <w:pStyle w:val="Heading2"/>
      </w:pPr>
      <w:r>
        <w:rPr>
          <w:rFonts w:ascii="Calibri" w:eastAsia="Yu Gothic" w:hAnsi="Calibri"/>
        </w:rPr>
        <w:t xml:space="preserve">2.3 Linking to images</w:t>
      </w:r>
    </w:p>
    <w:p>
      <w:pPr>
        <w:pStyle w:val="ListParagraph"/>
        <w:keepNext/>
        <w:keepLines/>
        <w:numPr>
          <w:ilvl w:val="0"/>
          <w:numId w:val="2"/>
        </w:numPr>
        <w:spacing w:after="20" w:before="20" w:line="300"/>
      </w:pPr>
      <w:r>
        <w:rPr>
          <w:rFonts w:ascii="Calibri" w:eastAsia="Yu Gothic" w:hAnsi="Calibri"/>
        </w:rPr>
        <w:t xml:space="preserve">One Permitted Scope is chosen per sales output (delivery), and recorded in the work data (rights) and manifest (jp.nrsd.rights, the terms of use in cawg.metadata, cawg.training-mining) of all images in that folder (Chapter 3 “Signing”).</w:t>
      </w:r>
    </w:p>
    <w:p>
      <w:pPr>
        <w:pStyle w:val="ListParagraph"/>
        <w:keepNext/>
        <w:keepLines/>
        <w:numPr>
          <w:ilvl w:val="0"/>
          <w:numId w:val="2"/>
        </w:numPr>
        <w:spacing w:after="20" w:before="20" w:line="300"/>
      </w:pPr>
      <w:r>
        <w:rPr>
          <w:rFonts w:ascii="Calibri" w:eastAsia="Yu Gothic" w:hAnsi="Calibri"/>
        </w:rPr>
        <w:t xml:space="preserve">At Registration (Chapter 6 “Registration and Evidence Preservation”), the work data is looked up by the identification number read from the invisible watermark of the reposted image and compared with the chosen Permitted Scope to show “what it violates” (D-9-2“The Permitted Scope chosen at the time of sale is the criterion for judging what a repost infringes”).</w:t>
      </w:r>
    </w:p>
    <w:p>
      <w:pPr>
        <w:pStyle w:val="ListParagraph"/>
        <w:keepNext w:val="false"/>
        <w:keepLines/>
        <w:numPr>
          <w:ilvl w:val="0"/>
          <w:numId w:val="2"/>
        </w:numPr>
        <w:spacing w:after="20" w:before="20" w:line="300"/>
      </w:pPr>
      <w:r>
        <w:rPr>
          <w:rFonts w:ascii="Calibri" w:eastAsia="Yu Gothic" w:hAnsi="Calibri"/>
        </w:rPr>
        <w:t xml:space="preserve">Rules for the candidates (the candidates shown by Chapter 6, 4.2 “What is violated”): from the manner of the repost (paid distribution, being public; Chapter 6, 2.3) and the Permitted Scope, “publication outside the Permitted Scope (reposting)” and “commercial use (without separate permission)” are shown. “Removal of Matching Data” is shown only when the C2PA signature is absent on a route where C2PA remains (posting sites and Cloud confirmed to retain it in Chapter 3, 10.3 “Retention on posting sites and in the cloud”), or when the reposted image is the delivery output with only the C2PA signature removed (no format conversion or recompression; identical pixels). Most social media remove C2PA at posting, so the absence of a C2PA signature on social media is no clue of removal (Japanese law also excludes removal due to technical constraints; Legal Research L-1“Removal or alteration of rights management information (Japan)”).</w:t>
      </w:r>
    </w:p>
    <w:p>
      <w:pPr>
        <w:pStyle w:val="Heading2"/>
      </w:pPr>
      <w:r>
        <w:rPr>
          <w:rFonts w:ascii="Calibri" w:eastAsia="Yu Gothic" w:hAnsi="Calibri"/>
        </w:rPr>
        <w:t xml:space="preserve">2.4 Changes after sale</w:t>
      </w:r>
    </w:p>
    <w:p>
      <w:pPr>
        <w:pStyle w:val="ListParagraph"/>
        <w:keepNext/>
        <w:keepLines/>
        <w:numPr>
          <w:ilvl w:val="0"/>
          <w:numId w:val="2"/>
        </w:numPr>
        <w:spacing w:after="20" w:before="20" w:line="300"/>
      </w:pPr>
      <w:r>
        <w:rPr>
          <w:rFonts w:ascii="Calibri" w:eastAsia="Yu Gothic" w:hAnsi="Calibri"/>
        </w:rPr>
        <w:t xml:space="preserve">The Permitted Scope of images already distributed is not changed (the manifests and Enclosed Documents of the distributed images serve as evidence).</w:t>
      </w:r>
    </w:p>
    <w:p>
      <w:pPr>
        <w:pStyle w:val="ListParagraph"/>
        <w:keepNext/>
        <w:keepLines/>
        <w:numPr>
          <w:ilvl w:val="0"/>
          <w:numId w:val="2"/>
        </w:numPr>
        <w:spacing w:after="20" w:before="20" w:line="300"/>
      </w:pPr>
      <w:r>
        <w:rPr>
          <w:rFonts w:ascii="Calibri" w:eastAsia="Yu Gothic" w:hAnsi="Calibri"/>
        </w:rPr>
        <w:t xml:space="preserve">To broaden the scope, the Rights Holder gives the purchaser separate permission (outside the System). The System does not show sample text for such permission, because the conditions (consideration, scope, period) are decided per transaction and cannot be expressed as a model form (DD-5-1“The Permitted Scope is chosen as a basic scope plus additional permissions”).</w:t>
      </w:r>
    </w:p>
    <w:p>
      <w:pPr>
        <w:pStyle w:val="ListParagraph"/>
        <w:keepNext/>
        <w:keepLines/>
        <w:numPr>
          <w:ilvl w:val="0"/>
          <w:numId w:val="2"/>
        </w:numPr>
        <w:spacing w:after="20" w:before="20" w:line="300"/>
      </w:pPr>
      <w:r>
        <w:rPr>
          <w:rFonts w:ascii="Calibri" w:eastAsia="Yu Gothic" w:hAnsi="Calibri"/>
        </w:rPr>
        <w:t xml:space="preserve">The scope is not narrowed (that would unilaterally revoke permission the purchaser has already obtained).</w:t>
      </w:r>
    </w:p>
    <w:p>
      <w:pPr>
        <w:pStyle w:val="ListParagraph"/>
        <w:keepNext w:val="false"/>
        <w:keepLines/>
        <w:numPr>
          <w:ilvl w:val="0"/>
          <w:numId w:val="2"/>
        </w:numPr>
        <w:spacing w:after="20" w:before="20" w:line="300"/>
      </w:pPr>
      <w:r>
        <w:rPr>
          <w:rFonts w:ascii="Calibri" w:eastAsia="Yu Gothic" w:hAnsi="Calibri"/>
        </w:rPr>
        <w:t xml:space="preserve">When a version of the reference information is released with a “correction” mark (correction of a wrong contact point or wording; </w:t>
      </w:r>
      <w:r>
        <w:rPr>
          <w:rFonts w:ascii="Consolas" w:eastAsia="Yu Gothic" w:hAnsi="Consolas"/>
        </w:rPr>
        <w:t xml:space="preserve">corrections</w:t>
      </w:r>
      <w:r>
        <w:rPr>
          <w:rFonts w:ascii="Calibri" w:eastAsia="Yu Gothic" w:hAnsi="Calibri"/>
        </w:rPr>
        <w:t xml:space="preserve"> in the manifest of Chapter 8, 3.4: the corrected file, the first version containing the error, the reason), the app automatically lists the past works affected (exported with versions from the one containing the error up to the one before the correction, using that wording file) and generates a corrected Enclosed Document (</w:t>
      </w:r>
      <w:r>
        <w:rPr>
          <w:rFonts w:ascii="Consolas" w:eastAsia="Yu Gothic" w:hAnsi="Consolas"/>
        </w:rPr>
        <w:t xml:space="preserve">00_RIGHTS_ERRATA.txt</w:t>
      </w:r>
      <w:r>
        <w:rPr>
          <w:rFonts w:ascii="Calibri" w:eastAsia="Yu Gothic" w:hAnsi="Calibri"/>
        </w:rPr>
        <w:t xml:space="preserve">: the difference between the original document and the correction, and the hashes of the original and the corrected version) in the output folder. The User only has to place it again where the buyers get it. The Permitted Scope is not changed (NRSD's request, 2026-09-30). If the output folder no longer exists, the User chooses a location (the default is the parent of the original location), and the new location is appended to the output locations in the work data (Chapter 3, 7.2).</w:t>
      </w:r>
    </w:p>
    <w:p>
      <w:pPr>
        <w:pStyle w:val="Heading1"/>
      </w:pPr>
      <w:r>
        <w:rPr>
          <w:rFonts w:ascii="Calibri" w:eastAsia="Yu Gothic" w:hAnsi="Calibri"/>
        </w:rPr>
        <w:t xml:space="preserve">3. Enclosed Document</w:t>
      </w:r>
    </w:p>
    <w:p>
      <w:pPr>
        <w:pStyle w:val="Heading2"/>
      </w:pPr>
      <w:r>
        <w:rPr>
          <w:rFonts w:ascii="Calibri" w:eastAsia="Yu Gothic" w:hAnsi="Calibri"/>
        </w:rPr>
        <w:t xml:space="preserve">3.1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3"/>
        <w:gridCol w:w="3298"/>
        <w:gridCol w:w="3777"/>
      </w:tblGrid>
      <w:tr>
        <w:trPr>
          <w:cantSplit/>
          <w:tblHeader/>
        </w:trPr>
        <w:tc>
          <w:tcPr>
            <w:tcW w:type="dxa" w:w="25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File</w:t>
            </w:r>
          </w:p>
        </w:tc>
        <w:tc>
          <w:tcPr>
            <w:tcW w:type="dxa" w:w="329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c>
          <w:tcPr>
            <w:tcW w:type="dxa" w:w="377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Language</w:t>
            </w:r>
          </w:p>
        </w:tc>
      </w:tr>
      <w:tr>
        <w:trPr>
          <w:cantSplit/>
          <w:tblHeader w:val="off"/>
        </w:trPr>
        <w:tc>
          <w:tcPr>
            <w:tcW w:type="dxa" w:w="2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00_RIGHTS_README.txt</w:t>
            </w:r>
          </w:p>
        </w:tc>
        <w:tc>
          <w:tcPr>
            <w:tcW w:type="dxa" w:w="32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Common part (3.2)</w:t>
            </w:r>
          </w:p>
        </w:tc>
        <w:tc>
          <w:tcPr>
            <w:tcW w:type="dxa" w:w="37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Japanese, Chinese, and English side by side in one file</w:t>
            </w:r>
          </w:p>
        </w:tc>
      </w:tr>
      <w:tr>
        <w:trPr>
          <w:cantSplit/>
          <w:tblHeader w:val="off"/>
        </w:trPr>
        <w:tc>
          <w:tcPr>
            <w:tcW w:type="dxa" w:w="2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00_RIGHTS_&lt;country code&gt;.txt</w:t>
            </w:r>
          </w:p>
        </w:tc>
        <w:tc>
          <w:tcPr>
            <w:tcW w:type="dxa" w:w="32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Country part (3.3)</w:t>
            </w:r>
          </w:p>
        </w:tc>
        <w:tc>
          <w:tcPr>
            <w:tcW w:type="dxa" w:w="37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country's main language and English</w:t>
            </w:r>
          </w:p>
        </w:tc>
      </w:tr>
      <w:tr>
        <w:trPr>
          <w:cantSplit/>
          <w:tblHeader w:val="off"/>
        </w:trPr>
        <w:tc>
          <w:tcPr>
            <w:tcW w:type="dxa" w:w="25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00_RIGHTS.json</w:t>
            </w:r>
          </w:p>
        </w:tc>
        <w:tc>
          <w:tcPr>
            <w:tcW w:type="dxa" w:w="32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Machine-readable Permitted Scope (ODRL 2.2; 3.6)</w:t>
            </w:r>
          </w:p>
        </w:tc>
        <w:tc>
          <w:tcPr>
            <w:tcW w:type="dxa" w:w="37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 format is TXT (UTF-8, no BOM, CRLF line endings). It opens on any OS and can be read in cloud previews (the “TXT” of D-9-5“Information covering all countries is published as a link destination, and text versions are enclosed only for the nationalities common among purchasers”).</w:t>
      </w:r>
    </w:p>
    <w:p>
      <w:pPr>
        <w:pStyle w:val="ListParagraph"/>
        <w:keepNext/>
        <w:keepLines/>
        <w:numPr>
          <w:ilvl w:val="0"/>
          <w:numId w:val="2"/>
        </w:numPr>
        <w:spacing w:after="20" w:before="20" w:line="300"/>
      </w:pPr>
      <w:r>
        <w:rPr>
          <w:rFonts w:ascii="Calibri" w:eastAsia="Yu Gothic" w:hAnsi="Calibri"/>
        </w:rPr>
        <w:t xml:space="preserve">Placed at the top level of the folder, with names beginning </w:t>
      </w:r>
      <w:r>
        <w:rPr>
          <w:rFonts w:ascii="Consolas" w:eastAsia="Yu Gothic" w:hAnsi="Consolas"/>
        </w:rPr>
        <w:t xml:space="preserve">00_</w:t>
      </w:r>
      <w:r>
        <w:rPr>
          <w:rFonts w:ascii="Calibri" w:eastAsia="Yu Gothic" w:hAnsi="Calibri"/>
        </w:rPr>
        <w:t xml:space="preserve"> so they are listed before the images.</w:t>
      </w:r>
    </w:p>
    <w:p>
      <w:pPr>
        <w:pStyle w:val="ListParagraph"/>
        <w:keepNext w:val="false"/>
        <w:keepLines/>
        <w:numPr>
          <w:ilvl w:val="0"/>
          <w:numId w:val="2"/>
        </w:numPr>
        <w:spacing w:after="20" w:before="20" w:line="300"/>
      </w:pPr>
      <w:r>
        <w:rPr>
          <w:rFonts w:ascii="Calibri" w:eastAsia="Yu Gothic" w:hAnsi="Calibri"/>
        </w:rPr>
        <w:t xml:space="preserve">The three files play the same roles as the three layers of Creative Commons licenses (the legal text, the human-readable Deed, and the machine-readable ccREL): the country part is the legal text, </w:t>
      </w:r>
      <w:r>
        <w:rPr>
          <w:rFonts w:ascii="Consolas" w:eastAsia="Yu Gothic" w:hAnsi="Consolas"/>
        </w:rPr>
        <w:t xml:space="preserve">00_RIGHTS_README.txt</w:t>
      </w:r>
      <w:r>
        <w:rPr>
          <w:rFonts w:ascii="Calibri" w:eastAsia="Yu Gothic" w:hAnsi="Calibri"/>
        </w:rPr>
        <w:t xml:space="preserve"> the human-readable summary, and </w:t>
      </w:r>
      <w:r>
        <w:rPr>
          <w:rFonts w:ascii="Consolas" w:eastAsia="Yu Gothic" w:hAnsi="Consolas"/>
        </w:rPr>
        <w:t xml:space="preserve">00_RIGHTS.json</w:t>
      </w:r>
      <w:r>
        <w:rPr>
          <w:rFonts w:ascii="Calibri" w:eastAsia="Yu Gothic" w:hAnsi="Calibri"/>
        </w:rPr>
        <w:t xml:space="preserve"> (ODRL) the machine-readable form. The “Verify” page of the public page opens the ODRL into plain words in the same form as the CC Deed (three columns of “you can”, “conditions”, and “you cannot”, with marks) (Chapter 8, 3.3) (NRSD's request, 2026-10-01).</w:t>
      </w:r>
    </w:p>
    <w:p>
      <w:pPr>
        <w:pStyle w:val="Heading2"/>
      </w:pPr>
      <w:r>
        <w:rPr>
          <w:rFonts w:ascii="Calibri" w:eastAsia="Yu Gothic" w:hAnsi="Calibri"/>
        </w:rPr>
        <w:t xml:space="preserve">3.2 Outline of the common part</w:t>
      </w:r>
    </w:p>
    <w:p>
      <w:pPr>
        <w:pStyle w:val="ListParagraph"/>
        <w:keepNext/>
        <w:keepLines/>
        <w:numPr>
          <w:ilvl w:val="0"/>
          <w:numId w:val="2"/>
        </w:numPr>
        <w:spacing w:after="20" w:before="20" w:line="300"/>
      </w:pPr>
      <w:r>
        <w:rPr>
          <w:rFonts w:ascii="Calibri" w:eastAsia="Yu Gothic" w:hAnsi="Calibri"/>
        </w:rPr>
        <w:t xml:space="preserve">The five items of Design Plan 9.2 “Enclosed Documents” (① provisions on rights (including that rights do not transfer), ② the Permitted Scope, ③ the sentence about not giving or receiving without permission, ④ the means the Rights Holder takes if the Matching Data is removed and the images are used outside the scope, ⑤ which acts may give rise to which liabilities) correspond to the rows as follows.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85"/>
        <w:gridCol w:w="2829"/>
        <w:gridCol w:w="4863"/>
        <w:gridCol w:w="1061"/>
      </w:tblGrid>
      <w:tr>
        <w:trPr>
          <w:cantSplit/>
          <w:tblHeader/>
        </w:trPr>
        <w:tc>
          <w:tcPr>
            <w:tcW w:type="dxa" w:w="8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Order</w:t>
            </w:r>
          </w:p>
        </w:tc>
        <w:tc>
          <w:tcPr>
            <w:tcW w:type="dxa" w:w="282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w:t>
            </w:r>
          </w:p>
        </w:tc>
        <w:tc>
          <w:tcPr>
            <w:tcW w:type="dxa" w:w="48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Outline</w:t>
            </w:r>
          </w:p>
        </w:tc>
        <w:tc>
          <w:tcPr>
            <w:tcW w:type="dxa" w:w="106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 of Plan 9.2</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w:t>
            </w:r>
          </w:p>
        </w:tc>
        <w:tc>
          <w:tcPr>
            <w:tcW w:type="dxa" w:w="28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Rights Holder of these images</w:t>
            </w:r>
          </w:p>
        </w:tc>
        <w:tc>
          <w:tcPr>
            <w:tcW w:type="dxa" w:w="4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Handle name, Notice account</w:t>
            </w:r>
          </w:p>
        </w:tc>
        <w:tc>
          <w:tcPr>
            <w:tcW w:type="dxa" w:w="10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Added to ① (showing the Rights Holder)</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w:t>
            </w:r>
          </w:p>
        </w:tc>
        <w:tc>
          <w:tcPr>
            <w:tcW w:type="dxa" w:w="28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 giving or receiving to or from others without permission (DD-5-3“The sentence forbidding unauthorized passing-on is placed in the common part”)</w:t>
            </w:r>
          </w:p>
        </w:tc>
        <w:tc>
          <w:tcPr>
            <w:tcW w:type="dxa" w:w="4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 not give, share, or repost these images to others without the Rights Holder's permission”</w:t>
            </w:r>
          </w:p>
        </w:tc>
        <w:tc>
          <w:tcPr>
            <w:tcW w:type="dxa" w:w="10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③</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3</w:t>
            </w:r>
          </w:p>
        </w:tc>
        <w:tc>
          <w:tcPr>
            <w:tcW w:type="dxa" w:w="28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Rights do not transfer</w:t>
            </w:r>
          </w:p>
        </w:tc>
        <w:tc>
          <w:tcPr>
            <w:tcW w:type="dxa" w:w="4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Copyright and portrait rights do not pass to the purchaser by purchase</w:t>
            </w:r>
          </w:p>
        </w:tc>
        <w:tc>
          <w:tcPr>
            <w:tcW w:type="dxa" w:w="10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①</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4</w:t>
            </w:r>
          </w:p>
        </w:tc>
        <w:tc>
          <w:tcPr>
            <w:tcW w:type="dxa" w:w="28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Permitted Scope</w:t>
            </w:r>
          </w:p>
        </w:tc>
        <w:tc>
          <w:tcPr>
            <w:tcW w:type="dxa" w:w="4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Explanation of the chosen P and A</w:t>
            </w:r>
          </w:p>
        </w:tc>
        <w:tc>
          <w:tcPr>
            <w:tcW w:type="dxa" w:w="10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②</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w:t>
            </w:r>
          </w:p>
        </w:tc>
        <w:tc>
          <w:tcPr>
            <w:tcW w:type="dxa" w:w="28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About the Matching Data</w:t>
            </w:r>
          </w:p>
        </w:tc>
        <w:tc>
          <w:tcPr>
            <w:tcW w:type="dxa" w:w="4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images carry a C2PA signature, invisible watermark, and identification number (the list of numbers is in </w:t>
            </w:r>
            <w:r>
              <w:rPr>
                <w:rFonts w:ascii="Consolas" w:eastAsia="Yu Gothic" w:hAnsi="Consolas"/>
                <w:b w:val="false"/>
                <w:bCs w:val="false"/>
                <w:sz w:val="18"/>
                <w:szCs w:val="18"/>
              </w:rPr>
              <w:t xml:space="preserve">00_RIGHTS.json</w:t>
            </w:r>
            <w:r>
              <w:rPr>
                <w:rFonts w:ascii="Calibri" w:eastAsia="Yu Gothic" w:hAnsi="Calibri"/>
                <w:b w:val="false"/>
                <w:bCs w:val="false"/>
                <w:sz w:val="18"/>
                <w:szCs w:val="18"/>
              </w:rPr>
              <w:t xml:space="preserve">); intentionally removing them may violate the law in some countries (see the country part)</w:t>
            </w:r>
          </w:p>
        </w:tc>
        <w:tc>
          <w:tcPr>
            <w:tcW w:type="dxa" w:w="10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Premise of ④</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6</w:t>
            </w:r>
          </w:p>
        </w:tc>
        <w:tc>
          <w:tcPr>
            <w:tcW w:type="dxa" w:w="28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Means the Rights Holder may take if used outside the scope</w:t>
            </w:r>
          </w:p>
        </w:tc>
        <w:tc>
          <w:tcPr>
            <w:tcW w:type="dxa" w:w="4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Takedown requests, claims for damages, etc. (see the country part)</w:t>
            </w:r>
          </w:p>
        </w:tc>
        <w:tc>
          <w:tcPr>
            <w:tcW w:type="dxa" w:w="10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④</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7</w:t>
            </w:r>
          </w:p>
        </w:tc>
        <w:tc>
          <w:tcPr>
            <w:tcW w:type="dxa" w:w="28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What may give rise to what liability</w:t>
            </w:r>
          </w:p>
        </w:tc>
        <w:tc>
          <w:tcPr>
            <w:tcW w:type="dxa" w:w="4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See the country part. Complete coverage via the public page link</w:t>
            </w:r>
          </w:p>
        </w:tc>
        <w:tc>
          <w:tcPr>
            <w:tcW w:type="dxa" w:w="10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⑤</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8</w:t>
            </w:r>
          </w:p>
        </w:tc>
        <w:tc>
          <w:tcPr>
            <w:tcW w:type="dxa" w:w="28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Contact</w:t>
            </w:r>
          </w:p>
        </w:tc>
        <w:tc>
          <w:tcPr>
            <w:tcW w:type="dxa" w:w="4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Rights Holder's Notice account</w:t>
            </w:r>
          </w:p>
        </w:tc>
        <w:tc>
          <w:tcPr>
            <w:tcW w:type="dxa" w:w="10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Added</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9</w:t>
            </w:r>
          </w:p>
        </w:tc>
        <w:tc>
          <w:tcPr>
            <w:tcW w:type="dxa" w:w="28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Nature of the permission</w:t>
            </w:r>
          </w:p>
        </w:tc>
        <w:tc>
          <w:tcPr>
            <w:tcW w:type="dxa" w:w="4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permission is non-exclusive to the purchaser personally, cannot be transferred to others, and cannot be sublicensed. No period is set (as long as the images are held). No territory is limited</w:t>
            </w:r>
          </w:p>
        </w:tc>
        <w:tc>
          <w:tcPr>
            <w:tcW w:type="dxa" w:w="10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①</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10</w:t>
            </w:r>
          </w:p>
        </w:tc>
        <w:tc>
          <w:tcPr>
            <w:tcW w:type="dxa" w:w="28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used outside the scope</w:t>
            </w:r>
          </w:p>
        </w:tc>
        <w:tc>
          <w:tcPr>
            <w:tcW w:type="dxa" w:w="4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permission is limited to use within the scope, and use outside the scope is not permitted in the first place. The Rights Holder may revoke the permission</w:t>
            </w:r>
          </w:p>
        </w:tc>
        <w:tc>
          <w:tcPr>
            <w:tcW w:type="dxa" w:w="10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①</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 wording is a statement of facts, not strong contractual language (Design Plan 9.2 “Enclosed Documents”: consideration of the concern that images would stop selling).</w:t>
      </w:r>
    </w:p>
    <w:p>
      <w:pPr>
        <w:pStyle w:val="ListParagraph"/>
        <w:keepNext w:val="false"/>
        <w:keepLines/>
        <w:numPr>
          <w:ilvl w:val="0"/>
          <w:numId w:val="2"/>
        </w:numPr>
        <w:spacing w:after="20" w:before="20" w:line="300"/>
      </w:pPr>
      <w:r>
        <w:rPr>
          <w:rFonts w:ascii="Calibri" w:eastAsia="Yu Gothic" w:hAnsi="Calibri"/>
        </w:rPr>
        <w:t xml:space="preserve">The nature of the permission in 9 is aligned so as not to conflict with the nature of the license that sales venues' terms give members (Patreon's terms: a limited, non-exclusive, non-transferable, non-sublicensable, revocable license for private, non-commercial viewing; Legal Research L-17“Terms of sales platforms”). Where a broader permission than the sales venue's terms is given (A1, A2), it is stated as chosen by the Rights Holder.</w:t>
      </w:r>
    </w:p>
    <w:p>
      <w:pPr>
        <w:pStyle w:val="Heading2"/>
      </w:pPr>
      <w:r>
        <w:rPr>
          <w:rFonts w:ascii="Calibri" w:eastAsia="Yu Gothic" w:hAnsi="Calibri"/>
        </w:rPr>
        <w:t xml:space="preserve">3.3 Outline of the country 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7609"/>
      </w:tblGrid>
      <w:tr>
        <w:trPr>
          <w:cantSplit/>
          <w:tblHeader/>
        </w:trPr>
        <w:tc>
          <w:tcPr>
            <w:tcW w:type="dxa" w:w="202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w:t>
            </w:r>
          </w:p>
        </w:tc>
        <w:tc>
          <w:tcPr>
            <w:tcW w:type="dxa" w:w="760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Example for Japan (legal sources)</w:t>
            </w:r>
          </w:p>
        </w:tc>
      </w:tr>
      <w:tr>
        <w:trPr>
          <w:cantSplit/>
          <w:tblHeader w:val="off"/>
        </w:trPr>
        <w:tc>
          <w:tcPr>
            <w:tcW w:type="dxa" w:w="20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Removal of rights management information</w:t>
            </w:r>
          </w:p>
        </w:tc>
        <w:tc>
          <w:tcPr>
            <w:tcW w:type="dxa" w:w="7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Copyright Act Article 113(8) (deemed infringement; removal due to technical constraints accompanying format conversion is excluded), Article 120-2(5) (penalty for commercial purposes; prosecution on complaint) (L-1“Removal or alteration of rights management information (Japan)”)</w:t>
            </w:r>
          </w:p>
        </w:tc>
      </w:tr>
      <w:tr>
        <w:trPr>
          <w:cantSplit/>
          <w:tblHeader w:val="off"/>
        </w:trPr>
        <w:tc>
          <w:tcPr>
            <w:tcW w:type="dxa" w:w="20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Publication without permission</w:t>
            </w:r>
          </w:p>
        </w:tc>
        <w:tc>
          <w:tcPr>
            <w:tcW w:type="dxa" w:w="7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Infringement of the right of public transmission (Copyright Act Article 23) and the right of reproduction (Article 21), and remedies (injunction, damages, criminal penalties) (L-32“Copyright infringement and remedies (Japan, China, US)”), the period for claiming damages (L-20“Limitation periods for damages claims (Japan, China, US)”)</w:t>
            </w:r>
          </w:p>
        </w:tc>
      </w:tr>
      <w:tr>
        <w:trPr>
          <w:cantSplit/>
          <w:tblHeader w:val="off"/>
        </w:trPr>
        <w:tc>
          <w:tcPr>
            <w:tcW w:type="dxa" w:w="20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Portraits</w:t>
            </w:r>
          </w:p>
        </w:tc>
        <w:tc>
          <w:tcPr>
            <w:tcW w:type="dxa" w:w="7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Portrait rights (the personal interest in not being photographed or published without good reason; the standard of the limit of tolerance in social life), and publicity rights (L-5“Portrait rights and publicity rights (Japan)”)</w:t>
            </w:r>
          </w:p>
        </w:tc>
      </w:tr>
      <w:tr>
        <w:trPr>
          <w:cantSplit/>
          <w:tblHeader w:val="off"/>
        </w:trPr>
        <w:tc>
          <w:tcPr>
            <w:tcW w:type="dxa" w:w="20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Takedown requests</w:t>
            </w:r>
          </w:p>
        </w:tc>
        <w:tc>
          <w:tcPr>
            <w:tcW w:type="dxa" w:w="760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Information Distribution Platform Act (L-7“Takedown request procedures (Japan)”)</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China (L-2“Removal or alteration of rights management information (China)”, L-6“Portrait rights (China)”, L-8“Takedown request procedures (China)”) and the United States (L-3“Removal or alteration of rights management information (US)”, L-9“Takedown request procedures (US)”) are made with the same outline. Other countries are shown with the “link to complete coverage”.</w:t>
      </w:r>
    </w:p>
    <w:p>
      <w:pPr>
        <w:pStyle w:val="ListParagraph"/>
        <w:keepNext w:val="false"/>
        <w:keepLines/>
        <w:numPr>
          <w:ilvl w:val="0"/>
          <w:numId w:val="2"/>
        </w:numPr>
        <w:spacing w:after="20" w:before="20" w:line="300"/>
      </w:pPr>
      <w:r>
        <w:rPr>
          <w:rFonts w:ascii="Calibri" w:eastAsia="Yu Gothic" w:hAnsi="Calibri"/>
        </w:rPr>
        <w:t xml:space="preserve">Each item of the country part carries the sources of the legal documents (the original source URLs of the L numbers).</w:t>
      </w:r>
    </w:p>
    <w:p>
      <w:pPr>
        <w:pStyle w:val="Heading2"/>
      </w:pPr>
      <w:r>
        <w:rPr>
          <w:rFonts w:ascii="Calibri" w:eastAsia="Yu Gothic" w:hAnsi="Calibri"/>
        </w:rPr>
        <w:t xml:space="preserve">3.4 Detecting rewriting</w:t>
      </w:r>
    </w:p>
    <w:p>
      <w:pPr>
        <w:pStyle w:val="ListParagraph"/>
        <w:keepNext/>
        <w:keepLines/>
        <w:numPr>
          <w:ilvl w:val="0"/>
          <w:numId w:val="2"/>
        </w:numPr>
        <w:spacing w:after="20" w:before="20" w:line="300"/>
      </w:pPr>
      <w:r>
        <w:rPr>
          <w:rFonts w:ascii="Calibri" w:eastAsia="Yu Gothic" w:hAnsi="Calibri"/>
        </w:rPr>
        <w:t xml:space="preserve">DD-5-4“The SHA-256 of the Enclosed Documents is recorded in the manifest”. When images and the Enclosed Document folder are put into the app's “Verify” screen (Chapter 10, G-13“Verify”) (when only a folder is put in, the images inside it are used, and if there is not a single image, “No images” is shown), the SHA-256 of each file is compared with the list in the manifest, and matches, mismatches, files not in the list, and missing files are shown. Checking the images themselves follows Chapter 3, 10.2 “Checking by the User”.</w:t>
      </w:r>
    </w:p>
    <w:p>
      <w:pPr>
        <w:pStyle w:val="ListParagraph"/>
        <w:keepNext/>
        <w:keepLines/>
        <w:numPr>
          <w:ilvl w:val="0"/>
          <w:numId w:val="2"/>
        </w:numPr>
        <w:spacing w:after="20" w:before="20" w:line="300"/>
      </w:pPr>
      <w:r>
        <w:rPr>
          <w:rFonts w:ascii="Calibri" w:eastAsia="Yu Gothic" w:hAnsi="Calibri"/>
        </w:rPr>
        <w:t xml:space="preserve">The “Verify” page of the public page (Chapter 8, 3.3) can do the same comparison (match, mismatch, missing, extra) when images and the Enclosed Document folder are dropped onto it. It runs only within the browser and sends nothing anywhere. Purchasers and experts can check without the app (NRSD's request, 2026-10-01).</w:t>
      </w:r>
    </w:p>
    <w:p>
      <w:pPr>
        <w:pStyle w:val="ListParagraph"/>
        <w:keepNext w:val="false"/>
        <w:keepLines/>
        <w:numPr>
          <w:ilvl w:val="0"/>
          <w:numId w:val="2"/>
        </w:numPr>
        <w:spacing w:after="20" w:before="20" w:line="300"/>
      </w:pPr>
      <w:r>
        <w:rPr>
          <w:rFonts w:ascii="Calibri" w:eastAsia="Yu Gothic" w:hAnsi="Calibri"/>
        </w:rPr>
        <w:t xml:space="preserve">Distinguishing a corrected version (2.4): at the head of </w:t>
      </w:r>
      <w:r>
        <w:rPr>
          <w:rFonts w:ascii="Consolas" w:eastAsia="Yu Gothic" w:hAnsi="Consolas"/>
        </w:rPr>
        <w:t xml:space="preserve">00_RIGHTS_ERRATA.txt</w:t>
      </w:r>
      <w:r>
        <w:rPr>
          <w:rFonts w:ascii="Calibri" w:eastAsia="Yu Gothic" w:hAnsi="Calibri"/>
        </w:rPr>
        <w:t xml:space="preserve">, the SHA-256 of each original file being corrected and the SHA-256 of the corrected version are written, and a record signature (JWS detached, </w:t>
      </w:r>
      <w:r>
        <w:rPr>
          <w:rFonts w:ascii="Consolas" w:eastAsia="Yu Gothic" w:hAnsi="Consolas"/>
        </w:rPr>
        <w:t xml:space="preserve">x5c</w:t>
      </w:r>
      <w:r>
        <w:rPr>
          <w:rFonts w:ascii="Calibri" w:eastAsia="Yu Gothic" w:hAnsi="Calibri"/>
        </w:rPr>
        <w:t xml:space="preserve">; Chapter 1, 8.3) is attached as </w:t>
      </w:r>
      <w:r>
        <w:rPr>
          <w:rFonts w:ascii="Consolas" w:eastAsia="Yu Gothic" w:hAnsi="Consolas"/>
        </w:rPr>
        <w:t xml:space="preserve">00_RIGHTS_ERRATA.txt.sig</w:t>
      </w:r>
      <w:r>
        <w:rPr>
          <w:rFonts w:ascii="Calibri" w:eastAsia="Yu Gothic" w:hAnsi="Calibri"/>
        </w:rPr>
        <w:t xml:space="preserve">. For </w:t>
      </w:r>
      <w:r>
        <w:rPr>
          <w:rFonts w:ascii="Consolas" w:eastAsia="Yu Gothic" w:hAnsi="Consolas"/>
        </w:rPr>
        <w:t xml:space="preserve">00_RIGHTS_ERRATA*</w:t>
      </w:r>
      <w:r>
        <w:rPr>
          <w:rFonts w:ascii="Calibri" w:eastAsia="Yu Gothic" w:hAnsi="Calibri"/>
        </w:rPr>
        <w:t xml:space="preserve"> files not in the manifest's list, the check in G-13 and on the public page shows “legitimate corrected version” if the personal root of the signature chain matches the root in the image's </w:t>
      </w:r>
      <w:r>
        <w:rPr>
          <w:rFonts w:ascii="Consolas" w:eastAsia="Yu Gothic" w:hAnsi="Consolas"/>
        </w:rPr>
        <w:t xml:space="preserve">x5chain</w:t>
      </w:r>
      <w:r>
        <w:rPr>
          <w:rFonts w:ascii="Calibri" w:eastAsia="Yu Gothic" w:hAnsi="Calibri"/>
        </w:rPr>
        <w:t xml:space="preserve"> and the original hashes written match the list (supplemented by the issuer's later signed statement; the same idea as a CRL).</w:t>
      </w:r>
    </w:p>
    <w:p>
      <w:pPr>
        <w:pStyle w:val="Heading2"/>
      </w:pPr>
      <w:r>
        <w:rPr>
          <w:rFonts w:ascii="Calibri" w:eastAsia="Yu Gothic" w:hAnsi="Calibri"/>
        </w:rPr>
        <w:t xml:space="preserve">3.5 Legal position (handled in legal)</w:t>
      </w:r>
    </w:p>
    <w:p>
      <w:pPr>
        <w:pStyle w:val="ListParagraph"/>
        <w:keepNext w:val="false"/>
        <w:keepLines/>
        <w:numPr>
          <w:ilvl w:val="0"/>
          <w:numId w:val="2"/>
        </w:numPr>
        <w:spacing w:after="20" w:before="20" w:line="300"/>
      </w:pPr>
      <w:r>
        <w:rPr>
          <w:rFonts w:ascii="Calibri" w:eastAsia="Yu Gothic" w:hAnsi="Calibri"/>
        </w:rPr>
        <w:t xml:space="preserve">The Enclosed Document shows the content of the “creator's permission” under the terms of sales venues such as Patreon (Legal L-17“Terms of sales platforms”). Whether it is formed as an independent contract differs by country and requires confirmation by experts (I-08“Wording of Rights Documents”). The System treats the Enclosed Document as “a statement of facts and of the scope of permission”, and does not guarantee the formation of a contract.</w:t>
      </w:r>
    </w:p>
    <w:p>
      <w:pPr>
        <w:pStyle w:val="Heading2"/>
      </w:pPr>
      <w:r>
        <w:rPr>
          <w:rFonts w:ascii="Calibri" w:eastAsia="Yu Gothic" w:hAnsi="Calibri"/>
        </w:rPr>
        <w:t xml:space="preserve">3.6 Machine-readable Permitted Scope (ODRL)</w:t>
      </w:r>
    </w:p>
    <w:p>
      <w:pPr>
        <w:pStyle w:val="ListParagraph"/>
        <w:keepNext/>
        <w:keepLines/>
        <w:numPr>
          <w:ilvl w:val="0"/>
          <w:numId w:val="2"/>
        </w:numPr>
        <w:spacing w:after="20" w:before="20" w:line="300"/>
      </w:pPr>
      <w:r>
        <w:rPr>
          <w:rFonts w:ascii="Calibri" w:eastAsia="Yu Gothic" w:hAnsi="Calibri"/>
        </w:rPr>
        <w:t xml:space="preserve">Format: ODRL 2.2 JSON-LD (context </w:t>
      </w:r>
      <w:r>
        <w:rPr>
          <w:rFonts w:ascii="Consolas" w:eastAsia="Yu Gothic" w:hAnsi="Consolas"/>
        </w:rPr>
        <w:t xml:space="preserve">http://www.w3.org/ns/odrl.jsonld</w:t>
      </w:r>
      <w:r>
        <w:rPr>
          <w:rFonts w:ascii="Calibri" w:eastAsia="Yu Gothic" w:hAnsi="Calibri"/>
        </w:rPr>
        <w:t xml:space="preserve">). The policy type is Offer (conditions offered by the Rights Holder; the purchaser is not specified).</w:t>
      </w:r>
    </w:p>
    <w:p>
      <w:pPr>
        <w:pStyle w:val="ListParagraph"/>
        <w:keepNext/>
        <w:keepLines/>
        <w:numPr>
          <w:ilvl w:val="0"/>
          <w:numId w:val="2"/>
        </w:numPr>
        <w:spacing w:after="20" w:before="20" w:line="300"/>
      </w:pPr>
      <w:r>
        <w:rPr>
          <w:rFonts w:ascii="Calibri" w:eastAsia="Yu Gothic" w:hAnsi="Calibri"/>
        </w:rPr>
        <w:t xml:space="preserve">Mapping: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5"/>
        <w:gridCol w:w="7393"/>
      </w:tblGrid>
      <w:tr>
        <w:trPr>
          <w:cantSplit/>
          <w:tblHeader/>
        </w:trPr>
        <w:tc>
          <w:tcPr>
            <w:tcW w:type="dxa" w:w="22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Permitted Scope</w:t>
            </w:r>
          </w:p>
        </w:tc>
        <w:tc>
          <w:tcPr>
            <w:tcW w:type="dxa" w:w="739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Expression in ODRL</w:t>
            </w:r>
          </w:p>
        </w:tc>
      </w:tr>
      <w:tr>
        <w:trPr>
          <w:cantSplit/>
          <w:tblHeader w:val="off"/>
        </w:trPr>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P1 Viewing only</w:t>
            </w:r>
          </w:p>
        </w:tc>
        <w:tc>
          <w:tcPr>
            <w:tcW w:type="dxa" w:w="73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Permission: </w:t>
            </w:r>
            <w:r>
              <w:rPr>
                <w:rFonts w:ascii="Consolas" w:eastAsia="Yu Gothic" w:hAnsi="Consolas"/>
                <w:b w:val="false"/>
                <w:bCs w:val="false"/>
                <w:sz w:val="18"/>
                <w:szCs w:val="18"/>
              </w:rPr>
              <w:t xml:space="preserve">display</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reproduce</w:t>
            </w:r>
            <w:r>
              <w:rPr>
                <w:rFonts w:ascii="Calibri" w:eastAsia="Yu Gothic" w:hAnsi="Calibri"/>
                <w:b w:val="false"/>
                <w:bCs w:val="false"/>
                <w:sz w:val="18"/>
                <w:szCs w:val="18"/>
              </w:rPr>
              <w:t xml:space="preserve"> (constraint: limited to saving on the purchaser's own devices)</w:t>
            </w:r>
          </w:p>
        </w:tc>
      </w:tr>
      <w:tr>
        <w:trPr>
          <w:cantSplit/>
          <w:tblHeader w:val="off"/>
        </w:trPr>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P2 Viewing and private printing</w:t>
            </w:r>
          </w:p>
        </w:tc>
        <w:tc>
          <w:tcPr>
            <w:tcW w:type="dxa" w:w="73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 addition to P1, permission: </w:t>
            </w:r>
            <w:r>
              <w:rPr>
                <w:rFonts w:ascii="Consolas" w:eastAsia="Yu Gothic" w:hAnsi="Consolas"/>
                <w:b w:val="false"/>
                <w:bCs w:val="false"/>
                <w:sz w:val="18"/>
                <w:szCs w:val="18"/>
              </w:rPr>
              <w:t xml:space="preserve">print</w:t>
            </w:r>
            <w:r>
              <w:rPr>
                <w:rFonts w:ascii="Calibri" w:eastAsia="Yu Gothic" w:hAnsi="Calibri"/>
                <w:b w:val="false"/>
                <w:bCs w:val="false"/>
                <w:sz w:val="18"/>
                <w:szCs w:val="18"/>
              </w:rPr>
              <w:t xml:space="preserve"> (constraint: private use)</w:t>
            </w:r>
          </w:p>
        </w:tc>
      </w:tr>
      <w:tr>
        <w:trPr>
          <w:cantSplit/>
          <w:tblHeader w:val="off"/>
        </w:trPr>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 Introducing on social media</w:t>
            </w:r>
          </w:p>
        </w:tc>
        <w:tc>
          <w:tcPr>
            <w:tcW w:type="dxa" w:w="73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Permission: </w:t>
            </w:r>
            <w:r>
              <w:rPr>
                <w:rFonts w:ascii="Consolas" w:eastAsia="Yu Gothic" w:hAnsi="Consolas"/>
                <w:b w:val="false"/>
                <w:bCs w:val="false"/>
                <w:sz w:val="18"/>
                <w:szCs w:val="18"/>
              </w:rPr>
              <w:t xml:space="preserve">distribute</w:t>
            </w:r>
            <w:r>
              <w:rPr>
                <w:rFonts w:ascii="Calibri" w:eastAsia="Yu Gothic" w:hAnsi="Calibri"/>
                <w:b w:val="false"/>
                <w:bCs w:val="false"/>
                <w:sz w:val="18"/>
                <w:szCs w:val="18"/>
              </w:rPr>
              <w:t xml:space="preserve"> (constraints: 1080 pixels or less on the long side, not paid). Duty: </w:t>
            </w:r>
            <w:r>
              <w:rPr>
                <w:rFonts w:ascii="Consolas" w:eastAsia="Yu Gothic" w:hAnsi="Consolas"/>
                <w:b w:val="false"/>
                <w:bCs w:val="false"/>
                <w:sz w:val="18"/>
                <w:szCs w:val="18"/>
              </w:rPr>
              <w:t xml:space="preserve">attribute</w:t>
            </w:r>
            <w:r>
              <w:rPr>
                <w:rFonts w:ascii="Calibri" w:eastAsia="Yu Gothic" w:hAnsi="Calibri"/>
                <w:b w:val="false"/>
                <w:bCs w:val="false"/>
                <w:sz w:val="18"/>
                <w:szCs w:val="18"/>
              </w:rPr>
              <w:t xml:space="preserve"> (show the Rights Holder's name and identification number)</w:t>
            </w:r>
          </w:p>
        </w:tc>
      </w:tr>
      <w:tr>
        <w:trPr>
          <w:cantSplit/>
          <w:tblHeader w:val="off"/>
        </w:trPr>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A2 Personal editing</w:t>
            </w:r>
          </w:p>
        </w:tc>
        <w:tc>
          <w:tcPr>
            <w:tcW w:type="dxa" w:w="73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Permission: </w:t>
            </w:r>
            <w:r>
              <w:rPr>
                <w:rFonts w:ascii="Consolas" w:eastAsia="Yu Gothic" w:hAnsi="Consolas"/>
                <w:b w:val="false"/>
                <w:bCs w:val="false"/>
                <w:sz w:val="18"/>
                <w:szCs w:val="18"/>
              </w:rPr>
              <w:t xml:space="preserve">modify</w:t>
            </w:r>
            <w:r>
              <w:rPr>
                <w:rFonts w:ascii="Calibri" w:eastAsia="Yu Gothic" w:hAnsi="Calibri"/>
                <w:b w:val="false"/>
                <w:bCs w:val="false"/>
                <w:sz w:val="18"/>
                <w:szCs w:val="18"/>
              </w:rPr>
              <w:t xml:space="preserve"> (constraint: private use)</w:t>
            </w:r>
          </w:p>
        </w:tc>
      </w:tr>
      <w:tr>
        <w:trPr>
          <w:cantSplit/>
          <w:tblHeader w:val="off"/>
        </w:trPr>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A3 Permission for AI training and inference</w:t>
            </w:r>
          </w:p>
        </w:tc>
        <w:tc>
          <w:tcPr>
            <w:tcW w:type="dxa" w:w="73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Permission: the System's extension actions </w:t>
            </w:r>
            <w:r>
              <w:rPr>
                <w:rFonts w:ascii="Consolas" w:eastAsia="Yu Gothic" w:hAnsi="Consolas"/>
                <w:b w:val="false"/>
                <w:bCs w:val="false"/>
                <w:sz w:val="18"/>
                <w:szCs w:val="18"/>
              </w:rPr>
              <w:t xml:space="preserve">nrsd:aiTraining</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nrsd:aiInference</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nrsd:dataMining</w:t>
            </w:r>
          </w:p>
        </w:tc>
      </w:tr>
      <w:tr>
        <w:trPr>
          <w:cantSplit/>
          <w:tblHeader w:val="off"/>
        </w:trPr>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Conditions always included</w:t>
            </w:r>
          </w:p>
        </w:tc>
        <w:tc>
          <w:tcPr>
            <w:tcW w:type="dxa" w:w="73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Prohibition: the System's extension action </w:t>
            </w:r>
            <w:r>
              <w:rPr>
                <w:rFonts w:ascii="Consolas" w:eastAsia="Yu Gothic" w:hAnsi="Consolas"/>
                <w:b w:val="false"/>
                <w:bCs w:val="false"/>
                <w:sz w:val="18"/>
                <w:szCs w:val="18"/>
              </w:rPr>
              <w:t xml:space="preserve">nrsd:commercialUse</w:t>
            </w:r>
            <w:r>
              <w:rPr>
                <w:rFonts w:ascii="Calibri" w:eastAsia="Yu Gothic" w:hAnsi="Calibri"/>
                <w:b w:val="false"/>
                <w:bCs w:val="false"/>
                <w:sz w:val="18"/>
                <w:szCs w:val="18"/>
              </w:rPr>
              <w:t xml:space="preserve"> (commercial), </w:t>
            </w:r>
            <w:r>
              <w:rPr>
                <w:rFonts w:ascii="Consolas" w:eastAsia="Yu Gothic" w:hAnsi="Consolas"/>
                <w:b w:val="false"/>
                <w:bCs w:val="false"/>
                <w:sz w:val="18"/>
                <w:szCs w:val="18"/>
              </w:rPr>
              <w:t xml:space="preserve">distribute</w:t>
            </w:r>
            <w:r>
              <w:rPr>
                <w:rFonts w:ascii="Calibri" w:eastAsia="Yu Gothic" w:hAnsi="Calibri"/>
                <w:b w:val="false"/>
                <w:bCs w:val="false"/>
                <w:sz w:val="18"/>
                <w:szCs w:val="18"/>
              </w:rPr>
              <w:t xml:space="preserve"> (except within A1), removal of Matching Data (</w:t>
            </w:r>
            <w:r>
              <w:rPr>
                <w:rFonts w:ascii="Consolas" w:eastAsia="Yu Gothic" w:hAnsi="Consolas"/>
                <w:b w:val="false"/>
                <w:bCs w:val="false"/>
                <w:sz w:val="18"/>
                <w:szCs w:val="18"/>
              </w:rPr>
              <w:t xml:space="preserve">nrsd:removeProvenance</w:t>
            </w:r>
            <w:r>
              <w:rPr>
                <w:rFonts w:ascii="Calibri" w:eastAsia="Yu Gothic" w:hAnsi="Calibri"/>
                <w:b w:val="false"/>
                <w:bCs w:val="false"/>
                <w:sz w:val="18"/>
                <w:szCs w:val="18"/>
              </w:rPr>
              <w:t xml:space="preserve">). Unless A3 is chosen, the three AI actions are prohibited</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 namespace of the System's extension actions is </w:t>
      </w:r>
      <w:r>
        <w:rPr>
          <w:rFonts w:ascii="Consolas" w:eastAsia="Yu Gothic" w:hAnsi="Consolas"/>
        </w:rPr>
        <w:t xml:space="preserve">https://c2pa4cosplayer.nrsd.jp/ns/odrl/</w:t>
      </w:r>
      <w:r>
        <w:rPr>
          <w:rFonts w:ascii="Calibri" w:eastAsia="Yu Gothic" w:hAnsi="Calibri"/>
        </w:rPr>
        <w:t xml:space="preserve"> (prefix </w:t>
      </w:r>
      <w:r>
        <w:rPr>
          <w:rFonts w:ascii="Consolas" w:eastAsia="Yu Gothic" w:hAnsi="Consolas"/>
        </w:rPr>
        <w:t xml:space="preserve">nrsd:</w:t>
      </w:r>
      <w:r>
        <w:rPr>
          <w:rFonts w:ascii="Calibri" w:eastAsia="Yu Gothic" w:hAnsi="Calibri"/>
        </w:rPr>
        <w:t xml:space="preserve">), and the definitions of the actions are placed on the public page. Identifiers are written as HTTPS URIs, not as unregistered </w:t>
      </w:r>
      <w:r>
        <w:rPr>
          <w:rFonts w:ascii="Consolas" w:eastAsia="Yu Gothic" w:hAnsi="Consolas"/>
        </w:rPr>
        <w:t xml:space="preserve">urn:nrsd:</w:t>
      </w:r>
      <w:r>
        <w:rPr>
          <w:rFonts w:ascii="Calibri" w:eastAsia="Yu Gothic" w:hAnsi="Calibri"/>
        </w:rPr>
        <w:t xml:space="preserve"> (the practice of the W3C's “Cool URIs” and ODRL's examples): a policy is </w:t>
      </w:r>
      <w:r>
        <w:rPr>
          <w:rFonts w:ascii="Consolas" w:eastAsia="Yu Gothic" w:hAnsi="Consolas"/>
        </w:rPr>
        <w:t xml:space="preserve">https://c2pa4cosplayer.nrsd.jp/id/policy/&lt;batch number&gt;</w:t>
      </w:r>
      <w:r>
        <w:rPr>
          <w:rFonts w:ascii="Calibri" w:eastAsia="Yu Gothic" w:hAnsi="Calibri"/>
        </w:rPr>
        <w:t xml:space="preserve">, a Rights Holder </w:t>
      </w:r>
      <w:r>
        <w:rPr>
          <w:rFonts w:ascii="Consolas" w:eastAsia="Yu Gothic" w:hAnsi="Consolas"/>
        </w:rPr>
        <w:t xml:space="preserve">.../id/notice/&lt;notice code&gt;</w:t>
      </w:r>
      <w:r>
        <w:rPr>
          <w:rFonts w:ascii="Calibri" w:eastAsia="Yu Gothic" w:hAnsi="Calibri"/>
        </w:rPr>
        <w:t xml:space="preserve">, and a target </w:t>
      </w:r>
      <w:r>
        <w:rPr>
          <w:rFonts w:ascii="Consolas" w:eastAsia="Yu Gothic" w:hAnsi="Consolas"/>
        </w:rPr>
        <w:t xml:space="preserve">.../id/work/&lt;identification number&gt;</w:t>
      </w:r>
      <w:r>
        <w:rPr>
          <w:rFonts w:ascii="Calibri" w:eastAsia="Yu Gothic" w:hAnsi="Calibri"/>
        </w:rPr>
        <w:t xml:space="preserve">.</w:t>
      </w:r>
    </w:p>
    <w:p>
      <w:pPr>
        <w:pStyle w:val="ListParagraph"/>
        <w:keepNext/>
        <w:keepLines/>
        <w:numPr>
          <w:ilvl w:val="0"/>
          <w:numId w:val="2"/>
        </w:numPr>
        <w:spacing w:after="20" w:before="20" w:line="300"/>
      </w:pPr>
      <w:r>
        <w:rPr>
          <w:rFonts w:ascii="Calibri" w:eastAsia="Yu Gothic" w:hAnsi="Calibri"/>
        </w:rPr>
        <w:t xml:space="preserve">The target (Asset) is the list of identification numbers, and the assigner is one person, the signer (Rights Holder), with handle name and notice code. The principal Rights Holder of an authorized person's output and the joint rights holder of an output with a joint-rights document are expressed with the System's extension fields </w:t>
      </w:r>
      <w:r>
        <w:rPr>
          <w:rFonts w:ascii="Consolas" w:eastAsia="Yu Gothic" w:hAnsi="Consolas"/>
        </w:rPr>
        <w:t xml:space="preserve">nrsd:grantor</w:t>
      </w:r>
      <w:r>
        <w:rPr>
          <w:rFonts w:ascii="Calibri" w:eastAsia="Yu Gothic" w:hAnsi="Calibri"/>
        </w:rPr>
        <w:t xml:space="preserve"> and </w:t>
      </w:r>
      <w:r>
        <w:rPr>
          <w:rFonts w:ascii="Consolas" w:eastAsia="Yu Gothic" w:hAnsi="Consolas"/>
        </w:rPr>
        <w:t xml:space="preserve">nrsd:coRightsHolder</w:t>
      </w:r>
      <w:r>
        <w:rPr>
          <w:rFonts w:ascii="Calibri" w:eastAsia="Yu Gothic" w:hAnsi="Calibri"/>
        </w:rPr>
        <w:t xml:space="preserve"> (ODRL Party; handle name and notice code). The same people are listed in the “Rights Holder” row of </w:t>
      </w:r>
      <w:r>
        <w:rPr>
          <w:rFonts w:ascii="Consolas" w:eastAsia="Yu Gothic" w:hAnsi="Consolas"/>
        </w:rPr>
        <w:t xml:space="preserve">00_RIGHTS_README.txt</w:t>
      </w:r>
      <w:r>
        <w:rPr>
          <w:rFonts w:ascii="Calibri" w:eastAsia="Yu Gothic" w:hAnsi="Calibri"/>
        </w:rPr>
        <w:t xml:space="preserve"> (row 1 of 3.2).</w:t>
      </w:r>
    </w:p>
    <w:p>
      <w:pPr>
        <w:pStyle w:val="ListParagraph"/>
        <w:keepNext w:val="false"/>
        <w:keepLines/>
        <w:numPr>
          <w:ilvl w:val="0"/>
          <w:numId w:val="2"/>
        </w:numPr>
        <w:spacing w:after="20" w:before="20" w:line="300"/>
      </w:pPr>
      <w:r>
        <w:rPr>
          <w:rFonts w:ascii="Calibri" w:eastAsia="Yu Gothic" w:hAnsi="Calibri"/>
        </w:rPr>
        <w:t xml:space="preserve">Example (outline when P1 and A1 are chosen):</w:t>
      </w:r>
    </w:p>
    <w:p>
      <w:pPr>
        <w:keepNext/>
        <w:keepLines/>
        <w:shd w:fill="F2F2F2" w:color="auto" w:val="clear"/>
        <w:spacing w:after="0" w:before="80" w:line="240"/>
        <w:ind w:left="240"/>
      </w:pPr>
      <w:r>
        <w:rPr>
          <w:rFonts w:ascii="Consolas" w:eastAsia="Yu Gothic" w:hAnsi="Consolas"/>
          <w:sz w:val="16"/>
          <w:szCs w:val="16"/>
        </w:rPr>
        <w:t xml:space="preserve">{</w:t>
      </w:r>
    </w:p>
    <w:p>
      <w:pPr>
        <w:keepNext/>
        <w:keepLines/>
        <w:shd w:fill="F2F2F2" w:color="auto" w:val="clear"/>
        <w:spacing w:after="0" w:before="0" w:line="240"/>
        <w:ind w:left="240"/>
      </w:pPr>
      <w:r>
        <w:rPr>
          <w:rFonts w:ascii="Consolas" w:eastAsia="Yu Gothic" w:hAnsi="Consolas"/>
          <w:sz w:val="16"/>
          <w:szCs w:val="16"/>
        </w:rPr>
        <w:t xml:space="preserve">  "@context": "http://www.w3.org/ns/odrl.jsonld",</w:t>
      </w:r>
    </w:p>
    <w:p>
      <w:pPr>
        <w:keepNext/>
        <w:keepLines/>
        <w:shd w:fill="F2F2F2" w:color="auto" w:val="clear"/>
        <w:spacing w:after="0" w:before="0" w:line="240"/>
        <w:ind w:left="240"/>
      </w:pPr>
      <w:r>
        <w:rPr>
          <w:rFonts w:ascii="Consolas" w:eastAsia="Yu Gothic" w:hAnsi="Consolas"/>
          <w:sz w:val="16"/>
          <w:szCs w:val="16"/>
        </w:rPr>
        <w:t xml:space="preserve">  "@type": "Offer",</w:t>
      </w:r>
    </w:p>
    <w:p>
      <w:pPr>
        <w:keepNext/>
        <w:keepLines/>
        <w:shd w:fill="F2F2F2" w:color="auto" w:val="clear"/>
        <w:spacing w:after="0" w:before="0" w:line="240"/>
        <w:ind w:left="240"/>
      </w:pPr>
      <w:r>
        <w:rPr>
          <w:rFonts w:ascii="Consolas" w:eastAsia="Yu Gothic" w:hAnsi="Consolas"/>
          <w:sz w:val="16"/>
          <w:szCs w:val="16"/>
        </w:rPr>
        <w:t xml:space="preserve">  "uid": "https://c2pa4cosplayer.nrsd.jp/id/policy/{batch number}",</w:t>
      </w:r>
    </w:p>
    <w:p>
      <w:pPr>
        <w:keepNext/>
        <w:keepLines/>
        <w:shd w:fill="F2F2F2" w:color="auto" w:val="clear"/>
        <w:spacing w:after="0" w:before="0" w:line="240"/>
        <w:ind w:left="240"/>
      </w:pPr>
      <w:r>
        <w:rPr>
          <w:rFonts w:ascii="Consolas" w:eastAsia="Yu Gothic" w:hAnsi="Consolas"/>
          <w:sz w:val="16"/>
          <w:szCs w:val="16"/>
        </w:rPr>
        <w:t xml:space="preserve">  "assigner": {"uid": "https://c2pa4cosplayer.nrsd.jp/id/notice/{notice code}", "name": "{handle name}"},</w:t>
      </w:r>
    </w:p>
    <w:p>
      <w:pPr>
        <w:keepNext/>
        <w:keepLines/>
        <w:shd w:fill="F2F2F2" w:color="auto" w:val="clear"/>
        <w:spacing w:after="0" w:before="0" w:line="240"/>
        <w:ind w:left="240"/>
      </w:pPr>
      <w:r>
        <w:rPr>
          <w:rFonts w:ascii="Consolas" w:eastAsia="Yu Gothic" w:hAnsi="Consolas"/>
          <w:sz w:val="16"/>
          <w:szCs w:val="16"/>
        </w:rPr>
        <w:t xml:space="preserve">  "target": ["https://c2pa4cosplayer.nrsd.jp/id/work/{identification number}", "..."],</w:t>
      </w:r>
    </w:p>
    <w:p>
      <w:pPr>
        <w:keepNext/>
        <w:keepLines/>
        <w:shd w:fill="F2F2F2" w:color="auto" w:val="clear"/>
        <w:spacing w:after="0" w:before="0" w:line="240"/>
        <w:ind w:left="240"/>
      </w:pPr>
      <w:r>
        <w:rPr>
          <w:rFonts w:ascii="Consolas" w:eastAsia="Yu Gothic" w:hAnsi="Consolas"/>
          <w:sz w:val="16"/>
          <w:szCs w:val="16"/>
        </w:rPr>
        <w:t xml:space="preserve">  "permission": [</w:t>
      </w:r>
    </w:p>
    <w:p>
      <w:pPr>
        <w:keepNext/>
        <w:keepLines/>
        <w:shd w:fill="F2F2F2" w:color="auto" w:val="clear"/>
        <w:spacing w:after="0" w:before="0" w:line="240"/>
        <w:ind w:left="240"/>
      </w:pPr>
      <w:r>
        <w:rPr>
          <w:rFonts w:ascii="Consolas" w:eastAsia="Yu Gothic" w:hAnsi="Consolas"/>
          <w:sz w:val="16"/>
          <w:szCs w:val="16"/>
        </w:rPr>
        <w:t xml:space="preserve">    {"action": "display"},</w:t>
      </w:r>
    </w:p>
    <w:p>
      <w:pPr>
        <w:keepNext/>
        <w:keepLines/>
        <w:shd w:fill="F2F2F2" w:color="auto" w:val="clear"/>
        <w:spacing w:after="0" w:before="0" w:line="240"/>
        <w:ind w:left="240"/>
      </w:pPr>
      <w:r>
        <w:rPr>
          <w:rFonts w:ascii="Consolas" w:eastAsia="Yu Gothic" w:hAnsi="Consolas"/>
          <w:sz w:val="16"/>
          <w:szCs w:val="16"/>
        </w:rPr>
        <w:t xml:space="preserve">    {"action": "reproduce", "constraint": [{"leftOperand": "purpose", "operator": "eq", "rightOperand": "nrsd:personalDeviceStorage"}]},</w:t>
      </w:r>
    </w:p>
    <w:p>
      <w:pPr>
        <w:keepNext/>
        <w:keepLines/>
        <w:shd w:fill="F2F2F2" w:color="auto" w:val="clear"/>
        <w:spacing w:after="0" w:before="0" w:line="240"/>
        <w:ind w:left="240"/>
      </w:pPr>
      <w:r>
        <w:rPr>
          <w:rFonts w:ascii="Consolas" w:eastAsia="Yu Gothic" w:hAnsi="Consolas"/>
          <w:sz w:val="16"/>
          <w:szCs w:val="16"/>
        </w:rPr>
        <w:t xml:space="preserve">    {"action": "distribute",</w:t>
      </w:r>
    </w:p>
    <w:p>
      <w:pPr>
        <w:keepNext/>
        <w:keepLines/>
        <w:shd w:fill="F2F2F2" w:color="auto" w:val="clear"/>
        <w:spacing w:after="0" w:before="0" w:line="240"/>
        <w:ind w:left="240"/>
      </w:pPr>
      <w:r>
        <w:rPr>
          <w:rFonts w:ascii="Consolas" w:eastAsia="Yu Gothic" w:hAnsi="Consolas"/>
          <w:sz w:val="16"/>
          <w:szCs w:val="16"/>
        </w:rPr>
        <w:t xml:space="preserve">     "constraint": [{"leftOperand": "nrsd:longEdgePixels", "operator": "lteq", "rightOperand": 1080},</w:t>
      </w:r>
    </w:p>
    <w:p>
      <w:pPr>
        <w:keepNext/>
        <w:keepLines/>
        <w:shd w:fill="F2F2F2" w:color="auto" w:val="clear"/>
        <w:spacing w:after="0" w:before="0" w:line="240"/>
        <w:ind w:left="240"/>
      </w:pPr>
      <w:r>
        <w:rPr>
          <w:rFonts w:ascii="Consolas" w:eastAsia="Yu Gothic" w:hAnsi="Consolas"/>
          <w:sz w:val="16"/>
          <w:szCs w:val="16"/>
        </w:rPr>
        <w:t xml:space="preserve">                    {"leftOperand": "payAmount", "operator": "eq", "rightOperand": 0}],</w:t>
      </w:r>
    </w:p>
    <w:p>
      <w:pPr>
        <w:keepNext/>
        <w:keepLines/>
        <w:shd w:fill="F2F2F2" w:color="auto" w:val="clear"/>
        <w:spacing w:after="0" w:before="0" w:line="240"/>
        <w:ind w:left="240"/>
      </w:pPr>
      <w:r>
        <w:rPr>
          <w:rFonts w:ascii="Consolas" w:eastAsia="Yu Gothic" w:hAnsi="Consolas"/>
          <w:sz w:val="16"/>
          <w:szCs w:val="16"/>
        </w:rPr>
        <w:t xml:space="preserve">     "duty": [{"action": "attribute"}]}</w:t>
      </w:r>
    </w:p>
    <w:p>
      <w:pPr>
        <w:keepNext/>
        <w:keepLines/>
        <w:shd w:fill="F2F2F2" w:color="auto" w:val="clear"/>
        <w:spacing w:after="0" w:before="0" w:line="240"/>
        <w:ind w:left="240"/>
      </w:pPr>
      <w:r>
        <w:rPr>
          <w:rFonts w:ascii="Consolas" w:eastAsia="Yu Gothic" w:hAnsi="Consolas"/>
          <w:sz w:val="16"/>
          <w:szCs w:val="16"/>
        </w:rPr>
        <w:t xml:space="preserve">  ],</w:t>
      </w:r>
    </w:p>
    <w:p>
      <w:pPr>
        <w:keepNext/>
        <w:keepLines/>
        <w:shd w:fill="F2F2F2" w:color="auto" w:val="clear"/>
        <w:spacing w:after="0" w:before="0" w:line="240"/>
        <w:ind w:left="240"/>
      </w:pPr>
      <w:r>
        <w:rPr>
          <w:rFonts w:ascii="Consolas" w:eastAsia="Yu Gothic" w:hAnsi="Consolas"/>
          <w:sz w:val="16"/>
          <w:szCs w:val="16"/>
        </w:rPr>
        <w:t xml:space="preserve">  "prohibition": [</w:t>
      </w:r>
    </w:p>
    <w:p>
      <w:pPr>
        <w:keepNext/>
        <w:keepLines/>
        <w:shd w:fill="F2F2F2" w:color="auto" w:val="clear"/>
        <w:spacing w:after="0" w:before="0" w:line="240"/>
        <w:ind w:left="240"/>
      </w:pPr>
      <w:r>
        <w:rPr>
          <w:rFonts w:ascii="Consolas" w:eastAsia="Yu Gothic" w:hAnsi="Consolas"/>
          <w:sz w:val="16"/>
          <w:szCs w:val="16"/>
        </w:rPr>
        <w:t xml:space="preserve">    {"action": "nrsd:commercialUse"}, {"action": "nrsd:removeProvenance"},</w:t>
      </w:r>
    </w:p>
    <w:p>
      <w:pPr>
        <w:keepNext/>
        <w:keepLines/>
        <w:shd w:fill="F2F2F2" w:color="auto" w:val="clear"/>
        <w:spacing w:after="0" w:before="0" w:line="240"/>
        <w:ind w:left="240"/>
      </w:pPr>
      <w:r>
        <w:rPr>
          <w:rFonts w:ascii="Consolas" w:eastAsia="Yu Gothic" w:hAnsi="Consolas"/>
          <w:sz w:val="16"/>
          <w:szCs w:val="16"/>
        </w:rPr>
        <w:t xml:space="preserve">    {"action": "nrsd:aiTraining"}, {"action": "nrsd:aiInference"}, {"action": "nrsd:dataMining"}</w:t>
      </w:r>
    </w:p>
    <w:p>
      <w:pPr>
        <w:keepNext/>
        <w:keepLines/>
        <w:shd w:fill="F2F2F2" w:color="auto" w:val="clear"/>
        <w:spacing w:after="0" w:before="0" w:line="240"/>
        <w:ind w:left="240"/>
      </w:pPr>
      <w:r>
        <w:rPr>
          <w:rFonts w:ascii="Consolas" w:eastAsia="Yu Gothic" w:hAnsi="Consolas"/>
          <w:sz w:val="16"/>
          <w:szCs w:val="16"/>
        </w:rPr>
        <w:t xml:space="preserve">  ]</w:t>
      </w:r>
    </w:p>
    <w:p>
      <w:pPr>
        <w:keepNext w:val="false"/>
        <w:keepLines/>
        <w:shd w:fill="F2F2F2" w:color="auto" w:val="clear"/>
        <w:spacing w:after="120" w:before="0" w:line="240"/>
        <w:ind w:left="240"/>
      </w:pPr>
      <w:r>
        <w:rPr>
          <w:rFonts w:ascii="Consolas" w:eastAsia="Yu Gothic" w:hAnsi="Consolas"/>
          <w:sz w:val="16"/>
          <w:szCs w:val="16"/>
        </w:rPr>
        <w:t xml:space="preserve">}</w:t>
      </w:r>
    </w:p>
    <w:p>
      <w:pPr>
        <w:pStyle w:val="ListParagraph"/>
        <w:keepNext/>
        <w:keepLines/>
        <w:numPr>
          <w:ilvl w:val="0"/>
          <w:numId w:val="2"/>
        </w:numPr>
        <w:spacing w:after="20" w:before="20" w:line="300"/>
      </w:pPr>
      <w:r>
        <w:rPr>
          <w:rFonts w:ascii="Consolas" w:eastAsia="Yu Gothic" w:hAnsi="Consolas"/>
        </w:rPr>
        <w:t xml:space="preserve">purpose</w:t>
      </w:r>
      <w:r>
        <w:rPr>
          <w:rFonts w:ascii="Calibri" w:eastAsia="Yu Gothic" w:hAnsi="Calibri"/>
        </w:rPr>
        <w:t xml:space="preserve"> and </w:t>
      </w:r>
      <w:r>
        <w:rPr>
          <w:rFonts w:ascii="Consolas" w:eastAsia="Yu Gothic" w:hAnsi="Consolas"/>
        </w:rPr>
        <w:t xml:space="preserve">payAmount</w:t>
      </w:r>
      <w:r>
        <w:rPr>
          <w:rFonts w:ascii="Calibri" w:eastAsia="Yu Gothic" w:hAnsi="Calibri"/>
        </w:rPr>
        <w:t xml:space="preserve"> are left operands (subjects of constraints) in ODRL's common vocabulary. Names with </w:t>
      </w:r>
      <w:r>
        <w:rPr>
          <w:rFonts w:ascii="Consolas" w:eastAsia="Yu Gothic" w:hAnsi="Consolas"/>
        </w:rPr>
        <w:t xml:space="preserve">nrsd:</w:t>
      </w:r>
      <w:r>
        <w:rPr>
          <w:rFonts w:ascii="Calibri" w:eastAsia="Yu Gothic" w:hAnsi="Calibri"/>
        </w:rPr>
        <w:t xml:space="preserve"> are the System's extensions and are defined on the public page. [To be confirmed] Before implementation, check the correctness of the form with an ODRL validation tool.</w:t>
      </w:r>
    </w:p>
    <w:p>
      <w:pPr>
        <w:pStyle w:val="ListParagraph"/>
        <w:keepNext w:val="false"/>
        <w:keepLines/>
        <w:numPr>
          <w:ilvl w:val="0"/>
          <w:numId w:val="2"/>
        </w:numPr>
        <w:spacing w:after="20" w:before="20" w:line="300"/>
      </w:pPr>
      <w:r>
        <w:rPr>
          <w:rFonts w:ascii="Calibri" w:eastAsia="Yu Gothic" w:hAnsi="Calibri"/>
        </w:rPr>
        <w:t xml:space="preserve">Definitions of ODRL's standard actions: display is “temporary display”, print is “tangible and permanent display”, reproduce is “copying”, distribute is “supply to third parties”, modify is “changing content (without creating a new asset)”, attribute is “display at the time of use” (W3C's ODRL common vocabulary).</w:t>
      </w:r>
    </w:p>
    <w:p>
      <w:pPr>
        <w:pStyle w:val="Heading2"/>
      </w:pPr>
      <w:r>
        <w:rPr>
          <w:rFonts w:ascii="Calibri" w:eastAsia="Yu Gothic" w:hAnsi="Calibri"/>
        </w:rPr>
        <w:t xml:space="preserve">3.7 Draft sentences of the common part</w:t>
      </w:r>
    </w:p>
    <w:p>
      <w:pPr>
        <w:pStyle w:val="ListParagraph"/>
        <w:keepNext/>
        <w:keepLines/>
        <w:numPr>
          <w:ilvl w:val="0"/>
          <w:numId w:val="2"/>
        </w:numPr>
        <w:spacing w:after="20" w:before="20" w:line="300"/>
      </w:pPr>
      <w:r>
        <w:rPr>
          <w:rFonts w:ascii="Calibri" w:eastAsia="Yu Gothic" w:hAnsi="Calibri"/>
        </w:rPr>
        <w:t xml:space="preserve">The sentences below are drafts. They are not distributed until reviewed by experts versed in each country's law (4, I-08“Wording of Rights Documents”). The app fills in what is in </w:t>
      </w:r>
      <w:r>
        <w:rPr>
          <w:rFonts w:ascii="Consolas" w:eastAsia="Yu Gothic" w:hAnsi="Consolas"/>
        </w:rPr>
        <w:t xml:space="preserve">{}</w:t>
      </w:r>
      <w:r>
        <w:rPr>
          <w:rFonts w:ascii="Calibri" w:eastAsia="Yu Gothic" w:hAnsi="Calibri"/>
        </w:rPr>
        <w:t xml:space="preserve">.</w:t>
      </w:r>
    </w:p>
    <w:p>
      <w:pPr>
        <w:pStyle w:val="ListParagraph"/>
        <w:keepNext/>
        <w:keepLines/>
        <w:numPr>
          <w:ilvl w:val="0"/>
          <w:numId w:val="2"/>
        </w:numPr>
        <w:spacing w:after="20" w:before="20" w:line="300"/>
      </w:pPr>
      <w:r>
        <w:rPr>
          <w:rFonts w:ascii="Calibri" w:eastAsia="Yu Gothic" w:hAnsi="Calibri"/>
        </w:rPr>
        <w:t xml:space="preserve">Japanese:</w:t>
      </w:r>
    </w:p>
    <w:p>
      <w:pPr>
        <w:pStyle w:val="ListParagraph"/>
        <w:keepNext/>
        <w:keepLines/>
        <w:numPr>
          <w:ilvl w:val="1"/>
          <w:numId w:val="2"/>
        </w:numPr>
        <w:spacing w:after="20" w:before="20" w:line="300"/>
      </w:pPr>
      <w:r>
        <w:rPr>
          <w:rFonts w:ascii="Calibri" w:eastAsia="Yu Gothic" w:hAnsi="Calibri"/>
        </w:rPr>
        <w:t xml:space="preserve">「この画像の権利者は {ハンドルネーム}（{告知先アカウント}）です。」</w:t>
      </w:r>
    </w:p>
    <w:p>
      <w:pPr>
        <w:pStyle w:val="ListParagraph"/>
        <w:keepNext/>
        <w:keepLines/>
        <w:numPr>
          <w:ilvl w:val="1"/>
          <w:numId w:val="2"/>
        </w:numPr>
        <w:spacing w:after="20" w:before="20" w:line="300"/>
      </w:pPr>
      <w:r>
        <w:rPr>
          <w:rFonts w:ascii="Calibri" w:eastAsia="Yu Gothic" w:hAnsi="Calibri"/>
        </w:rPr>
        <w:t xml:space="preserve">「この画像を、権利者の許可なく他人に渡したり、共有したり、インターネットに載せたりしないでください。」</w:t>
      </w:r>
    </w:p>
    <w:p>
      <w:pPr>
        <w:pStyle w:val="ListParagraph"/>
        <w:keepNext/>
        <w:keepLines/>
        <w:numPr>
          <w:ilvl w:val="1"/>
          <w:numId w:val="2"/>
        </w:numPr>
        <w:spacing w:after="20" w:before="20" w:line="300"/>
      </w:pPr>
      <w:r>
        <w:rPr>
          <w:rFonts w:ascii="Calibri" w:eastAsia="Yu Gothic" w:hAnsi="Calibri"/>
        </w:rPr>
        <w:t xml:space="preserve">「画像を購入しても、著作権と肖像権は購入者に移りません。」</w:t>
      </w:r>
    </w:p>
    <w:p>
      <w:pPr>
        <w:pStyle w:val="ListParagraph"/>
        <w:keepNext/>
        <w:keepLines/>
        <w:numPr>
          <w:ilvl w:val="1"/>
          <w:numId w:val="2"/>
        </w:numPr>
        <w:spacing w:after="20" w:before="20" w:line="300"/>
      </w:pPr>
      <w:r>
        <w:rPr>
          <w:rFonts w:ascii="Calibri" w:eastAsia="Yu Gothic" w:hAnsi="Calibri"/>
        </w:rPr>
        <w:t xml:space="preserve">「あなたに許されている使い方：{許可範囲の説明}」</w:t>
      </w:r>
    </w:p>
    <w:p>
      <w:pPr>
        <w:pStyle w:val="ListParagraph"/>
        <w:keepNext/>
        <w:keepLines/>
        <w:numPr>
          <w:ilvl w:val="1"/>
          <w:numId w:val="2"/>
        </w:numPr>
        <w:spacing w:after="20" w:before="20" w:line="300"/>
      </w:pPr>
      <w:r>
        <w:rPr>
          <w:rFonts w:ascii="Calibri" w:eastAsia="Yu Gothic" w:hAnsi="Calibri"/>
        </w:rPr>
        <w:t xml:space="preserve">「この画像には、C2PA署名、見えない透かし、識別番号（一覧は同封の 00_RIGHTS.json）が入っています。これらを故意に消すことは、国によっては法律に違反し得ます。」</w:t>
      </w:r>
    </w:p>
    <w:p>
      <w:pPr>
        <w:pStyle w:val="ListParagraph"/>
        <w:keepNext/>
        <w:keepLines/>
        <w:numPr>
          <w:ilvl w:val="1"/>
          <w:numId w:val="2"/>
        </w:numPr>
        <w:spacing w:after="20" w:before="20" w:line="300"/>
      </w:pPr>
      <w:r>
        <w:rPr>
          <w:rFonts w:ascii="Calibri" w:eastAsia="Yu Gothic" w:hAnsi="Calibri"/>
        </w:rPr>
        <w:t xml:space="preserve">「許された範囲の外で使われた場合、権利者は削除の申立てや損害賠償の請求を行うことがあります。国ごとの内容は同封の国別の文書と、次のページを見てください：{公開ページの URL}」</w:t>
      </w:r>
    </w:p>
    <w:p>
      <w:pPr>
        <w:pStyle w:val="ListParagraph"/>
        <w:keepNext/>
        <w:keepLines/>
        <w:numPr>
          <w:ilvl w:val="1"/>
          <w:numId w:val="2"/>
        </w:numPr>
        <w:spacing w:after="20" w:before="20" w:line="300"/>
      </w:pPr>
      <w:r>
        <w:rPr>
          <w:rFonts w:ascii="Calibri" w:eastAsia="Yu Gothic" w:hAnsi="Calibri"/>
        </w:rPr>
        <w:t xml:space="preserve">「問い合わせ：{告知先アカウント}」</w:t>
      </w:r>
    </w:p>
    <w:p>
      <w:pPr>
        <w:pStyle w:val="ListParagraph"/>
        <w:keepNext/>
        <w:keepLines/>
        <w:numPr>
          <w:ilvl w:val="0"/>
          <w:numId w:val="2"/>
        </w:numPr>
        <w:spacing w:after="20" w:before="20" w:line="300"/>
      </w:pPr>
      <w:r>
        <w:rPr>
          <w:rFonts w:ascii="Calibri" w:eastAsia="Yu Gothic" w:hAnsi="Calibri"/>
        </w:rPr>
        <w:t xml:space="preserve">English:</w:t>
      </w:r>
    </w:p>
    <w:p>
      <w:pPr>
        <w:pStyle w:val="ListParagraph"/>
        <w:keepNext/>
        <w:keepLines/>
        <w:numPr>
          <w:ilvl w:val="1"/>
          <w:numId w:val="2"/>
        </w:numPr>
        <w:spacing w:after="20" w:before="20" w:line="300"/>
      </w:pPr>
      <w:r>
        <w:rPr>
          <w:rFonts w:ascii="Calibri" w:eastAsia="Yu Gothic" w:hAnsi="Calibri"/>
        </w:rPr>
        <w:t xml:space="preserve">"The rights holder of these images is {handle} ({account})."</w:t>
      </w:r>
    </w:p>
    <w:p>
      <w:pPr>
        <w:pStyle w:val="ListParagraph"/>
        <w:keepNext/>
        <w:keepLines/>
        <w:numPr>
          <w:ilvl w:val="1"/>
          <w:numId w:val="2"/>
        </w:numPr>
        <w:spacing w:after="20" w:before="20" w:line="300"/>
      </w:pPr>
      <w:r>
        <w:rPr>
          <w:rFonts w:ascii="Calibri" w:eastAsia="Yu Gothic" w:hAnsi="Calibri"/>
        </w:rPr>
        <w:t xml:space="preserve">"Do not give, share, or post these images to others without the rights holder's permission."</w:t>
      </w:r>
    </w:p>
    <w:p>
      <w:pPr>
        <w:pStyle w:val="ListParagraph"/>
        <w:keepNext/>
        <w:keepLines/>
        <w:numPr>
          <w:ilvl w:val="1"/>
          <w:numId w:val="2"/>
        </w:numPr>
        <w:spacing w:after="20" w:before="20" w:line="300"/>
      </w:pPr>
      <w:r>
        <w:rPr>
          <w:rFonts w:ascii="Calibri" w:eastAsia="Yu Gothic" w:hAnsi="Calibri"/>
        </w:rPr>
        <w:t xml:space="preserve">"Purchasing these images does not transfer copyright or portrait rights to you."</w:t>
      </w:r>
    </w:p>
    <w:p>
      <w:pPr>
        <w:pStyle w:val="ListParagraph"/>
        <w:keepNext/>
        <w:keepLines/>
        <w:numPr>
          <w:ilvl w:val="1"/>
          <w:numId w:val="2"/>
        </w:numPr>
        <w:spacing w:after="20" w:before="20" w:line="300"/>
      </w:pPr>
      <w:r>
        <w:rPr>
          <w:rFonts w:ascii="Calibri" w:eastAsia="Yu Gothic" w:hAnsi="Calibri"/>
        </w:rPr>
        <w:t xml:space="preserve">"You are permitted to: {scope}"</w:t>
      </w:r>
    </w:p>
    <w:p>
      <w:pPr>
        <w:pStyle w:val="ListParagraph"/>
        <w:keepNext/>
        <w:keepLines/>
        <w:numPr>
          <w:ilvl w:val="1"/>
          <w:numId w:val="2"/>
        </w:numPr>
        <w:spacing w:after="20" w:before="20" w:line="300"/>
      </w:pPr>
      <w:r>
        <w:rPr>
          <w:rFonts w:ascii="Calibri" w:eastAsia="Yu Gothic" w:hAnsi="Calibri"/>
        </w:rPr>
        <w:t xml:space="preserve">"These images contain a C2PA signature, an invisible watermark, and an identification number (listed in the enclosed 00_RIGHTS.json). In some countries, intentionally removing them may be unlawful."</w:t>
      </w:r>
    </w:p>
    <w:p>
      <w:pPr>
        <w:pStyle w:val="ListParagraph"/>
        <w:keepNext/>
        <w:keepLines/>
        <w:numPr>
          <w:ilvl w:val="1"/>
          <w:numId w:val="2"/>
        </w:numPr>
        <w:spacing w:after="20" w:before="20" w:line="300"/>
      </w:pPr>
      <w:r>
        <w:rPr>
          <w:rFonts w:ascii="Calibri" w:eastAsia="Yu Gothic" w:hAnsi="Calibri"/>
        </w:rPr>
        <w:t xml:space="preserve">"If these images are used beyond the permitted scope, the rights holder may request removal or claim damages. See the enclosed country document and: {URL}"</w:t>
      </w:r>
    </w:p>
    <w:p>
      <w:pPr>
        <w:pStyle w:val="ListParagraph"/>
        <w:keepNext/>
        <w:keepLines/>
        <w:numPr>
          <w:ilvl w:val="1"/>
          <w:numId w:val="2"/>
        </w:numPr>
        <w:spacing w:after="20" w:before="20" w:line="300"/>
      </w:pPr>
      <w:r>
        <w:rPr>
          <w:rFonts w:ascii="Calibri" w:eastAsia="Yu Gothic" w:hAnsi="Calibri"/>
        </w:rPr>
        <w:t xml:space="preserve">"Contact: {account}"</w:t>
      </w:r>
    </w:p>
    <w:p>
      <w:pPr>
        <w:pStyle w:val="ListParagraph"/>
        <w:keepNext/>
        <w:keepLines/>
        <w:numPr>
          <w:ilvl w:val="0"/>
          <w:numId w:val="2"/>
        </w:numPr>
        <w:spacing w:after="20" w:before="20" w:line="300"/>
      </w:pPr>
      <w:r>
        <w:rPr>
          <w:rFonts w:ascii="Calibri" w:eastAsia="Yu Gothic" w:hAnsi="Calibri"/>
        </w:rPr>
        <w:t xml:space="preserve">Chinese (Simplified):</w:t>
      </w:r>
    </w:p>
    <w:p>
      <w:pPr>
        <w:pStyle w:val="ListParagraph"/>
        <w:keepNext/>
        <w:keepLines/>
        <w:numPr>
          <w:ilvl w:val="1"/>
          <w:numId w:val="2"/>
        </w:numPr>
        <w:spacing w:after="20" w:before="20" w:line="300"/>
      </w:pPr>
      <w:r>
        <w:rPr>
          <w:rFonts w:ascii="Calibri" w:eastAsia="Yu Gothic" w:hAnsi="Calibri"/>
        </w:rPr>
        <w:t xml:space="preserve">「本图片的权利人为 {handle}（{account}）。」</w:t>
      </w:r>
    </w:p>
    <w:p>
      <w:pPr>
        <w:pStyle w:val="ListParagraph"/>
        <w:keepNext/>
        <w:keepLines/>
        <w:numPr>
          <w:ilvl w:val="1"/>
          <w:numId w:val="2"/>
        </w:numPr>
        <w:spacing w:after="20" w:before="20" w:line="300"/>
      </w:pPr>
      <w:r>
        <w:rPr>
          <w:rFonts w:ascii="Calibri" w:eastAsia="Yu Gothic" w:hAnsi="Calibri"/>
        </w:rPr>
        <w:t xml:space="preserve">「未经权利人许可，请勿将本图片转交、分享或发布给他人。」</w:t>
      </w:r>
    </w:p>
    <w:p>
      <w:pPr>
        <w:pStyle w:val="ListParagraph"/>
        <w:keepNext/>
        <w:keepLines/>
        <w:numPr>
          <w:ilvl w:val="1"/>
          <w:numId w:val="2"/>
        </w:numPr>
        <w:spacing w:after="20" w:before="20" w:line="300"/>
      </w:pPr>
      <w:r>
        <w:rPr>
          <w:rFonts w:ascii="Calibri" w:eastAsia="Yu Gothic" w:hAnsi="Calibri"/>
        </w:rPr>
        <w:t xml:space="preserve">「购买本图片并不会使著作权及肖像权转移给购买者。」</w:t>
      </w:r>
    </w:p>
    <w:p>
      <w:pPr>
        <w:pStyle w:val="ListParagraph"/>
        <w:keepNext/>
        <w:keepLines/>
        <w:numPr>
          <w:ilvl w:val="1"/>
          <w:numId w:val="2"/>
        </w:numPr>
        <w:spacing w:after="20" w:before="20" w:line="300"/>
      </w:pPr>
      <w:r>
        <w:rPr>
          <w:rFonts w:ascii="Calibri" w:eastAsia="Yu Gothic" w:hAnsi="Calibri"/>
        </w:rPr>
        <w:t xml:space="preserve">「您被允许的使用方式：{scope}」</w:t>
      </w:r>
    </w:p>
    <w:p>
      <w:pPr>
        <w:pStyle w:val="ListParagraph"/>
        <w:keepNext/>
        <w:keepLines/>
        <w:numPr>
          <w:ilvl w:val="1"/>
          <w:numId w:val="2"/>
        </w:numPr>
        <w:spacing w:after="20" w:before="20" w:line="300"/>
      </w:pPr>
      <w:r>
        <w:rPr>
          <w:rFonts w:ascii="Calibri" w:eastAsia="Yu Gothic" w:hAnsi="Calibri"/>
        </w:rPr>
        <w:t xml:space="preserve">「本图片含有 C2PA 签名、隐形水印及识别编号（列于随附的 00_RIGHTS.json）。在部分国家，故意删除这些信息可能违法。」</w:t>
      </w:r>
    </w:p>
    <w:p>
      <w:pPr>
        <w:pStyle w:val="ListParagraph"/>
        <w:keepNext/>
        <w:keepLines/>
        <w:numPr>
          <w:ilvl w:val="1"/>
          <w:numId w:val="2"/>
        </w:numPr>
        <w:spacing w:after="20" w:before="20" w:line="300"/>
      </w:pPr>
      <w:r>
        <w:rPr>
          <w:rFonts w:ascii="Calibri" w:eastAsia="Yu Gothic" w:hAnsi="Calibri"/>
        </w:rPr>
        <w:t xml:space="preserve">「如在许可范围之外使用，权利人可能提出删除申请或请求损害赔偿。各国的具体内容请参阅随附的国别文件及以下页面：{URL}」</w:t>
      </w:r>
    </w:p>
    <w:p>
      <w:pPr>
        <w:pStyle w:val="ListParagraph"/>
        <w:keepNext/>
        <w:keepLines/>
        <w:numPr>
          <w:ilvl w:val="1"/>
          <w:numId w:val="2"/>
        </w:numPr>
        <w:spacing w:after="20" w:before="20" w:line="300"/>
      </w:pPr>
      <w:r>
        <w:rPr>
          <w:rFonts w:ascii="Calibri" w:eastAsia="Yu Gothic" w:hAnsi="Calibri"/>
        </w:rPr>
        <w:t xml:space="preserve">「联系方式：{account}」</w:t>
      </w:r>
    </w:p>
    <w:p>
      <w:pPr>
        <w:pStyle w:val="ListParagraph"/>
        <w:keepNext w:val="false"/>
        <w:keepLines/>
        <w:numPr>
          <w:ilvl w:val="0"/>
          <w:numId w:val="2"/>
        </w:numPr>
        <w:spacing w:after="20" w:before="20" w:line="300"/>
      </w:pPr>
      <w:r>
        <w:rPr>
          <w:rFonts w:ascii="Calibri" w:eastAsia="Yu Gothic" w:hAnsi="Calibri"/>
        </w:rPr>
        <w:t xml:space="preserve">The terms follow the English and Chinese versions of the Design Plan (権利者: rights holder / 权利人, 許可範囲: Permitted Scope / 许可范围, C2PA署名: C2PA signature / C2PA签名, 識別番号: identification number / 识别编号).</w:t>
      </w:r>
    </w:p>
    <w:p>
      <w:pPr>
        <w:pStyle w:val="Heading2"/>
      </w:pPr>
      <w:r>
        <w:rPr>
          <w:rFonts w:ascii="Calibri" w:eastAsia="Yu Gothic" w:hAnsi="Calibri"/>
        </w:rPr>
        <w:t xml:space="preserve">3.8 Country and language codes</w:t>
      </w:r>
    </w:p>
    <w:p>
      <w:pPr>
        <w:pStyle w:val="ListParagraph"/>
        <w:keepNext/>
        <w:keepLines/>
        <w:numPr>
          <w:ilvl w:val="0"/>
          <w:numId w:val="2"/>
        </w:numPr>
        <w:spacing w:after="20" w:before="20" w:line="300"/>
      </w:pPr>
      <w:r>
        <w:rPr>
          <w:rFonts w:ascii="Calibri" w:eastAsia="Yu Gothic" w:hAnsi="Calibri"/>
        </w:rPr>
        <w:t xml:space="preserve">Countries are expressed with ISO 3166-1 two-letter codes (e.g., JP, CN, US). The file name of a country part is </w:t>
      </w:r>
      <w:r>
        <w:rPr>
          <w:rFonts w:ascii="Consolas" w:eastAsia="Yu Gothic" w:hAnsi="Consolas"/>
        </w:rPr>
        <w:t xml:space="preserve">00_RIGHTS_&lt;country code&gt;.txt</w:t>
      </w:r>
      <w:r>
        <w:rPr>
          <w:rFonts w:ascii="Calibri" w:eastAsia="Yu Gothic" w:hAnsi="Calibri"/>
        </w:rPr>
        <w:t xml:space="preserve">.</w:t>
      </w:r>
    </w:p>
    <w:p>
      <w:pPr>
        <w:pStyle w:val="ListParagraph"/>
        <w:keepNext w:val="false"/>
        <w:keepLines/>
        <w:numPr>
          <w:ilvl w:val="0"/>
          <w:numId w:val="2"/>
        </w:numPr>
        <w:spacing w:after="20" w:before="20" w:line="300"/>
      </w:pPr>
      <w:r>
        <w:rPr>
          <w:rFonts w:ascii="Calibri" w:eastAsia="Yu Gothic" w:hAnsi="Calibri"/>
        </w:rPr>
        <w:t xml:space="preserve">When the same shoot is sold under several Permitted Scopes at different prices (e.g., per support tier), exports are divided per Permitted Scope (one Permitted Scope per export; 2.3). Each export has separate identification numbers.</w:t>
      </w:r>
    </w:p>
    <w:p>
      <w:pPr>
        <w:pStyle w:val="Heading1"/>
      </w:pPr>
      <w:r>
        <w:rPr>
          <w:rFonts w:ascii="Calibri" w:eastAsia="Yu Gothic" w:hAnsi="Calibri"/>
        </w:rPr>
        <w:t xml:space="preserve">4. Management of the Wording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0"/>
        <w:gridCol w:w="8118"/>
      </w:tblGrid>
      <w:tr>
        <w:trPr>
          <w:cantSplit/>
          <w:tblHeader/>
        </w:trPr>
        <w:tc>
          <w:tcPr>
            <w:tcW w:type="dxa" w:w="15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w:t>
            </w:r>
          </w:p>
        </w:tc>
        <w:tc>
          <w:tcPr>
            <w:tcW w:type="dxa" w:w="81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Method</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Drafting</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NRSD drafts the provisions from the outline in Japanese and translates them into English and Chinese (the translations are checked by NRSD)</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Review</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Each country's wording is published only after review by experts versed in that country's law (I-08“Wording of Rights Documents”). Country parts are not made for countries not yet reviewed; they are shown only by the link to complete coverage</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Versions</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There is a version of the reference information package (an integer starting from 1; Chapter 8, 3.4 “Reference information package”) and a version per wording. The wording files are </w:t>
            </w:r>
            <w:r>
              <w:rPr>
                <w:rFonts w:ascii="Consolas" w:eastAsia="Yu Gothic" w:hAnsi="Consolas"/>
                <w:b w:val="false"/>
                <w:bCs w:val="false"/>
                <w:sz w:val="18"/>
                <w:szCs w:val="18"/>
              </w:rPr>
              <w:t xml:space="preserve">texts/common.&lt;language&gt;.md</w:t>
            </w:r>
            <w:r>
              <w:rPr>
                <w:rFonts w:ascii="Calibri" w:eastAsia="Yu Gothic" w:hAnsi="Calibri"/>
                <w:b w:val="false"/>
                <w:bCs w:val="false"/>
                <w:sz w:val="18"/>
                <w:szCs w:val="18"/>
              </w:rPr>
              <w:t xml:space="preserve"> and </w:t>
            </w:r>
            <w:r>
              <w:rPr>
                <w:rFonts w:ascii="Consolas" w:eastAsia="Yu Gothic" w:hAnsi="Consolas"/>
                <w:b w:val="false"/>
                <w:bCs w:val="false"/>
                <w:sz w:val="18"/>
                <w:szCs w:val="18"/>
              </w:rPr>
              <w:t xml:space="preserve">texts/country.&lt;country code&gt;.&lt;language&gt;.md</w:t>
            </w:r>
            <w:r>
              <w:rPr>
                <w:rFonts w:ascii="Calibri" w:eastAsia="Yu Gothic" w:hAnsi="Calibri"/>
                <w:b w:val="false"/>
                <w:bCs w:val="false"/>
                <w:sz w:val="18"/>
                <w:szCs w:val="18"/>
              </w:rPr>
              <w:t xml:space="preserve">, with </w:t>
            </w:r>
            <w:r>
              <w:rPr>
                <w:rFonts w:ascii="Consolas" w:eastAsia="Yu Gothic" w:hAnsi="Consolas"/>
                <w:b w:val="false"/>
                <w:bCs w:val="false"/>
                <w:sz w:val="18"/>
                <w:szCs w:val="18"/>
              </w:rPr>
              <w:t xml:space="preserve">version</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reviewed_by</w:t>
            </w:r>
            <w:r>
              <w:rPr>
                <w:rFonts w:ascii="Calibri" w:eastAsia="Yu Gothic" w:hAnsi="Calibri"/>
                <w:b w:val="false"/>
                <w:bCs w:val="false"/>
                <w:sz w:val="18"/>
                <w:szCs w:val="18"/>
              </w:rPr>
              <w:t xml:space="preserve">, and </w:t>
            </w:r>
            <w:r>
              <w:rPr>
                <w:rFonts w:ascii="Consolas" w:eastAsia="Yu Gothic" w:hAnsi="Consolas"/>
                <w:b w:val="false"/>
                <w:bCs w:val="false"/>
                <w:sz w:val="18"/>
                <w:szCs w:val="18"/>
              </w:rPr>
              <w:t xml:space="preserve">reviewed_at</w:t>
            </w:r>
            <w:r>
              <w:rPr>
                <w:rFonts w:ascii="Calibri" w:eastAsia="Yu Gothic" w:hAnsi="Calibri"/>
                <w:b w:val="false"/>
                <w:bCs w:val="false"/>
                <w:sz w:val="18"/>
                <w:szCs w:val="18"/>
              </w:rPr>
              <w:t xml:space="preserve"> (expert review; R-5-3-1) in the front matter (YAML), and the placeholders in the body are </w:t>
            </w:r>
            <w:r>
              <w:rPr>
                <w:rFonts w:ascii="Consolas" w:eastAsia="Yu Gothic" w:hAnsi="Consolas"/>
                <w:b w:val="false"/>
                <w:bCs w:val="false"/>
                <w:sz w:val="18"/>
                <w:szCs w:val="18"/>
              </w:rPr>
              <w:t xml:space="preserve">{handle}</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{account}</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{scope}</w:t>
            </w:r>
            <w:r>
              <w:rPr>
                <w:rFonts w:ascii="Calibri" w:eastAsia="Yu Gothic" w:hAnsi="Calibri"/>
                <w:b w:val="false"/>
                <w:bCs w:val="false"/>
                <w:sz w:val="18"/>
                <w:szCs w:val="18"/>
              </w:rPr>
              <w:t xml:space="preserve">, and </w:t>
            </w:r>
            <w:r>
              <w:rPr>
                <w:rFonts w:ascii="Consolas" w:eastAsia="Yu Gothic" w:hAnsi="Consolas"/>
                <w:b w:val="false"/>
                <w:bCs w:val="false"/>
                <w:sz w:val="18"/>
                <w:szCs w:val="18"/>
              </w:rPr>
              <w:t xml:space="preserve">{url}</w:t>
            </w:r>
            <w:r>
              <w:rPr>
                <w:rFonts w:ascii="Calibri" w:eastAsia="Yu Gothic" w:hAnsi="Calibri"/>
                <w:b w:val="false"/>
                <w:bCs w:val="false"/>
                <w:sz w:val="18"/>
                <w:szCs w:val="18"/>
              </w:rPr>
              <w:t xml:space="preserve"> (the same rules as Chapter 4, 3.1)</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Distribution</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Placed in the Public Repository and mirror as the reference information package (Chapter 8, 3.4 “Reference information package”), and obtained and verified by the app (Chapter 1, DD-1-6“NRSD signs reference information and places it in the Public Repository and the mirror”)</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Following law revisions</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NRSD checks quarterly and raises the version if there is a revision (Chapter 1, 18.1 “NRSD's points of involvement and structure”)</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Pinning and reproduction</w:t>
            </w:r>
          </w:p>
        </w:tc>
        <w:tc>
          <w:tcPr>
            <w:tcW w:type="dxa" w:w="8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work session pins the version of the reference information at the time it was started and copies of the wording files themselves, and does not change the version midway. The SHA-256 of each file used is recorded in the work data and the manifest. Versions referenced by work data are not deleted from the device and are included in backups. The Enclosed Document of any sale can be made again from G-12“Works” with the version of that time (NRSD's request, 2026-09-30)</w:t>
            </w:r>
          </w:p>
        </w:tc>
      </w:tr>
    </w:tbl>
    <w:p>
      <w:pPr>
        <w:spacing w:after="100" w:before="0"/>
      </w:pPr>
    </w:p>
    <w:p>
      <w:pPr>
        <w:pStyle w:val="Heading1"/>
      </w:pPr>
      <w:r>
        <w:rPr>
          <w:rFonts w:ascii="Calibri" w:eastAsia="Yu Gothic" w:hAnsi="Calibri"/>
        </w:rPr>
        <w:t xml:space="preserve">5. Countries</w:t>
      </w:r>
    </w:p>
    <w:p>
      <w:pPr>
        <w:pStyle w:val="ListParagraph"/>
        <w:keepNext/>
        <w:keepLines/>
        <w:numPr>
          <w:ilvl w:val="0"/>
          <w:numId w:val="2"/>
        </w:numPr>
        <w:spacing w:after="20" w:before="20" w:line="300"/>
      </w:pPr>
      <w:r>
        <w:rPr>
          <w:rFonts w:ascii="Calibri" w:eastAsia="Yu Gothic" w:hAnsi="Calibri"/>
        </w:rPr>
        <w:t xml:space="preserve">Countries enclosed: the User chooses those of the purchasers' common nationalities in “target countries of Rights Documents” (Chapter 1, 10.8 “Languages and countries”) (several allowed; Design Plan 9.3 “Countries Covered”). The purchasers' common nationalities are known to the User (Design Plan 9.3 “Countries Covered”). The app sets no default country and holds no information about purchasers (sales management is out of scope). If no country is chosen, only the common part and the link to complete coverage are enclosed.</w:t>
      </w:r>
    </w:p>
    <w:p>
      <w:pPr>
        <w:pStyle w:val="ListParagraph"/>
        <w:keepNext/>
        <w:keepLines/>
        <w:numPr>
          <w:ilvl w:val="0"/>
          <w:numId w:val="2"/>
        </w:numPr>
        <w:spacing w:after="20" w:before="20" w:line="300"/>
      </w:pPr>
      <w:r>
        <w:rPr>
          <w:rFonts w:ascii="Calibri" w:eastAsia="Yu Gothic" w:hAnsi="Calibri"/>
        </w:rPr>
        <w:t xml:space="preserve">Purchasers' countries cannot be narrowed down (the conclusion of I-07“Knowing the purchaser’s country”). Registration information of sales venues and the country of the connection source lose meaning when a VPN is used, and the purchaser's nationality cannot be determined. Images cross borders. Therefore the System is built not to depend on the purchaser's country: the common part is enclosed in all languages, complete coverage is shown by the public page link, and the country parts are chosen by the User at their own discretion (choosing none is allowed).</w:t>
      </w:r>
    </w:p>
    <w:p>
      <w:pPr>
        <w:pStyle w:val="ListParagraph"/>
        <w:keepNext/>
        <w:keepLines/>
        <w:numPr>
          <w:ilvl w:val="0"/>
          <w:numId w:val="2"/>
        </w:numPr>
        <w:spacing w:after="20" w:before="20" w:line="300"/>
      </w:pPr>
      <w:r>
        <w:rPr>
          <w:rFonts w:ascii="Calibri" w:eastAsia="Yu Gothic" w:hAnsi="Calibri"/>
        </w:rPr>
        <w:t xml:space="preserve">Link for complete coverage: the public page </w:t>
      </w:r>
      <w:r>
        <w:rPr>
          <w:rFonts w:ascii="Consolas" w:eastAsia="Yu Gothic" w:hAnsi="Consolas"/>
        </w:rPr>
        <w:t xml:space="preserve">/rights/</w:t>
      </w:r>
      <w:r>
        <w:rPr>
          <w:rFonts w:ascii="Calibri" w:eastAsia="Yu Gothic" w:hAnsi="Calibri"/>
        </w:rPr>
        <w:t xml:space="preserve"> of the Public Repository (a summary of each country's law with a list of sources; generated from the reference information).</w:t>
      </w:r>
    </w:p>
    <w:p>
      <w:pPr>
        <w:pStyle w:val="ListParagraph"/>
        <w:keepNext w:val="false"/>
        <w:keepLines/>
        <w:numPr>
          <w:ilvl w:val="0"/>
          <w:numId w:val="2"/>
        </w:numPr>
        <w:spacing w:after="20" w:before="20" w:line="300"/>
      </w:pPr>
      <w:r>
        <w:rPr>
          <w:rFonts w:ascii="Calibri" w:eastAsia="Yu Gothic" w:hAnsi="Calibri"/>
        </w:rPr>
        <w:t xml:space="preserve">Approach to the governing law (handled in legal; O-03“Approach to governing law”): with reference to the two layers of Design Plan 9.5 “Approach to Governing Law (Reference)” (the Permitted Scope is a matter of contract, infringement a matter of the law of the country where protection is claimed), a proposal is placed to state in the Enclosed Document that “the interpretation of the Permitted Scope follows the law of the seller's (Rights Holder's) country”. Adoption depends on confirmation by experts (I-06“Differences in rights by country”, I-08“Wording of Rights Documents”). Until confirmed, it is not written in the Enclosed Document, and no input for the seller's country is provided (O-03“Approach to governing law” is at the stage of a proposal).</w:t>
      </w:r>
    </w:p>
    <w:p>
      <w:pPr>
        <w:pStyle w:val="Heading1"/>
      </w:pPr>
      <w:r>
        <w:rPr>
          <w:rFonts w:ascii="Calibri" w:eastAsia="Yu Gothic" w:hAnsi="Calibri"/>
        </w:rPr>
        <w:t xml:space="preserve">6. Support for Notices</w:t>
      </w:r>
    </w:p>
    <w:p>
      <w:pPr>
        <w:pStyle w:val="Heading2"/>
      </w:pPr>
      <w:r>
        <w:rPr>
          <w:rFonts w:ascii="Calibri" w:eastAsia="Yu Gothic" w:hAnsi="Calibri"/>
        </w:rPr>
        <w:t xml:space="preserve">6.1 Levels of sample 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0"/>
        <w:gridCol w:w="2635"/>
        <w:gridCol w:w="6083"/>
      </w:tblGrid>
      <w:tr>
        <w:trPr>
          <w:cantSplit/>
          <w:tblHeader/>
        </w:trPr>
        <w:tc>
          <w:tcPr>
            <w:tcW w:type="dxa" w:w="9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Level</w:t>
            </w:r>
          </w:p>
        </w:tc>
        <w:tc>
          <w:tcPr>
            <w:tcW w:type="dxa" w:w="26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Use</w:t>
            </w:r>
          </w:p>
        </w:tc>
        <w:tc>
          <w:tcPr>
            <w:tcW w:type="dxa" w:w="608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Outline</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Short</w:t>
            </w:r>
          </w:p>
        </w:tc>
        <w:tc>
          <w:tcPr>
            <w:tcW w:type="dxa" w:w="2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Profiles on X, Instagram, Xiaohongshu (100 to 160 characters)</w:t>
            </w:r>
          </w:p>
        </w:tc>
        <w:tc>
          <w:tcPr>
            <w:tcW w:type="dxa" w:w="6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sentences of 6.3 “Drafts of the short text (three languages)” (within 100 characters including the notice code)</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Medium</w:t>
            </w:r>
          </w:p>
        </w:tc>
        <w:tc>
          <w:tcPr>
            <w:tcW w:type="dxa" w:w="2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When the profile has room</w:t>
            </w:r>
          </w:p>
        </w:tc>
        <w:tc>
          <w:tcPr>
            <w:tcW w:type="dxa" w:w="6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Short plus “How to check: &lt;public page URL&gt;” and “The CR mark is a mark of a record of the photo's provenance (C2PA), not a label of AI generation”</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Long</w:t>
            </w:r>
          </w:p>
        </w:tc>
        <w:tc>
          <w:tcPr>
            <w:tcW w:type="dxa" w:w="2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Pinned posts, Patreon's About</w:t>
            </w:r>
          </w:p>
        </w:tc>
        <w:tc>
          <w:tcPr>
            <w:tcW w:type="dxa" w:w="6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following items: where the rights lie; that unauthorized reposting and removal of Matching Data may be unlawful; the intention to make complaints and claim damages; the meaning of the identification number (a number in the image's record that can also be added after the file name; Design Plan D-7-7“Identification numbers are issued by the Client App and recorded automatically in the C2PA manifest. Whether they are appended to file names is chosen by the User when saving”) and how to check it; an explanation that the C2PA check mark is not a label of AI generation but a record of the photo's provenance; the notice code; how to check (public page URL; for obtaining, points to the README). A work registration number (a number of public registration) is a string the User can optionally write if they have one</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Each level is prepared in Japanese, Chinese, and English. The app fills in the User's handle name and notice code and shows them in an easy-to-copy form (a copy button).</w:t>
      </w:r>
    </w:p>
    <w:p>
      <w:pPr>
        <w:pStyle w:val="Heading2"/>
      </w:pPr>
      <w:r>
        <w:rPr>
          <w:rFonts w:ascii="Calibri" w:eastAsia="Yu Gothic" w:hAnsi="Calibri"/>
        </w:rPr>
        <w:t xml:space="preserve">6.2 Relation to matching Entitlement</w:t>
      </w:r>
    </w:p>
    <w:p>
      <w:pPr>
        <w:pStyle w:val="ListParagraph"/>
        <w:keepNext/>
        <w:keepLines/>
        <w:numPr>
          <w:ilvl w:val="0"/>
          <w:numId w:val="2"/>
        </w:numPr>
        <w:spacing w:after="20" w:before="20" w:line="300"/>
      </w:pPr>
      <w:r>
        <w:rPr>
          <w:rFonts w:ascii="Calibri" w:eastAsia="Yu Gothic" w:hAnsi="Calibri"/>
        </w:rPr>
        <w:t xml:space="preserve">The notice code is that of Chapter 2, DD-2-3“The clue to Entitlement is the notice code posted on the Notice account” and Chapter 1, 8.2 “Identifier scheme” (the fingerprint of the personal root). It lets anyone match the link between the signer of an image's C2PA signature and the Notice account (Chapter 2, 4.1 “Matching with the Notice account”).</w:t>
      </w:r>
    </w:p>
    <w:p>
      <w:pPr>
        <w:pStyle w:val="ListParagraph"/>
        <w:keepNext w:val="false"/>
        <w:keepLines/>
        <w:numPr>
          <w:ilvl w:val="0"/>
          <w:numId w:val="2"/>
        </w:numPr>
        <w:spacing w:after="20" w:before="20" w:line="300"/>
      </w:pPr>
      <w:r>
        <w:rPr>
          <w:rFonts w:ascii="Calibri" w:eastAsia="Yu Gothic" w:hAnsi="Calibri"/>
        </w:rPr>
        <w:t xml:space="preserve">If the posted Notice is deleted or rewritten, the clue for matching is lost. The app explains how to post the notice code and what it means to keep it posted (Chapter 10, G-04“Posting the Notice”). The System does not check the posting (D-5-5“The System provides the means of matching but does not perform matching on anyone’s behalf”).</w:t>
      </w:r>
    </w:p>
    <w:p>
      <w:pPr>
        <w:pStyle w:val="Heading2"/>
      </w:pPr>
      <w:r>
        <w:rPr>
          <w:rFonts w:ascii="Calibri" w:eastAsia="Yu Gothic" w:hAnsi="Calibri"/>
        </w:rPr>
        <w:t xml:space="preserve">6.3 Drafts of the short text (three languages)</w:t>
      </w:r>
    </w:p>
    <w:p>
      <w:pPr>
        <w:pStyle w:val="ListParagraph"/>
        <w:keepNext/>
        <w:keepLines/>
        <w:numPr>
          <w:ilvl w:val="0"/>
          <w:numId w:val="2"/>
        </w:numPr>
        <w:spacing w:after="20" w:before="20" w:line="300"/>
      </w:pPr>
      <w:r>
        <w:rPr>
          <w:rFonts w:ascii="Calibri" w:eastAsia="Yu Gothic" w:hAnsi="Calibri"/>
        </w:rPr>
        <w:t xml:space="preserve">Japanese: 「無断転載禁止。写真には C2PA署名・透かし・識別番号があります。{告知コード}」</w:t>
      </w:r>
    </w:p>
    <w:p>
      <w:pPr>
        <w:pStyle w:val="ListParagraph"/>
        <w:keepNext/>
        <w:keepLines/>
        <w:numPr>
          <w:ilvl w:val="0"/>
          <w:numId w:val="2"/>
        </w:numPr>
        <w:spacing w:after="20" w:before="20" w:line="300"/>
      </w:pPr>
      <w:r>
        <w:rPr>
          <w:rFonts w:ascii="Calibri" w:eastAsia="Yu Gothic" w:hAnsi="Calibri"/>
        </w:rPr>
        <w:t xml:space="preserve">English: "No reposting. My photos carry a C2PA signature, watermark and ID. {notice code}"</w:t>
      </w:r>
    </w:p>
    <w:p>
      <w:pPr>
        <w:pStyle w:val="ListParagraph"/>
        <w:keepNext/>
        <w:keepLines/>
        <w:numPr>
          <w:ilvl w:val="0"/>
          <w:numId w:val="2"/>
        </w:numPr>
        <w:spacing w:after="20" w:before="20" w:line="300"/>
      </w:pPr>
      <w:r>
        <w:rPr>
          <w:rFonts w:ascii="Calibri" w:eastAsia="Yu Gothic" w:hAnsi="Calibri"/>
        </w:rPr>
        <w:t xml:space="preserve">Chinese (Simplified): 「禁止转载。照片含 C2PA 签名、水印及识别编号。{notice code}」</w:t>
      </w:r>
    </w:p>
    <w:p>
      <w:pPr>
        <w:pStyle w:val="ListParagraph"/>
        <w:keepNext/>
        <w:keepLines/>
        <w:numPr>
          <w:ilvl w:val="0"/>
          <w:numId w:val="2"/>
        </w:numPr>
        <w:spacing w:after="20" w:before="20" w:line="300"/>
      </w:pPr>
      <w:r>
        <w:rPr>
          <w:rFonts w:ascii="Calibri" w:eastAsia="Yu Gothic" w:hAnsi="Calibri"/>
        </w:rPr>
        <w:t xml:space="preserve">Character count: the notice code is 28 characters, and the sentences above, including the notice code, are 61 characters in Japanese, 53 in Chinese, and 94 in English (recounted on 2026-10-01), all within 100 characters (within X's 160 characters, Instagram's 150 characters, and Xiaohongshu's roughly 100 characters; Chapter 2, 2.2 “Limits of the places where notice codes are posted”).</w:t>
      </w:r>
    </w:p>
    <w:p>
      <w:pPr>
        <w:pStyle w:val="ListParagraph"/>
        <w:keepNext w:val="false"/>
        <w:keepLines/>
        <w:numPr>
          <w:ilvl w:val="0"/>
          <w:numId w:val="2"/>
        </w:numPr>
        <w:spacing w:after="20" w:before="20" w:line="300"/>
      </w:pPr>
      <w:r>
        <w:rPr>
          <w:rFonts w:ascii="Calibri" w:eastAsia="Yu Gothic" w:hAnsi="Calibri"/>
        </w:rPr>
        <w:t xml:space="preserve">These are drafts, and review is as in 3.7.</w:t>
      </w:r>
    </w:p>
    <w:p>
      <w:pPr>
        <w:pStyle w:val="Heading1"/>
      </w:pPr>
      <w:r>
        <w:rPr>
          <w:rFonts w:ascii="Calibri" w:eastAsia="Yu Gothic" w:hAnsi="Calibri"/>
        </w:rPr>
        <w:t xml:space="preserve">7. Mapping to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3"/>
        <w:gridCol w:w="3005"/>
      </w:tblGrid>
      <w:tr>
        <w:trPr>
          <w:cantSplit/>
          <w:tblHeader/>
        </w:trPr>
        <w:tc>
          <w:tcPr>
            <w:tcW w:type="dxa" w:w="663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Requirement number (text in the Outline Design Document)</w:t>
            </w:r>
          </w:p>
        </w:tc>
        <w:tc>
          <w:tcPr>
            <w:tcW w:type="dxa" w:w="300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Sections in this chapter</w:t>
            </w:r>
          </w:p>
        </w:tc>
      </w:tr>
      <w:tr>
        <w:trPr>
          <w:cantSplit/>
          <w:tblHeader w:val="off"/>
        </w:trPr>
        <w:tc>
          <w:tcPr>
            <w:tcW w:type="dxa" w:w="6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R-5-1-1</w:t>
            </w:r>
          </w:p>
        </w:tc>
        <w:tc>
          <w:tcPr>
            <w:tcW w:type="dxa" w:w="30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 “Permitted Scope”</w:t>
            </w:r>
          </w:p>
        </w:tc>
      </w:tr>
      <w:tr>
        <w:trPr>
          <w:cantSplit/>
          <w:tblHeader w:val="off"/>
        </w:trPr>
        <w:tc>
          <w:tcPr>
            <w:tcW w:type="dxa" w:w="6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R-5-1-2</w:t>
            </w:r>
          </w:p>
        </w:tc>
        <w:tc>
          <w:tcPr>
            <w:tcW w:type="dxa" w:w="30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 “Permitted Scope”</w:t>
            </w:r>
          </w:p>
        </w:tc>
      </w:tr>
      <w:tr>
        <w:trPr>
          <w:cantSplit/>
          <w:tblHeader w:val="off"/>
        </w:trPr>
        <w:tc>
          <w:tcPr>
            <w:tcW w:type="dxa" w:w="6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R-5-1-3</w:t>
            </w:r>
          </w:p>
        </w:tc>
        <w:tc>
          <w:tcPr>
            <w:tcW w:type="dxa" w:w="30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 “Permitted Scope”</w:t>
            </w:r>
          </w:p>
        </w:tc>
      </w:tr>
      <w:tr>
        <w:trPr>
          <w:cantSplit/>
          <w:tblHeader w:val="off"/>
        </w:trPr>
        <w:tc>
          <w:tcPr>
            <w:tcW w:type="dxa" w:w="6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R-5-2-1</w:t>
            </w:r>
          </w:p>
        </w:tc>
        <w:tc>
          <w:tcPr>
            <w:tcW w:type="dxa" w:w="30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 “Enclosed Document”</w:t>
            </w:r>
          </w:p>
        </w:tc>
      </w:tr>
      <w:tr>
        <w:trPr>
          <w:cantSplit/>
          <w:tblHeader w:val="off"/>
        </w:trPr>
        <w:tc>
          <w:tcPr>
            <w:tcW w:type="dxa" w:w="6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R-5-2-2</w:t>
            </w:r>
          </w:p>
        </w:tc>
        <w:tc>
          <w:tcPr>
            <w:tcW w:type="dxa" w:w="30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 “Enclosed Document”</w:t>
            </w:r>
          </w:p>
        </w:tc>
      </w:tr>
      <w:tr>
        <w:trPr>
          <w:cantSplit/>
          <w:tblHeader w:val="off"/>
        </w:trPr>
        <w:tc>
          <w:tcPr>
            <w:tcW w:type="dxa" w:w="6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R-5-3-1</w:t>
            </w:r>
          </w:p>
        </w:tc>
        <w:tc>
          <w:tcPr>
            <w:tcW w:type="dxa" w:w="30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 “Management of the Wording”</w:t>
            </w:r>
          </w:p>
        </w:tc>
      </w:tr>
      <w:tr>
        <w:trPr>
          <w:cantSplit/>
          <w:tblHeader w:val="off"/>
        </w:trPr>
        <w:tc>
          <w:tcPr>
            <w:tcW w:type="dxa" w:w="6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R-5-3-2</w:t>
            </w:r>
          </w:p>
        </w:tc>
        <w:tc>
          <w:tcPr>
            <w:tcW w:type="dxa" w:w="30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 “Management of the Wording”</w:t>
            </w:r>
          </w:p>
        </w:tc>
      </w:tr>
      <w:tr>
        <w:trPr>
          <w:cantSplit/>
          <w:tblHeader w:val="off"/>
        </w:trPr>
        <w:tc>
          <w:tcPr>
            <w:tcW w:type="dxa" w:w="6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R-5-4-1</w:t>
            </w:r>
          </w:p>
        </w:tc>
        <w:tc>
          <w:tcPr>
            <w:tcW w:type="dxa" w:w="30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5 “Countries”</w:t>
            </w:r>
          </w:p>
        </w:tc>
      </w:tr>
      <w:tr>
        <w:trPr>
          <w:cantSplit/>
          <w:tblHeader w:val="off"/>
        </w:trPr>
        <w:tc>
          <w:tcPr>
            <w:tcW w:type="dxa" w:w="6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R-5-5-1</w:t>
            </w:r>
          </w:p>
        </w:tc>
        <w:tc>
          <w:tcPr>
            <w:tcW w:type="dxa" w:w="30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6 “Support for Notices”</w:t>
            </w:r>
          </w:p>
        </w:tc>
      </w:tr>
      <w:tr>
        <w:trPr>
          <w:cantSplit/>
          <w:tblHeader w:val="off"/>
        </w:trPr>
        <w:tc>
          <w:tcPr>
            <w:tcW w:type="dxa" w:w="6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R-5-5-2</w:t>
            </w:r>
          </w:p>
        </w:tc>
        <w:tc>
          <w:tcPr>
            <w:tcW w:type="dxa" w:w="30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6 “Support for Notices”</w:t>
            </w:r>
          </w:p>
        </w:tc>
      </w:tr>
    </w:tbl>
    <w:p>
      <w:pPr>
        <w:spacing w:after="100" w:before="0"/>
      </w:pPr>
    </w:p>
    <w:p>
      <w:pPr>
        <w:pStyle w:val="Heading1"/>
      </w:pPr>
      <w:r>
        <w:rPr>
          <w:rFonts w:ascii="Calibri" w:eastAsia="Yu Gothic" w:hAnsi="Calibri"/>
        </w:rPr>
        <w:t xml:space="preserve">8. Gaps Declared in This Chapter</w:t>
      </w:r>
    </w:p>
    <w:p>
      <w:pPr>
        <w:pStyle w:val="ListParagraph"/>
        <w:keepNext w:val="false"/>
        <w:keepLines/>
        <w:numPr>
          <w:ilvl w:val="0"/>
          <w:numId w:val="2"/>
        </w:numPr>
        <w:spacing w:after="20" w:before="20" w:line="300"/>
      </w:pPr>
      <w:r>
        <w:rPr>
          <w:rFonts w:ascii="Calibri" w:eastAsia="Yu Gothic" w:hAnsi="Calibri"/>
        </w:rPr>
        <w:t xml:space="preserve">The gaps of this chapter follow the table in Chapter 13, 4.1 “Gaps in the mechanism” (the rows whose chapter column is this chapter; with why they cannot be closed, the extent addressed, the remaining risks, and who bears them) (not reproduced in this chapter).</w:t>
      </w:r>
    </w:p>
    <w:p>
      <w:pPr>
        <w:pStyle w:val="Heading1"/>
      </w:pPr>
      <w:r>
        <w:rPr>
          <w:rFonts w:ascii="Calibri" w:eastAsia="Yu Gothic" w:hAnsi="Calibri"/>
        </w:rPr>
        <w:t xml:space="preserve">9. Corrections to the Outline Design Document</w:t>
      </w:r>
    </w:p>
    <w:p>
      <w:pPr>
        <w:pStyle w:val="ListParagraph"/>
        <w:keepNext/>
        <w:keepLines/>
        <w:numPr>
          <w:ilvl w:val="0"/>
          <w:numId w:val="2"/>
        </w:numPr>
        <w:spacing w:after="20" w:before="20" w:line="300"/>
      </w:pPr>
      <w:r>
        <w:rPr>
          <w:rFonts w:ascii="Calibri" w:eastAsia="Yu Gothic" w:hAnsi="Calibri"/>
        </w:rPr>
        <w:t xml:space="preserve">O-04“Options for the Permitted Scope” (the options of the Permitted Scope) is resolved in 2.1 of this document.</w:t>
      </w:r>
    </w:p>
    <w:p>
      <w:pPr>
        <w:pStyle w:val="ListParagraph"/>
        <w:keepNext w:val="false"/>
        <w:keepLines/>
        <w:numPr>
          <w:ilvl w:val="0"/>
          <w:numId w:val="2"/>
        </w:numPr>
        <w:spacing w:after="20" w:before="20" w:line="300"/>
      </w:pPr>
      <w:r>
        <w:rPr>
          <w:rFonts w:ascii="Calibri" w:eastAsia="Yu Gothic" w:hAnsi="Calibri"/>
        </w:rPr>
        <w:t xml:space="preserve">State the format of 5-2 as “TXT (the common part with three languages in one file, the country part per country) and machine-readable JSON”.</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Anti-Repost Tool for Cosplay Photos Basic Design Document Chapter 5: Rights Documents  Edition 1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Yu Gothic" w:hAnsi="Calibri"/>
        <w:sz w:val="21"/>
        <w:szCs w:val="21"/>
        <w:lang w:val="en-US"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345A8A"/>
      <w:sz w:val="30"/>
      <w:szCs w:val="30"/>
    </w:rPr>
  </w:style>
  <w:style w:type="paragraph" w:styleId="Heading2">
    <w:name w:val="Heading 2"/>
    <w:basedOn w:val="Normal"/>
    <w:next w:val="Normal"/>
    <w:qFormat/>
    <w:pPr>
      <w:keepNext/>
      <w:spacing w:after="100" w:before="280"/>
      <w:outlineLvl w:val="1"/>
    </w:pPr>
    <w:rPr>
      <w:rFonts w:ascii="Calibri" w:cs="Calibri" w:eastAsia="Calibri" w:hAnsi="Calibri"/>
      <w:b/>
      <w:bCs/>
      <w:color w:val="4F81BD"/>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Design Document Chapter 5: Rights Documents</dc:title>
  <dc:creator>Ishikawa Sou</dc:creator>
  <cp:lastModifiedBy>Un-named</cp:lastModifiedBy>
  <cp:revision>1</cp:revision>
  <dcterms:created xsi:type="dcterms:W3CDTF">2026-10-01T13:29:07.160Z</dcterms:created>
  <dcterms:modified xsi:type="dcterms:W3CDTF">2026-10-01T13:29:07.161Z</dcterms:modified>
</cp:coreProperties>
</file>

<file path=docProps/custom.xml><?xml version="1.0" encoding="utf-8"?>
<Properties xmlns="http://schemas.openxmlformats.org/officeDocument/2006/custom-properties" xmlns:vt="http://schemas.openxmlformats.org/officeDocument/2006/docPropsVTypes"/>
</file>