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10: Screens and Design</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Design</w:t>
      </w:r>
    </w:p>
    <w:p>
      <w:pPr>
        <w:spacing w:after="40" w:before="40"/>
        <w:ind w:left="240"/>
      </w:pPr>
      <w:r>
        <w:rPr>
          <w:rFonts w:ascii="Calibri" w:cs="Calibri" w:eastAsia="Calibri" w:hAnsi="Calibri"/>
          <w:sz w:val="22"/>
          <w:szCs w:val="22"/>
        </w:rPr>
        <w:t xml:space="preserve">3. Screen Structure</w:t>
      </w:r>
    </w:p>
    <w:p>
      <w:pPr>
        <w:spacing w:after="40" w:before="40"/>
        <w:ind w:left="240"/>
      </w:pPr>
      <w:r>
        <w:rPr>
          <w:rFonts w:ascii="Calibri" w:cs="Calibri" w:eastAsia="Calibri" w:hAnsi="Calibri"/>
          <w:sz w:val="22"/>
          <w:szCs w:val="22"/>
        </w:rPr>
        <w:t xml:space="preserve">4. Mapping of Requirements to Screens</w:t>
      </w:r>
    </w:p>
    <w:p>
      <w:pPr>
        <w:spacing w:after="40" w:before="40"/>
        <w:ind w:left="240"/>
      </w:pPr>
      <w:r>
        <w:rPr>
          <w:rFonts w:ascii="Calibri" w:cs="Calibri" w:eastAsia="Calibri" w:hAnsi="Calibri"/>
          <w:sz w:val="22"/>
          <w:szCs w:val="22"/>
        </w:rPr>
        <w:t xml:space="preserve">5. Languages</w:t>
      </w:r>
    </w:p>
    <w:p>
      <w:pPr>
        <w:spacing w:after="40" w:before="40"/>
        <w:ind w:left="240"/>
      </w:pPr>
      <w:r>
        <w:rPr>
          <w:rFonts w:ascii="Calibri" w:cs="Calibri" w:eastAsia="Calibri" w:hAnsi="Calibri"/>
          <w:sz w:val="22"/>
          <w:szCs w:val="22"/>
        </w:rPr>
        <w:t xml:space="preserve">6. Guidance</w:t>
      </w:r>
    </w:p>
    <w:p>
      <w:pPr>
        <w:spacing w:after="40" w:before="40"/>
        <w:ind w:left="240"/>
      </w:pPr>
      <w:r>
        <w:rPr>
          <w:rFonts w:ascii="Calibri" w:cs="Calibri" w:eastAsia="Calibri" w:hAnsi="Calibri"/>
          <w:sz w:val="22"/>
          <w:szCs w:val="22"/>
        </w:rPr>
        <w:t xml:space="preserve">7. Considerations in Display</w:t>
      </w:r>
    </w:p>
    <w:p>
      <w:pPr>
        <w:spacing w:after="40" w:before="40"/>
        <w:ind w:left="240"/>
      </w:pPr>
      <w:r>
        <w:rPr>
          <w:rFonts w:ascii="Calibri" w:cs="Calibri" w:eastAsia="Calibri" w:hAnsi="Calibri"/>
          <w:sz w:val="22"/>
          <w:szCs w:val="22"/>
        </w:rPr>
        <w:t xml:space="preserve">8. OS Integration</w:t>
      </w:r>
    </w:p>
    <w:p>
      <w:pPr>
        <w:spacing w:after="40" w:before="40"/>
        <w:ind w:left="240"/>
      </w:pPr>
      <w:r>
        <w:rPr>
          <w:rFonts w:ascii="Calibri" w:cs="Calibri" w:eastAsia="Calibri" w:hAnsi="Calibri"/>
          <w:sz w:val="22"/>
          <w:szCs w:val="22"/>
        </w:rPr>
        <w:t xml:space="preserve">9. Feedback Channel</w:t>
      </w:r>
    </w:p>
    <w:p>
      <w:pPr>
        <w:spacing w:after="40" w:before="40"/>
        <w:ind w:left="240"/>
      </w:pPr>
      <w:r>
        <w:rPr>
          <w:rFonts w:ascii="Calibri" w:cs="Calibri" w:eastAsia="Calibri" w:hAnsi="Calibri"/>
          <w:sz w:val="22"/>
          <w:szCs w:val="22"/>
        </w:rPr>
        <w:t xml:space="preserve">10. Settings</w:t>
      </w:r>
    </w:p>
    <w:p>
      <w:pPr>
        <w:spacing w:after="40" w:before="40"/>
        <w:ind w:left="240"/>
      </w:pPr>
      <w:r>
        <w:rPr>
          <w:rFonts w:ascii="Calibri" w:cs="Calibri" w:eastAsia="Calibri" w:hAnsi="Calibri"/>
          <w:sz w:val="22"/>
          <w:szCs w:val="22"/>
        </w:rPr>
        <w:t xml:space="preserve">11. Mapping to Requirements</w:t>
      </w:r>
    </w:p>
    <w:p>
      <w:pPr>
        <w:spacing w:after="40" w:before="40"/>
        <w:ind w:left="240"/>
      </w:pPr>
      <w:r>
        <w:rPr>
          <w:rFonts w:ascii="Calibri" w:cs="Calibri" w:eastAsia="Calibri" w:hAnsi="Calibri"/>
          <w:sz w:val="22"/>
          <w:szCs w:val="22"/>
        </w:rPr>
        <w:t xml:space="preserve">12. Gaps Declared in This Chapter</w:t>
      </w:r>
    </w:p>
    <w:p>
      <w:pPr>
        <w:spacing w:after="40" w:before="40"/>
        <w:ind w:left="240"/>
      </w:pPr>
      <w:r>
        <w:rPr>
          <w:rFonts w:ascii="Calibri" w:cs="Calibri" w:eastAsia="Calibri" w:hAnsi="Calibri"/>
          <w:sz w:val="22"/>
          <w:szCs w:val="22"/>
        </w:rPr>
        <w:t xml:space="preserve">13.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10 of the Outline Design Document. This chapter fits the Users' operations of the requirements of all chapters into screens, and is written after the basic design of the other chapters. It is designed together with Chapter 12 “Interface with Legal” (Chapters 10 and 12 depend on each other).</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 (the decisions, items to be investigated, and open items of Design Plan Edition 2, and omissions found in the item breakdown). The texts of the Design Plan's decisions, items to be investigated, and open items are per Chapter 13, 1.2 “Mapping from Design Plan decisions to the Outline Design Document and basic design” and the destination table of the Outline Design Document (not reproduced in this chapter; only the numbers and the omissions found in the item breakdown are listed).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837"/>
        <w:gridCol w:w="4791"/>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8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47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A-13</w:t>
            </w:r>
          </w:p>
        </w:tc>
        <w:tc>
          <w:tcPr>
            <w:tcW w:type="dxa" w:w="38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47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feedback channel for Users who do not look at GitHub</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A-14</w:t>
            </w:r>
          </w:p>
        </w:tc>
        <w:tc>
          <w:tcPr>
            <w:tcW w:type="dxa" w:w="38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47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NRSD's position and the Terms of Use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Terms: “C2PA signature” and “Visible Signature” are written distinctly (Chapter 1, “Position of This Document”). On screen, the work of outputting images with a C2PA signature, invisible watermark, Visible Signature, and identification number is collectively called “export”. The operation of taking records (evidence packages, templates, backup files) outside the device as files is called “extract”, not “export” (for backup files, “create a backup”).</w:t>
      </w:r>
    </w:p>
    <w:p>
      <w:pPr>
        <w:pStyle w:val="ListParagraph"/>
        <w:keepNext w:val="false"/>
        <w:keepLines/>
        <w:numPr>
          <w:ilvl w:val="0"/>
          <w:numId w:val="2"/>
        </w:numPr>
        <w:spacing w:after="20" w:before="20" w:line="300"/>
      </w:pPr>
      <w:r>
        <w:rPr>
          <w:rFonts w:ascii="Calibri" w:eastAsia="Yu Gothic" w:hAnsi="Calibri"/>
        </w:rPr>
        <w:t xml:space="preserve">The references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8"/>
        <w:gridCol w:w="4140"/>
      </w:tblGrid>
      <w:tr>
        <w:trPr>
          <w:cantSplit/>
          <w:tblHeader/>
        </w:trPr>
        <w:tc>
          <w:tcPr>
            <w:tcW w:type="dxa" w:w="54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Reference</w:t>
            </w:r>
          </w:p>
        </w:tc>
        <w:tc>
          <w:tcPr>
            <w:tcW w:type="dxa" w:w="41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referred to</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 “Input of Information for C2PA Signatures”, 4 “The Means of Matching and the Clues”</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Input of information for C2PA signatures, matching clues</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 9 “Batch Processing”, 10 “Output”</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Batch processing, output, Verify</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“Image Editing and Batch Application”</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Editing the Visible Signature and batch application</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5, 2 “Permitted Scope”</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Permitted Scope</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6, 2 “Registration”, 4 “Matching”, 6 “Status Checking”</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matching, status</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7, 3 “Model Texts”, 6 “Flow of Complaints”, 7 “Where the Line Is Drawn”</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Flow of complaints, personal information, where the guidance draws the line</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8, 5 “Backup Files”</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Creating and importing backups</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11 “Development Base”</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How screens are built (Tauri), text files</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12, 6 “What Is Returned to the Screens”</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What is returned to the screens</w:t>
            </w:r>
          </w:p>
        </w:tc>
      </w:tr>
      <w:tr>
        <w:trPr>
          <w:cantSplit/>
          <w:tblHeader w:val="off"/>
        </w:trPr>
        <w:tc>
          <w:tcPr>
            <w:tcW w:type="dxa" w:w="54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Legal Research L-19“Font licenses”, L-29“Commissioning design and characters (Japan)”</w:t>
            </w:r>
          </w:p>
        </w:tc>
        <w:tc>
          <w:tcPr>
            <w:tcW w:type="dxa" w:w="41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Font licenses, commissioning design and characters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Scope: the screens of the Client App. Screens of the operator tool are dealt with in Chapter 1, 19 “Operator Tool” (as set in the scope of the Outline Design Document). The structure of the README and public page is in Chapter 9, 5 “Download Routes” and Chapter 8 “Repository and Data Management”.</w:t>
      </w: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905"/>
        <w:gridCol w:w="2867"/>
        <w:gridCol w:w="2856"/>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9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28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8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DD-10-1</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look is “pale colors, rounded shapes and letters, and one guide character”. The character is NRSD's original, and appears only at first-run guidance, empty states, completion, and errors; it does not appear on working screens (editing, lists)</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like characters and cute things, and software that looks bad is not used (D-8-1“The Client App shall have an appealing appearance. Appearance is treated as a requirement directly tied to the effectiveness of the System”). Showing it even on working screens would get in the way of checking photos</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character (contrary to D-8-1“The Client App shall have an appealing appearance. Appearance is treated as a requirement directly tied to the effectiveness of the System”). A character in the style of an existing work (would touch the rights of original works ourselves; L-29“Commissioning design and characters (Japan)”)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DD-10-2</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(colors, components, character) is done by NRSD's Lead Developer, who also judges whether the look passes. Understandability is judged by User trials (2.4). The contractual issues for commissioning an external designer in the future are placed in Legal L-29“Commissioning design and characters (Japan)”</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is no designer to commission (2026-09-30, NRSD). Look is a matter of taste, so one judge is appointed</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Commissioning an external designer (second draft; there is no one to commission). Judging by majority vote (would not be decided)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DD-10-3</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is one window, with a vertical navigation on the left (Home, Edit, Export, Works, Reposts, Verify) and settings and help at the bottom. Work with several stages (first-run input, export, registration, taking action) proceeds within the window with the stages shown at the top</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Non-technical people can always see “where am I now, and how many steps remain”. One window shows fewer OS differences</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Opening several windows (confusing). Making everything a wizard (slow for experienced Users)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DD-10-4</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Readability is judged against all success criteria of WCAG 2.2 one by one (all of A and AA are met; of AAA, those met are enumerated), by the definition in 2.7 (aspect, criterion, value, and how it is measured) (2026-09-30, NRSD's requirement). Formerly: WCAG 2.2 AA (text contrast 4.5:1 or more, component boundaries 3:1 or more, meaning not conveyed by color alone, no breakage with text enlarged to 200%)</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Consideration for diversity of color vision and for fatigue from long hours viewing photos. Basing criteria on an external standard makes them judgeable</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Custom criteria (cannot be judged)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DD-10-5</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OS integration (right-click menus, etc.) is provided. Dragging and dropping photos and folders onto the window takes its place. Reordering of layers within the screen is built with pointer events (press, move, release) rather than HTML5 drag and drop</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Windows 11's new right-click menu puts conventional registrations behind “Show more options”, macOS requires a separate extension executable, and Linux differs by file manager, so the three OSes would not give the same experience. Drag and drop works the same on the three OSes. When the setting to accept files dropped onto the window (Tauri's dragDropEnabled) is enabled, HTML5 drag and drop within the screen cannot be used on Windows (the description in config.rs of tauri-utils: “Disabling it is required to use HTML5 drag and drop on the frontend on Windows”)</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Registering in the right-click menu on Windows only (explanations would differ by OS)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DD-10-6</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the feedback channel, the app composes the feedback text and the User sends it to NRSD by their own e-mail (opening the e-mail software, or copying the text and address). The app does not send automatically</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Users do not look at GitHub (D-3-3“Users shall be able to use the System without looking at GitHub”). NRSD has no servers (DD-1-2“NRSD has no servers and receives no User information (except feedback e-mails Users send themselves)”) and does not collect Users' information (D-5-1“The System does not confirm Users and collects no User information. No registration is required in order to use the System”). The User decides whether to send and what to attach</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GitHub Issues (shows GitHub to Users). An external form service (sends information to a third party). Sending automatically from the app</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DD-10-7</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languages are Japanese (ja), Simplified Chinese (zh-Hans), and English (en). Glyph shapes are matched by switching fonts per language. Traditional Chinese is added on request</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D-9-8“The display languages are Japanese, Chinese, and English, with others added on request”. Users in mainland China use Simplified Chinese. The same kanji differ in glyph shape between Japan and China</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Covering Chinese with one font (would display Chinese in Japanese glyph shapes)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DD-10-8</w:t>
            </w:r>
          </w:p>
        </w:tc>
        <w:tc>
          <w:tcPr>
            <w:tcW w:type="dxa" w:w="2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Error displays are unified into a form that always shows four things: “what happened / are the Original and records safe / what to do next / code”</w:t>
            </w:r>
          </w:p>
        </w:tc>
        <w:tc>
          <w:tcPr>
            <w:tcW w:type="dxa" w:w="28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What non-technical people want to know first is “are my photos safe”. The code is for identifying the cause through feedback (DD-10-6“Feedback is sent by the User from their own e-mail”)</w:t>
            </w:r>
          </w:p>
        </w:tc>
        <w:tc>
          <w:tcPr>
            <w:tcW w:type="dxa" w:w="28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Showing technical content as is</w:t>
            </w:r>
          </w:p>
        </w:tc>
      </w:tr>
    </w:tbl>
    <w:p>
      <w:pPr>
        <w:spacing w:after="100" w:before="0"/>
      </w:pPr>
    </w:p>
    <w:p>
      <w:pPr>
        <w:pStyle w:val="Heading1"/>
      </w:pPr>
      <w:r>
        <w:rPr>
          <w:rFonts w:ascii="Calibri" w:eastAsia="Yu Gothic" w:hAnsi="Calibri"/>
        </w:rPr>
        <w:t xml:space="preserve">2. Design</w:t>
      </w:r>
    </w:p>
    <w:p>
      <w:pPr>
        <w:pStyle w:val="Heading2"/>
      </w:pPr>
      <w:r>
        <w:rPr>
          <w:rFonts w:ascii="Calibri" w:eastAsia="Yu Gothic" w:hAnsi="Calibri"/>
        </w:rPr>
        <w:t xml:space="preserve">2.1 Direction (rough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8418"/>
      </w:tblGrid>
      <w:tr>
        <w:trPr>
          <w:cantSplit/>
          <w:tblHeader/>
        </w:trPr>
        <w:tc>
          <w:tcPr>
            <w:tcW w:type="dxa" w:w="12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Element</w:t>
            </w:r>
          </w:p>
        </w:tc>
        <w:tc>
          <w:tcPr>
            <w:tcW w:type="dxa" w:w="84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Policy</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Color</w:t>
            </w:r>
          </w:p>
        </w:tc>
        <w:tc>
          <w:tcPr>
            <w:tcW w:type="dxa" w:w="8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Pale pink as the ground, deep pink as the primary color, blue as the secondary color. Has light and dark modes, following the OS setting (can also be fixed in settings)</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Shape</w:t>
            </w:r>
          </w:p>
        </w:tc>
        <w:tc>
          <w:tcPr>
            <w:tcW w:type="dxa" w:w="8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Components with rounded corners (radius 8 to 12 pixels), with weak shadows of one level only</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w:t>
            </w:r>
          </w:p>
        </w:tc>
        <w:tc>
          <w:tcPr>
            <w:tcW w:type="dxa" w:w="8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Rounded gothic type (2.2)</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Character</w:t>
            </w:r>
          </w:p>
        </w:tc>
        <w:tc>
          <w:tcPr>
            <w:tcW w:type="dxa" w:w="8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guide. Motif proposal: “a small creature holding a wax seal (sealing stamp)” (a metaphor for sealing by C2PA signature). Six expressions (normal, happy, thinking, troubled, caution, good night (when offline)). The name is decided by the Lead Developer</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Showing photos</w:t>
            </w:r>
          </w:p>
        </w:tc>
        <w:tc>
          <w:tcPr>
            <w:tcW w:type="dxa" w:w="8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 working screens the ground color switches to achromatic (gray) so as not to disturb judgment of photo colors</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Motion</w:t>
            </w:r>
          </w:p>
        </w:tc>
        <w:tc>
          <w:tcPr>
            <w:tcW w:type="dxa" w:w="8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screen transitions and completion effects. Stopped by the OS's “reduce motion” setting or by the app's setting</w:t>
            </w:r>
          </w:p>
        </w:tc>
      </w:tr>
    </w:tbl>
    <w:p>
      <w:pPr>
        <w:spacing w:after="100" w:before="0"/>
      </w:pPr>
    </w:p>
    <w:p>
      <w:pPr>
        <w:pStyle w:val="Heading2"/>
      </w:pPr>
      <w:r>
        <w:rPr>
          <w:rFonts w:ascii="Calibri" w:eastAsia="Yu Gothic" w:hAnsi="Calibri"/>
        </w:rPr>
        <w:t xml:space="preserve">2.2 Fonts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3319"/>
        <w:gridCol w:w="1760"/>
        <w:gridCol w:w="1135"/>
        <w:gridCol w:w="2204"/>
      </w:tblGrid>
      <w:tr>
        <w:trPr>
          <w:cantSplit/>
          <w:tblHeader/>
        </w:trPr>
        <w:tc>
          <w:tcPr>
            <w:tcW w:type="dxa" w:w="12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w:t>
            </w:r>
          </w:p>
        </w:tc>
        <w:tc>
          <w:tcPr>
            <w:tcW w:type="dxa" w:w="33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Japanese</w:t>
            </w:r>
          </w:p>
        </w:tc>
        <w:tc>
          <w:tcPr>
            <w:tcW w:type="dxa" w:w="17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Chinese (Simplified)</w:t>
            </w:r>
          </w:p>
        </w:tc>
        <w:tc>
          <w:tcPr>
            <w:tcW w:type="dxa" w:w="11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English</w:t>
            </w:r>
          </w:p>
        </w:tc>
        <w:tc>
          <w:tcPr>
            <w:tcW w:type="dxa" w:w="22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License</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 text</w:t>
            </w:r>
          </w:p>
        </w:tc>
        <w:tc>
          <w:tcPr>
            <w:tcW w:type="dxa" w:w="3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Zen Maru Gothic</w:t>
            </w:r>
          </w:p>
        </w:tc>
        <w:tc>
          <w:tcPr>
            <w:tcW w:type="dxa" w:w="1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Resource Han Rounded CN (资源圆体)</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Latin of Zen Maru Gothic</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All SIL OFL 1.1 (Google Fonts, github.com/CyanoHao/Resource-Han-Rounded)</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 input (handle name, etc.)</w:t>
            </w:r>
          </w:p>
        </w:tc>
        <w:tc>
          <w:tcPr>
            <w:tcW w:type="dxa" w:w="3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Characters not in the fonts above are displayed with OS fonts</w:t>
            </w:r>
          </w:p>
        </w:tc>
        <w:tc>
          <w:tcPr>
            <w:tcW w:type="dxa" w:w="1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Visible Signature</w:t>
            </w:r>
          </w:p>
        </w:tc>
        <w:tc>
          <w:tcPr>
            <w:tcW w:type="dxa" w:w="3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As in Chapter 4, DD-4-7“Bundled fonts are limited to SIL OFL 1.1 and are not modified” (separate from screen fonts)</w:t>
            </w:r>
          </w:p>
        </w:tc>
        <w:tc>
          <w:tcPr>
            <w:tcW w:type="dxa" w:w="17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2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two fonts total about 18 MB (Zen Maru Gothic about 3.8 MB, Resource Han Rounded CN about 14.7 MB; measured in Chapter 11, 4.3 “Assets”). They are bundled unmodified (without subsetting) (Legal Research L-19“Font licenses”).</w:t>
      </w:r>
    </w:p>
    <w:p>
      <w:pPr>
        <w:pStyle w:val="Heading2"/>
      </w:pPr>
      <w:r>
        <w:rPr>
          <w:rFonts w:ascii="Calibri" w:eastAsia="Yu Gothic" w:hAnsi="Calibri"/>
        </w:rPr>
        <w:t xml:space="preserve">2.3 Colors</w:t>
      </w:r>
    </w:p>
    <w:p>
      <w:pPr>
        <w:pStyle w:val="ListParagraph"/>
        <w:keepNext/>
        <w:keepLines/>
        <w:numPr>
          <w:ilvl w:val="0"/>
          <w:numId w:val="2"/>
        </w:numPr>
        <w:spacing w:after="20" w:before="20" w:line="300"/>
      </w:pPr>
      <w:r>
        <w:rPr>
          <w:rFonts w:ascii="Calibri" w:eastAsia="Yu Gothic" w:hAnsi="Calibri"/>
        </w:rPr>
        <w:t xml:space="preserve">All colors are defined with names (the “Name” in the table below), and components do not hold direct color values. The “Light mode” and “Dark mode” columns of the table are filled with that color. The values and the contrast ratio against the ground color (computed with the WCAG formula) are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4"/>
        <w:gridCol w:w="1582"/>
        <w:gridCol w:w="1763"/>
        <w:gridCol w:w="924"/>
        <w:gridCol w:w="1763"/>
        <w:gridCol w:w="2682"/>
      </w:tblGrid>
      <w:tr>
        <w:trPr>
          <w:cantSplit/>
          <w:tblHeader/>
        </w:trPr>
        <w:tc>
          <w:tcPr>
            <w:tcW w:type="dxa" w:w="9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Name</w:t>
            </w:r>
          </w:p>
        </w:tc>
        <w:tc>
          <w:tcPr>
            <w:tcW w:type="dxa" w:w="15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Light mode</w:t>
            </w:r>
          </w:p>
        </w:tc>
        <w:tc>
          <w:tcPr>
            <w:tcW w:type="dxa" w:w="17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Ratio (ground #FFF7FA)</w:t>
            </w:r>
          </w:p>
        </w:tc>
        <w:tc>
          <w:tcPr>
            <w:tcW w:type="dxa" w:w="9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Dark mode</w:t>
            </w:r>
          </w:p>
        </w:tc>
        <w:tc>
          <w:tcPr>
            <w:tcW w:type="dxa" w:w="17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Ratio (ground #1E1820)</w:t>
            </w:r>
          </w:p>
        </w:tc>
        <w:tc>
          <w:tcPr>
            <w:tcW w:type="dxa" w:w="26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Use</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bg</w:t>
            </w:r>
          </w:p>
        </w:tc>
        <w:tc>
          <w:tcPr>
            <w:tcW w:type="dxa" w:w="1582"/>
            <w:tcBorders>
              <w:top w:val="single" w:color="A6B8D0" w:sz="4"/>
              <w:left w:val="single" w:color="A6B8D0" w:sz="4"/>
              <w:bottom w:val="single" w:color="A6B8D0" w:sz="4"/>
              <w:right w:val="single" w:color="A6B8D0" w:sz="4"/>
            </w:tcBorders>
            <w:shd w:fill="FFF7FA"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#FFF7FA</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924"/>
            <w:tcBorders>
              <w:top w:val="single" w:color="A6B8D0" w:sz="4"/>
              <w:left w:val="single" w:color="A6B8D0" w:sz="4"/>
              <w:bottom w:val="single" w:color="A6B8D0" w:sz="4"/>
              <w:right w:val="single" w:color="A6B8D0" w:sz="4"/>
            </w:tcBorders>
            <w:shd w:fill="1E1820"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#1E1820</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Ground</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surface</w:t>
            </w:r>
          </w:p>
        </w:tc>
        <w:tc>
          <w:tcPr>
            <w:tcW w:type="dxa" w:w="1582"/>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#FFFFFF</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924"/>
            <w:tcBorders>
              <w:top w:val="single" w:color="A6B8D0" w:sz="4"/>
              <w:left w:val="single" w:color="A6B8D0" w:sz="4"/>
              <w:bottom w:val="single" w:color="A6B8D0" w:sz="4"/>
              <w:right w:val="single" w:color="A6B8D0" w:sz="4"/>
            </w:tcBorders>
            <w:shd w:fill="2A222D"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#2A222D</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Cards, input fields</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text</w:t>
            </w:r>
          </w:p>
        </w:tc>
        <w:tc>
          <w:tcPr>
            <w:tcW w:type="dxa" w:w="1582"/>
            <w:tcBorders>
              <w:top w:val="single" w:color="A6B8D0" w:sz="4"/>
              <w:left w:val="single" w:color="A6B8D0" w:sz="4"/>
              <w:bottom w:val="single" w:color="A6B8D0" w:sz="4"/>
              <w:right w:val="single" w:color="A6B8D0" w:sz="4"/>
            </w:tcBorders>
            <w:shd w:fill="3B2B3A"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#3B2B3A</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12.5</w:t>
            </w:r>
          </w:p>
        </w:tc>
        <w:tc>
          <w:tcPr>
            <w:tcW w:type="dxa" w:w="924"/>
            <w:tcBorders>
              <w:top w:val="single" w:color="A6B8D0" w:sz="4"/>
              <w:left w:val="single" w:color="A6B8D0" w:sz="4"/>
              <w:bottom w:val="single" w:color="A6B8D0" w:sz="4"/>
              <w:right w:val="single" w:color="A6B8D0" w:sz="4"/>
            </w:tcBorders>
            <w:shd w:fill="F7EAF2"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#F7EAF2</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14.9</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Body text</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muted</w:t>
            </w:r>
          </w:p>
        </w:tc>
        <w:tc>
          <w:tcPr>
            <w:tcW w:type="dxa" w:w="1582"/>
            <w:tcBorders>
              <w:top w:val="single" w:color="A6B8D0" w:sz="4"/>
              <w:left w:val="single" w:color="A6B8D0" w:sz="4"/>
              <w:bottom w:val="single" w:color="A6B8D0" w:sz="4"/>
              <w:right w:val="single" w:color="A6B8D0" w:sz="4"/>
            </w:tcBorders>
            <w:shd w:fill="6E5A6B"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#6E5A6B</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6.0</w:t>
            </w:r>
          </w:p>
        </w:tc>
        <w:tc>
          <w:tcPr>
            <w:tcW w:type="dxa" w:w="924"/>
            <w:tcBorders>
              <w:top w:val="single" w:color="A6B8D0" w:sz="4"/>
              <w:left w:val="single" w:color="A6B8D0" w:sz="4"/>
              <w:bottom w:val="single" w:color="A6B8D0" w:sz="4"/>
              <w:right w:val="single" w:color="A6B8D0" w:sz="4"/>
            </w:tcBorders>
            <w:shd w:fill="CDB9C8"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#CDB9C8</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9.4</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Supplementary</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primary</w:t>
            </w:r>
          </w:p>
        </w:tc>
        <w:tc>
          <w:tcPr>
            <w:tcW w:type="dxa" w:w="1582"/>
            <w:tcBorders>
              <w:top w:val="single" w:color="A6B8D0" w:sz="4"/>
              <w:left w:val="single" w:color="A6B8D0" w:sz="4"/>
              <w:bottom w:val="single" w:color="A6B8D0" w:sz="4"/>
              <w:right w:val="single" w:color="A6B8D0" w:sz="4"/>
            </w:tcBorders>
            <w:shd w:fill="932C5B"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#932C5B</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7.2</w:t>
            </w:r>
          </w:p>
        </w:tc>
        <w:tc>
          <w:tcPr>
            <w:tcW w:type="dxa" w:w="924"/>
            <w:tcBorders>
              <w:top w:val="single" w:color="A6B8D0" w:sz="4"/>
              <w:left w:val="single" w:color="A6B8D0" w:sz="4"/>
              <w:bottom w:val="single" w:color="A6B8D0" w:sz="4"/>
              <w:right w:val="single" w:color="A6B8D0" w:sz="4"/>
            </w:tcBorders>
            <w:shd w:fill="FF8CC0"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#FF8CC0</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8.1</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Primary buttons, selection</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on-primary</w:t>
            </w:r>
          </w:p>
        </w:tc>
        <w:tc>
          <w:tcPr>
            <w:tcW w:type="dxa" w:w="1582"/>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#FFFFFF</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7.6 (against primary)</w:t>
            </w:r>
          </w:p>
        </w:tc>
        <w:tc>
          <w:tcPr>
            <w:tcW w:type="dxa" w:w="924"/>
            <w:tcBorders>
              <w:top w:val="single" w:color="A6B8D0" w:sz="4"/>
              <w:left w:val="single" w:color="A6B8D0" w:sz="4"/>
              <w:bottom w:val="single" w:color="A6B8D0" w:sz="4"/>
              <w:right w:val="single" w:color="A6B8D0" w:sz="4"/>
            </w:tcBorders>
            <w:shd w:fill="2A0E1C"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#2A0E1C</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8.3 (against primary)</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Text on primary buttons</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accent</w:t>
            </w:r>
          </w:p>
        </w:tc>
        <w:tc>
          <w:tcPr>
            <w:tcW w:type="dxa" w:w="1582"/>
            <w:tcBorders>
              <w:top w:val="single" w:color="A6B8D0" w:sz="4"/>
              <w:left w:val="single" w:color="A6B8D0" w:sz="4"/>
              <w:bottom w:val="single" w:color="A6B8D0" w:sz="4"/>
              <w:right w:val="single" w:color="A6B8D0" w:sz="4"/>
            </w:tcBorders>
            <w:shd w:fill="3B5393"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#3B5393</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7.0</w:t>
            </w:r>
          </w:p>
        </w:tc>
        <w:tc>
          <w:tcPr>
            <w:tcW w:type="dxa" w:w="924"/>
            <w:tcBorders>
              <w:top w:val="single" w:color="A6B8D0" w:sz="4"/>
              <w:left w:val="single" w:color="A6B8D0" w:sz="4"/>
              <w:bottom w:val="single" w:color="A6B8D0" w:sz="4"/>
              <w:right w:val="single" w:color="A6B8D0" w:sz="4"/>
            </w:tcBorders>
            <w:shd w:fill="9FB4F2"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#9FB4F2</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8.5</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Links, information</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success</w:t>
            </w:r>
          </w:p>
        </w:tc>
        <w:tc>
          <w:tcPr>
            <w:tcW w:type="dxa" w:w="1582"/>
            <w:tcBorders>
              <w:top w:val="single" w:color="A6B8D0" w:sz="4"/>
              <w:left w:val="single" w:color="A6B8D0" w:sz="4"/>
              <w:bottom w:val="single" w:color="A6B8D0" w:sz="4"/>
              <w:right w:val="single" w:color="A6B8D0" w:sz="4"/>
            </w:tcBorders>
            <w:shd w:fill="23724F"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#23724F</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5.6</w:t>
            </w:r>
          </w:p>
        </w:tc>
        <w:tc>
          <w:tcPr>
            <w:tcW w:type="dxa" w:w="924"/>
            <w:tcBorders>
              <w:top w:val="single" w:color="A6B8D0" w:sz="4"/>
              <w:left w:val="single" w:color="A6B8D0" w:sz="4"/>
              <w:bottom w:val="single" w:color="A6B8D0" w:sz="4"/>
              <w:right w:val="single" w:color="A6B8D0" w:sz="4"/>
            </w:tcBorders>
            <w:shd w:fill="7ED3A8"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#7ED3A8</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9.8</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Match, completion</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warn</w:t>
            </w:r>
          </w:p>
        </w:tc>
        <w:tc>
          <w:tcPr>
            <w:tcW w:type="dxa" w:w="1582"/>
            <w:tcBorders>
              <w:top w:val="single" w:color="A6B8D0" w:sz="4"/>
              <w:left w:val="single" w:color="A6B8D0" w:sz="4"/>
              <w:bottom w:val="single" w:color="A6B8D0" w:sz="4"/>
              <w:right w:val="single" w:color="A6B8D0" w:sz="4"/>
            </w:tcBorders>
            <w:shd w:fill="8A5A00"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#8A5A00</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5.6</w:t>
            </w:r>
          </w:p>
        </w:tc>
        <w:tc>
          <w:tcPr>
            <w:tcW w:type="dxa" w:w="924"/>
            <w:tcBorders>
              <w:top w:val="single" w:color="A6B8D0" w:sz="4"/>
              <w:left w:val="single" w:color="A6B8D0" w:sz="4"/>
              <w:bottom w:val="single" w:color="A6B8D0" w:sz="4"/>
              <w:right w:val="single" w:color="A6B8D0" w:sz="4"/>
            </w:tcBorders>
            <w:shd w:fill="F2C265"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#F2C265</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10.5</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Caution</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danger</w:t>
            </w:r>
          </w:p>
        </w:tc>
        <w:tc>
          <w:tcPr>
            <w:tcW w:type="dxa" w:w="1582"/>
            <w:tcBorders>
              <w:top w:val="single" w:color="A6B8D0" w:sz="4"/>
              <w:left w:val="single" w:color="A6B8D0" w:sz="4"/>
              <w:bottom w:val="single" w:color="A6B8D0" w:sz="4"/>
              <w:right w:val="single" w:color="A6B8D0" w:sz="4"/>
            </w:tcBorders>
            <w:shd w:fill="A2221B"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#A2221B</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7.2</w:t>
            </w:r>
          </w:p>
        </w:tc>
        <w:tc>
          <w:tcPr>
            <w:tcW w:type="dxa" w:w="924"/>
            <w:tcBorders>
              <w:top w:val="single" w:color="A6B8D0" w:sz="4"/>
              <w:left w:val="single" w:color="A6B8D0" w:sz="4"/>
              <w:bottom w:val="single" w:color="A6B8D0" w:sz="4"/>
              <w:right w:val="single" w:color="A6B8D0" w:sz="4"/>
            </w:tcBorders>
            <w:shd w:fill="FF8A80"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#FF8A80</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7.6</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Failure, irreversible operations</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border</w:t>
            </w:r>
          </w:p>
        </w:tc>
        <w:tc>
          <w:tcPr>
            <w:tcW w:type="dxa" w:w="1582"/>
            <w:tcBorders>
              <w:top w:val="single" w:color="A6B8D0" w:sz="4"/>
              <w:left w:val="single" w:color="A6B8D0" w:sz="4"/>
              <w:bottom w:val="single" w:color="A6B8D0" w:sz="4"/>
              <w:right w:val="single" w:color="A6B8D0" w:sz="4"/>
            </w:tcBorders>
            <w:shd w:fill="9C7E95"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#9C7E95</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3.4</w:t>
            </w:r>
          </w:p>
        </w:tc>
        <w:tc>
          <w:tcPr>
            <w:tcW w:type="dxa" w:w="924"/>
            <w:tcBorders>
              <w:top w:val="single" w:color="A6B8D0" w:sz="4"/>
              <w:left w:val="single" w:color="A6B8D0" w:sz="4"/>
              <w:bottom w:val="single" w:color="A6B8D0" w:sz="4"/>
              <w:right w:val="single" w:color="A6B8D0" w:sz="4"/>
            </w:tcBorders>
            <w:shd w:fill="8C7389"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#8C7389</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4.1</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Boundaries of input fields and components (3:1 or more)</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on-danger</w:t>
            </w:r>
          </w:p>
        </w:tc>
        <w:tc>
          <w:tcPr>
            <w:tcW w:type="dxa" w:w="1582"/>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#FFFFFF</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7.6 (against danger)</w:t>
            </w:r>
          </w:p>
        </w:tc>
        <w:tc>
          <w:tcPr>
            <w:tcW w:type="dxa" w:w="924"/>
            <w:tcBorders>
              <w:top w:val="single" w:color="A6B8D0" w:sz="4"/>
              <w:left w:val="single" w:color="A6B8D0" w:sz="4"/>
              <w:bottom w:val="single" w:color="A6B8D0" w:sz="4"/>
              <w:right w:val="single" w:color="A6B8D0" w:sz="4"/>
            </w:tcBorders>
            <w:shd w:fill="2A0E1C"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#2A0E1C</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7.8 (against danger)</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Text on buttons for dangerous operations</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work-bg</w:t>
            </w:r>
          </w:p>
        </w:tc>
        <w:tc>
          <w:tcPr>
            <w:tcW w:type="dxa" w:w="1582"/>
            <w:tcBorders>
              <w:top w:val="single" w:color="A6B8D0" w:sz="4"/>
              <w:left w:val="single" w:color="A6B8D0" w:sz="4"/>
              <w:bottom w:val="single" w:color="A6B8D0" w:sz="4"/>
              <w:right w:val="single" w:color="A6B8D0" w:sz="4"/>
            </w:tcBorders>
            <w:shd w:fill="595959"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#595959</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924"/>
            <w:tcBorders>
              <w:top w:val="single" w:color="A6B8D0" w:sz="4"/>
              <w:left w:val="single" w:color="A6B8D0" w:sz="4"/>
              <w:bottom w:val="single" w:color="A6B8D0" w:sz="4"/>
              <w:right w:val="single" w:color="A6B8D0" w:sz="4"/>
            </w:tcBorders>
            <w:shd w:fill="3A3A3A"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FFFFFF"/>
                <w:sz w:val="18"/>
                <w:szCs w:val="18"/>
              </w:rPr>
              <w:t xml:space="preserve">#3A3A3A</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Ground of working screens (editing, batch application, photo display). Achromatic (“Showing photos” in 2.1)</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work-text</w:t>
            </w:r>
          </w:p>
        </w:tc>
        <w:tc>
          <w:tcPr>
            <w:tcW w:type="dxa" w:w="1582"/>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#FFFFFF</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7.0 (against work-bg)</w:t>
            </w:r>
          </w:p>
        </w:tc>
        <w:tc>
          <w:tcPr>
            <w:tcW w:type="dxa" w:w="924"/>
            <w:tcBorders>
              <w:top w:val="single" w:color="A6B8D0" w:sz="4"/>
              <w:left w:val="single" w:color="A6B8D0" w:sz="4"/>
              <w:bottom w:val="single" w:color="A6B8D0" w:sz="4"/>
              <w:right w:val="single" w:color="A6B8D0" w:sz="4"/>
            </w:tcBorders>
            <w:shd w:fill="FFFFFF" w:color="auto" w:val="clear"/>
            <w:tcMar>
              <w:top w:type="dxa" w:w="50"/>
              <w:left w:type="dxa" w:w="90"/>
              <w:bottom w:type="dxa" w:w="50"/>
              <w:right w:type="dxa" w:w="90"/>
            </w:tcMar>
          </w:tcPr>
          <w:p>
            <w:pPr>
              <w:keepNext w:val="false"/>
              <w:keepLines/>
              <w:spacing w:after="0" w:before="0" w:line="280"/>
            </w:pPr>
            <w:r>
              <w:rPr>
                <w:rFonts w:ascii="Consolas" w:cs="Consolas" w:eastAsia="Consolas" w:hAnsi="Consolas"/>
                <w:b/>
                <w:bCs/>
                <w:color w:val="000000"/>
                <w:sz w:val="18"/>
                <w:szCs w:val="18"/>
              </w:rPr>
              <w:t xml:space="preserve">#FFFFFF</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11.4 (against work-bg)</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Text on the ground of working screens</w:t>
            </w:r>
          </w:p>
        </w:tc>
      </w:tr>
      <w:tr>
        <w:trPr>
          <w:cantSplit/>
          <w:tblHeader w:val="off"/>
        </w:trPr>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work-focus</w:t>
            </w:r>
          </w:p>
        </w:tc>
        <w:tc>
          <w:tcPr>
            <w:tcW w:type="dxa" w:w="15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A 2-pixel #FFFFFF frame with a 1-pixel #000000 frame outside it</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7.0 (against work-bg; the inner white)</w:t>
            </w:r>
          </w:p>
        </w:tc>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Same</w:t>
            </w:r>
          </w:p>
        </w:tc>
        <w:tc>
          <w:tcPr>
            <w:tcW w:type="dxa" w:w="1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11.4 (against work-bg; the inner white)</w:t>
            </w:r>
          </w:p>
        </w:tc>
        <w:tc>
          <w:tcPr>
            <w:tcW w:type="dxa" w:w="26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Focus frame on working screens. On bright photos the outer black is visible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On the ground of working screens (work-bg), a focus frame in light mode's accent (#3B5393) has insufficient contrast (1.3 against light mode's work-bg #595959; dark mode's accent #9FB4F2 is sufficient at 5.6 against work-bg #3A3A3A, but both are aligned to work-focus so that the frame does not change between modes), so work-focus is used. All ratios were computed with the WCAG formula.</w:t>
      </w:r>
    </w:p>
    <w:p>
      <w:pPr>
        <w:pStyle w:val="ListParagraph"/>
        <w:keepNext/>
        <w:keepLines/>
        <w:numPr>
          <w:ilvl w:val="0"/>
          <w:numId w:val="2"/>
        </w:numPr>
        <w:spacing w:after="20" w:before="20" w:line="300"/>
      </w:pPr>
      <w:r>
        <w:rPr>
          <w:rFonts w:ascii="Calibri" w:eastAsia="Yu Gothic" w:hAnsi="Calibri"/>
        </w:rPr>
        <w:t xml:space="preserve">Text colors are 7:1 or more (WCAG 2.2 1.4.6). On 2026-10-01, primary, accent, danger, and work-bg were recomputed with the WCAG formula, and all text colors in light mode became 7:1 or more (values as in the table). border (3.4, 4.1) is not text, so the 3:1 criterion (1.4.11) suffices.</w:t>
      </w:r>
    </w:p>
    <w:p>
      <w:pPr>
        <w:pStyle w:val="ListParagraph"/>
        <w:keepNext w:val="false"/>
        <w:keepLines/>
        <w:numPr>
          <w:ilvl w:val="0"/>
          <w:numId w:val="2"/>
        </w:numPr>
        <w:spacing w:after="20" w:before="20" w:line="300"/>
      </w:pPr>
      <w:r>
        <w:rPr>
          <w:rFonts w:ascii="Calibri" w:eastAsia="Yu Gothic" w:hAnsi="Calibri"/>
        </w:rPr>
        <w:t xml:space="preserve">Meaning is not conveyed by color alone: matching levels (Chapter 6, 4.1 “How the match level is shown”), case status, and success/failure are shown with marks of different shapes per level and text, in addition to color (the shapes of the marks are decided by the Lead Developer, and their meanings are written in a legend on screen).</w:t>
      </w:r>
    </w:p>
    <w:p>
      <w:pPr>
        <w:pStyle w:val="Heading2"/>
      </w:pPr>
      <w:r>
        <w:rPr>
          <w:rFonts w:ascii="Calibri" w:eastAsia="Yu Gothic" w:hAnsi="Calibri"/>
        </w:rPr>
        <w:t xml:space="preserve">2.4 Judgment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1"/>
        <w:gridCol w:w="1678"/>
        <w:gridCol w:w="5679"/>
      </w:tblGrid>
      <w:tr>
        <w:trPr>
          <w:cantSplit/>
          <w:tblHeader/>
        </w:trPr>
        <w:tc>
          <w:tcPr>
            <w:tcW w:type="dxa" w:w="228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judged</w:t>
            </w:r>
          </w:p>
        </w:tc>
        <w:tc>
          <w:tcPr>
            <w:tcW w:type="dxa" w:w="16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Judge</w:t>
            </w:r>
          </w:p>
        </w:tc>
        <w:tc>
          <w:tcPr>
            <w:tcW w:type="dxa" w:w="56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Criterion</w:t>
            </w:r>
          </w:p>
        </w:tc>
      </w:tr>
      <w:tr>
        <w:trPr>
          <w:cantSplit/>
          <w:tblHeader w:val="off"/>
        </w:trPr>
        <w:tc>
          <w:tcPr>
            <w:tcW w:type="dxa" w:w="2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the look passes</w:t>
            </w:r>
          </w:p>
        </w:tc>
        <w:tc>
          <w:tcPr>
            <w:tcW w:type="dxa" w:w="16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Lead Developer (DD-10-2“Design is done and judged by NRSD's Lead Developer”)</w:t>
            </w:r>
          </w:p>
        </w:tc>
        <w:tc>
          <w:tcPr>
            <w:tcW w:type="dxa" w:w="56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samples of colors, components, the character's six expressions, and five main screens in both light and dark modes</w:t>
            </w:r>
          </w:p>
        </w:tc>
      </w:tr>
      <w:tr>
        <w:trPr>
          <w:cantSplit/>
          <w:tblHeader w:val="off"/>
        </w:trPr>
        <w:tc>
          <w:tcPr>
            <w:tcW w:type="dxa" w:w="2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Understandability (first-run input)</w:t>
            </w:r>
          </w:p>
        </w:tc>
        <w:tc>
          <w:tcPr>
            <w:tcW w:type="dxa" w:w="16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 trials</w:t>
            </w:r>
          </w:p>
        </w:tc>
        <w:tc>
          <w:tcPr>
            <w:tcW w:type="dxa" w:w="56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80% or more of participants (at least 5 cosplayers and photographers, initial value; 4 or more if 5) can complete input of information for C2PA signatures and posting of the Notice (G-01“Welcome”, G-02“Consent”, G-03“Signing Information”, G-04“Posting the Notice”) without explanation</w:t>
            </w:r>
          </w:p>
        </w:tc>
      </w:tr>
      <w:tr>
        <w:trPr>
          <w:cantSplit/>
          <w:tblHeader w:val="off"/>
        </w:trPr>
        <w:tc>
          <w:tcPr>
            <w:tcW w:type="dxa" w:w="2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Understandability (Permitted Scope)</w:t>
            </w:r>
          </w:p>
        </w:tc>
        <w:tc>
          <w:tcPr>
            <w:tcW w:type="dxa" w:w="16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 trials</w:t>
            </w:r>
          </w:p>
        </w:tc>
        <w:tc>
          <w:tcPr>
            <w:tcW w:type="dxa" w:w="56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80% or more of those who read the explanation correctly answer “whether purchasers may post on social media under the chosen scope” (Chapter 5, 2.2 “Explanation for non-technical people”)</w:t>
            </w:r>
          </w:p>
        </w:tc>
      </w:tr>
      <w:tr>
        <w:trPr>
          <w:cantSplit/>
          <w:tblHeader w:val="off"/>
        </w:trPr>
        <w:tc>
          <w:tcPr>
            <w:tcW w:type="dxa" w:w="2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Understandability (export and registration)</w:t>
            </w:r>
          </w:p>
        </w:tc>
        <w:tc>
          <w:tcPr>
            <w:tcW w:type="dxa" w:w="16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User trials</w:t>
            </w:r>
          </w:p>
        </w:tc>
        <w:tc>
          <w:tcPr>
            <w:tcW w:type="dxa" w:w="56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80% or more of participants (4 or more if 5) can complete a batch export of one folder and registration of one repost without explanation</w:t>
            </w:r>
          </w:p>
        </w:tc>
      </w:tr>
      <w:tr>
        <w:trPr>
          <w:cantSplit/>
          <w:tblHeader w:val="off"/>
        </w:trPr>
        <w:tc>
          <w:tcPr>
            <w:tcW w:type="dxa" w:w="2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Readability (all items of the definition in 2.7)</w:t>
            </w:r>
          </w:p>
        </w:tc>
        <w:tc>
          <w:tcPr>
            <w:tcW w:type="dxa" w:w="16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Lead Developer and CI</w:t>
            </w:r>
          </w:p>
        </w:tc>
        <w:tc>
          <w:tcPr>
            <w:tcW w:type="dxa" w:w="56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By the measurement method of each row of 2.7. Go through all operations on all screens with the screen readers of the three OSes</w:t>
            </w:r>
          </w:p>
        </w:tc>
      </w:tr>
      <w:tr>
        <w:trPr>
          <w:cantSplit/>
          <w:tblHeader w:val="off"/>
        </w:trPr>
        <w:tc>
          <w:tcPr>
            <w:tcW w:type="dxa" w:w="228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Composition of trial participants</w:t>
            </w:r>
          </w:p>
        </w:tc>
        <w:tc>
          <w:tcPr>
            <w:tcW w:type="dxa" w:w="16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NRSD</w:t>
            </w:r>
          </w:p>
        </w:tc>
        <w:tc>
          <w:tcPr>
            <w:tcW w:type="dxa" w:w="56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 at least one User who uses assistive technology (a screen reader or magnification) daily (2026-09-30, NRSD's requirement)</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Trials are done with a working version (preview version). Users are not asked to read design documents or explanatory documents for their opinions (asking cosplayers and photographers to read documents is a heavy burden, and actual usage can only be checked with a working version). The preview version is one in which first-run input, image editing, export, and repost registration all work, distributed before the trial (separate from the official distribution of Chapter 9, given only to trial participants; C2PA signatures and record formats are the same as production). This does not contradict D-3-5“No interviews are conducted; improvement is made based on comments after the System becomes usable”, which does not conduct interviews first. Trial participants are Users NRSD knows and asks. Points fixed as a result of trials are noted in the changes of the next version.</w:t>
      </w:r>
    </w:p>
    <w:p>
      <w:pPr>
        <w:pStyle w:val="Heading2"/>
      </w:pPr>
      <w:r>
        <w:rPr>
          <w:rFonts w:ascii="Calibri" w:eastAsia="Yu Gothic" w:hAnsi="Calibri"/>
        </w:rPr>
        <w:t xml:space="preserve">2.5 Steps of text size and spacing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0"/>
        <w:gridCol w:w="4015"/>
        <w:gridCol w:w="2783"/>
      </w:tblGrid>
      <w:tr>
        <w:trPr>
          <w:cantSplit/>
          <w:tblHeader/>
        </w:trPr>
        <w:tc>
          <w:tcPr>
            <w:tcW w:type="dxa" w:w="28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Name</w:t>
            </w:r>
          </w:p>
        </w:tc>
        <w:tc>
          <w:tcPr>
            <w:tcW w:type="dxa" w:w="401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Size (at standard)</w:t>
            </w:r>
          </w:p>
        </w:tc>
        <w:tc>
          <w:tcPr>
            <w:tcW w:type="dxa" w:w="27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w:t>
            </w:r>
          </w:p>
        </w:tc>
      </w:tr>
      <w:tr>
        <w:trPr>
          <w:cantSplit/>
          <w:tblHeader w:val="off"/>
        </w:trPr>
        <w:tc>
          <w:tcPr>
            <w:tcW w:type="dxa" w:w="28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Heading 1</w:t>
            </w:r>
          </w:p>
        </w:tc>
        <w:tc>
          <w:tcPr>
            <w:tcW w:type="dxa" w:w="4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24 pixels</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 titles</w:t>
            </w:r>
          </w:p>
        </w:tc>
      </w:tr>
      <w:tr>
        <w:trPr>
          <w:cantSplit/>
          <w:tblHeader w:val="off"/>
        </w:trPr>
        <w:tc>
          <w:tcPr>
            <w:tcW w:type="dxa" w:w="28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Heading 2</w:t>
            </w:r>
          </w:p>
        </w:tc>
        <w:tc>
          <w:tcPr>
            <w:tcW w:type="dxa" w:w="4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18 pixels</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Area titles</w:t>
            </w:r>
          </w:p>
        </w:tc>
      </w:tr>
      <w:tr>
        <w:trPr>
          <w:cantSplit/>
          <w:tblHeader w:val="off"/>
        </w:trPr>
        <w:tc>
          <w:tcPr>
            <w:tcW w:type="dxa" w:w="28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Body</w:t>
            </w:r>
          </w:p>
        </w:tc>
        <w:tc>
          <w:tcPr>
            <w:tcW w:type="dxa" w:w="4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15 pixels</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Body text, tables</w:t>
            </w:r>
          </w:p>
        </w:tc>
      </w:tr>
      <w:tr>
        <w:trPr>
          <w:cantSplit/>
          <w:tblHeader w:val="off"/>
        </w:trPr>
        <w:tc>
          <w:tcPr>
            <w:tcW w:type="dxa" w:w="28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Supplementary</w:t>
            </w:r>
          </w:p>
        </w:tc>
        <w:tc>
          <w:tcPr>
            <w:tcW w:type="dxa" w:w="4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13 pixels</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Explanations, notes</w:t>
            </w:r>
          </w:p>
        </w:tc>
      </w:tr>
      <w:tr>
        <w:trPr>
          <w:cantSplit/>
          <w:tblHeader w:val="off"/>
        </w:trPr>
        <w:tc>
          <w:tcPr>
            <w:tcW w:type="dxa" w:w="28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Button</w:t>
            </w:r>
          </w:p>
        </w:tc>
        <w:tc>
          <w:tcPr>
            <w:tcW w:type="dxa" w:w="401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15 pixels (bold)</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Button text</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“text size” setting (small, standard, large, extra large, maximum) scales everything by 0.9, 1.0, 1.2, 1.4, and 2.0 (initial values). It is checked that no content or function is lost even at maximum (2.0) (WCAG 2.2 1.4.4 “text can be resized up to 200 percent without loss of content or functionality”; satisfied by the app's setting alone, without relying on OS magnification).</w:t>
      </w:r>
    </w:p>
    <w:p>
      <w:pPr>
        <w:pStyle w:val="ListParagraph"/>
        <w:keepNext/>
        <w:keepLines/>
        <w:numPr>
          <w:ilvl w:val="0"/>
          <w:numId w:val="2"/>
        </w:numPr>
        <w:spacing w:after="20" w:before="20" w:line="300"/>
      </w:pPr>
      <w:r>
        <w:rPr>
          <w:rFonts w:ascii="Calibri" w:eastAsia="Yu Gothic" w:hAnsi="Calibri"/>
        </w:rPr>
        <w:t xml:space="preserve">Tauri's screen zoom keys (zoomHotkeysEnabled; Ctrl/Command with − and =) are not enabled, because they conflict with the zoom keys of the editing screen (Chapter 4, 9.2 “View”) (the description in config.rs of tauri-utils).</w:t>
      </w:r>
    </w:p>
    <w:p>
      <w:pPr>
        <w:pStyle w:val="ListParagraph"/>
        <w:keepNext/>
        <w:keepLines/>
        <w:numPr>
          <w:ilvl w:val="0"/>
          <w:numId w:val="2"/>
        </w:numPr>
        <w:spacing w:after="20" w:before="20" w:line="300"/>
      </w:pPr>
      <w:r>
        <w:rPr>
          <w:rFonts w:ascii="Calibri" w:eastAsia="Yu Gothic" w:hAnsi="Calibri"/>
        </w:rPr>
        <w:t xml:space="preserve">Spacing uses 4 pixels as the unit, with steps of 4, 8, 12, 16, 24, and 32 pixels (initial values).</w:t>
      </w:r>
    </w:p>
    <w:p>
      <w:pPr>
        <w:pStyle w:val="ListParagraph"/>
        <w:keepNext w:val="false"/>
        <w:keepLines/>
        <w:numPr>
          <w:ilvl w:val="0"/>
          <w:numId w:val="2"/>
        </w:numPr>
        <w:spacing w:after="20" w:before="20" w:line="300"/>
      </w:pPr>
      <w:r>
        <w:rPr>
          <w:rFonts w:ascii="Calibri" w:eastAsia="Yu Gothic" w:hAnsi="Calibri"/>
        </w:rPr>
        <w:t xml:space="preserve">Line height is 1.6 times the body text (for readability of Japanese and Chinese; initial value).</w:t>
      </w:r>
    </w:p>
    <w:p>
      <w:pPr>
        <w:pStyle w:val="Heading2"/>
      </w:pPr>
      <w:r>
        <w:rPr>
          <w:rFonts w:ascii="Calibri" w:eastAsia="Yu Gothic" w:hAnsi="Calibri"/>
        </w:rPr>
        <w:t xml:space="preserve">2.6 List of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3334"/>
        <w:gridCol w:w="4784"/>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c>
          <w:tcPr>
            <w:tcW w:type="dxa" w:w="33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47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Rules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Primary button</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single main operation on a screen (“Export”, “Register”)</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primary color. One per screen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Secondary button</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Other operations</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Outline only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Dangerous operation button</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Irreversible operations (erase)</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danger color. Pressing it shows a confirmation dialog (3.6)</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Input field</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input</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 above the field, explanation and error text below. Required fields have “required” written in the name (not just a mark)</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Selection</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Radio buttons, checkboxes, toggles</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Press targets are 24 pixels square or more (2.7)</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Stage display</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current stage of multi-stage work</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At the top of the screen. Stage names and numbers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(grid)</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row of reduced photo images</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Draw only what is visible (3.4)</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(table)</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Rows of cases and works</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Sorting, filtering</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Notice bar</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Temporary notices at the top of the screen (3.7)</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Remains until closed. Not dismissed automatically (so it does not disappear before being read)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Confirmation dialog</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Before irreversible operations (3.6)</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button shows the operation's name rather than “Yes” (e.g., “Erase”)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Progress display</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Progress of long processing</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Which item, estimated remaining time, cancel</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Guide</w:t>
            </w:r>
          </w:p>
        </w:tc>
        <w:tc>
          <w:tcPr>
            <w:tcW w:type="dxa" w:w="33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character (DD-10-1“The look is pale colors, rounded shapes, and one guide character”)</w:t>
            </w:r>
          </w:p>
        </w:tc>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Only at first run, empty states, completion, and errors</w:t>
            </w:r>
          </w:p>
        </w:tc>
      </w:tr>
    </w:tbl>
    <w:p>
      <w:pPr>
        <w:spacing w:after="100" w:before="0"/>
      </w:pPr>
    </w:p>
    <w:p>
      <w:pPr>
        <w:pStyle w:val="Heading2"/>
      </w:pPr>
      <w:r>
        <w:rPr>
          <w:rFonts w:ascii="Calibri" w:eastAsia="Yu Gothic" w:hAnsi="Calibri"/>
        </w:rPr>
        <w:t xml:space="preserve">2.7 Readability definition (WCAG 2.2)</w:t>
      </w:r>
    </w:p>
    <w:p>
      <w:pPr>
        <w:pStyle w:val="ListParagraph"/>
        <w:keepNext/>
        <w:keepLines/>
        <w:numPr>
          <w:ilvl w:val="0"/>
          <w:numId w:val="2"/>
        </w:numPr>
        <w:spacing w:after="20" w:before="20" w:line="300"/>
      </w:pPr>
      <w:r>
        <w:rPr>
          <w:rFonts w:ascii="Calibri" w:eastAsia="Yu Gothic" w:hAnsi="Calibri"/>
        </w:rPr>
        <w:t xml:space="preserve">Readability is defined by “aspect, criterion, value, and how it is measured”. All judgments are made by numbers or procedures, leaving no judgment by eye alone (2026-09-30, NRSD's requirement. Formerly: the 10 main criteria of WCAG 2.2 AA).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1385"/>
        <w:gridCol w:w="3516"/>
        <w:gridCol w:w="3317"/>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Aspect</w:t>
            </w:r>
          </w:p>
        </w:tc>
        <w:tc>
          <w:tcPr>
            <w:tcW w:type="dxa" w:w="13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Criterion</w:t>
            </w:r>
          </w:p>
        </w:tc>
        <w:tc>
          <w:tcPr>
            <w:tcW w:type="dxa" w:w="35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Value</w:t>
            </w:r>
          </w:p>
        </w:tc>
        <w:tc>
          <w:tcPr>
            <w:tcW w:type="dxa" w:w="33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it is measured</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Standard</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Every success criterion of WCAG 2.2 (A, AA, AAA) judged one by one</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of A and AA are met. Of AAA, those met are enumerated, and those not met are declared as gaps with the reason written</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 the table of success criteria (86 items), write “met (method) / not met (reason) / not applicable”, updated per version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color</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1.4.3, 1.4.6</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Body and supplementary text 7:1 or more; large text (24 pixels or more) 4.5:1 or more. The same on the ground of working screens</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Computed with the WCAG formula from the values of the color definitions in 2.3, and all combinations in the table are checked in CI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Non-text color</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1.4.11</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Component boundaries, marks, and lines in figures 3:1 or more</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Same as above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relying on color alone</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1.4.1</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Status, stage, and success/failure are shown with marks of different shapes and text in addition to color</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that no meaning is lost with all screens made achromatic. Check with the appearance of protan, deutan, and tritan color vision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size</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1.4.4, 1.4.12</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Body text 15 pixels or more. 0.9 to 2.0 times by setting. Line height 1.6 times; paragraph spacing at least 2 times the text size. Nothing breaks when letter and word spacing are widened</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Capture all screens at 2.0 times and check that no content or function is missing</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Reflow</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1.4.10</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horizontal scrolling at the minimum window of 1024×700. The photo area moves in two directions (the gap in 12; Chapter 13, H-41“WCAG 2.2 1.4.10 “Reflow” is not met; enlarging screen text shrinks the photo display area”)</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all screens at the minimum window</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Target size</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2.5.8, 2.5.5</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Press targets are 44×44 CSS pixels or more. Handles on the editing screen can also be pressed within a 44-pixel area</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Measure all components in the component list and all targets on all screens in CI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Focus</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2.4.7, 2.4.11, 2.4.13</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focus frame is 2 pixels or more, 3:1 or more against its surroundings, and not obscured</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 around all screens with the keyboard alone and check that the focus frame is always visible. Document the focus order per screen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Keyboard</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2.1.1, 2.1.2, 2.1.4</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functions can be done with the keyboard alone. Focus is not trapped. Single-character keys work only while there is focus. The editing screen has fields to enter position, size, and rotation as numbers (Chapter 4, 9.1)</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Place in the test documents the procedure for going through all operations on all screens with the keyboard alone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 role, value</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4.1.2, 1.3.1, 3.3.2</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Every component has a name, role, and state. Alternative text for photos, the guide, marks, and color swatches. Visible names on input fields</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 through all operations on all screens with the screen readers of the three OSes (Windows Narrator, macOS VoiceOver, Linux Orca). Run automated checks (the axe-core family) on all screens in CI, stopping on any violation (Chapter 11, 8.1)</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Motion</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2.3.3, 2.2.2</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Motion stops by the OS setting and the app setting. Nothing moves or blinks automatically. No notice disappears automatically (2.6)</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by switching the settings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Time limits</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2.2.1, 2.2.3</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time limits are placed on operations. Long processing can be cancelled</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Error prevention</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3.3.1, 3.3.3, 3.3.4, 3.3.6</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Input errors are shown in text with how to fix them. Irreversible operations have a confirmation dialog and a button named for the operation. Reversible operations are reverted with undo</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Trace every item in the list of confirmation dialogs (3.6) and the failure-handling sections of each chapter</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Plain language</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3.1.5, 3.1.3, 3.1.4</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 text can be understood at a lower secondary education reading level. Technical terms (C2PA signature, manifest, timestamp, notice code, etc.) get a one-sentence explanation at first appearance and a path to the glossary. No abbreviations are used</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the full text of the message files in CI for sentence length (60 characters or less per sentence) and against the list of technical terms. Add to the judgment of User trials (2.4)</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Consistency</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3.2.3, 3.2.4, 3.2.6</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position and names of navigation and buttons are the same on all screens. The help entrance is in the same position on all screens</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with the component list and the screen specifications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Language</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3.1.1, 3.1.2</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language attribute of the screen and the language attribute of the User's input (5)</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the </w:t>
            </w:r>
            <w:r>
              <w:rPr>
                <w:rFonts w:ascii="Consolas" w:eastAsia="Yu Gothic" w:hAnsi="Consolas"/>
                <w:b w:val="false"/>
                <w:bCs w:val="false"/>
                <w:sz w:val="18"/>
                <w:szCs w:val="18"/>
              </w:rPr>
              <w:t xml:space="preserve">lang</w:t>
            </w:r>
            <w:r>
              <w:rPr>
                <w:rFonts w:ascii="Calibri" w:eastAsia="Yu Gothic" w:hAnsi="Calibri"/>
                <w:b w:val="false"/>
                <w:bCs w:val="false"/>
                <w:sz w:val="18"/>
                <w:szCs w:val="18"/>
              </w:rPr>
              <w:t xml:space="preserve"> of elements on all screens in CI</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support</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Follow the OS high-contrast setting (Windows forced colors and the equivalents on macOS and Linux) and OS text magnification</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all screens by switching the settings of the three OSes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Who judges</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2.4</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 among trial participants at least one User who uses assistive technology (a screen reader or magnification) daily</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Trial records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Publication</w:t>
            </w:r>
          </w:p>
        </w:tc>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35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readability policy is published on the public page in the OpenACR form (the US GSA's machine-readable accessibility conformance report; YAML and HTML), and the success criteria added in WCAG 2.2 are shown in an additional table of the same form. Updated per version, and the YAML form is validated in CI (2026-10-01, NRSD's requirement) (Chapter 8, 3.3)</w:t>
            </w:r>
          </w:p>
        </w:tc>
        <w:tc>
          <w:tcPr>
            <w:tcW w:type="dxa" w:w="33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Public page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Source: W3C's WCAG 2.2 (the version of December 12, 2024).</w:t>
      </w:r>
    </w:p>
    <w:p>
      <w:pPr>
        <w:pStyle w:val="Heading1"/>
      </w:pPr>
      <w:r>
        <w:rPr>
          <w:rFonts w:ascii="Calibri" w:eastAsia="Yu Gothic" w:hAnsi="Calibri"/>
        </w:rPr>
        <w:t xml:space="preserve">3. Screen Structure</w:t>
      </w:r>
    </w:p>
    <w:p>
      <w:pPr>
        <w:pStyle w:val="Heading2"/>
      </w:pPr>
      <w:r>
        <w:rPr>
          <w:rFonts w:ascii="Calibri" w:eastAsia="Yu Gothic" w:hAnsi="Calibri"/>
        </w:rPr>
        <w:t xml:space="preserve">3.1 List of screens</w:t>
      </w:r>
    </w:p>
    <w:p>
      <w:pPr>
        <w:pStyle w:val="ListParagraph"/>
        <w:keepNext/>
        <w:keepLines/>
        <w:numPr>
          <w:ilvl w:val="0"/>
          <w:numId w:val="2"/>
        </w:numPr>
        <w:spacing w:after="20" w:before="20" w:line="300"/>
      </w:pPr>
      <w:r>
        <w:rPr>
          <w:rFonts w:ascii="Calibri" w:eastAsia="Yu Gothic" w:hAnsi="Calibri"/>
        </w:rPr>
        <w:t xml:space="preserve">The three screens required by Design Plan D-8-2“The image editing screen, batch application, and the Rights Document creation screen are provided. The organization of other screens is decided in the design document” correspond to the following screens: the image editing screen is G-25“Image Editing”, batch application is G-09“Export: Batch Application”, and the Rights Document creation screen is G-10“Export: Permitted Scope”.</w:t>
      </w:r>
    </w:p>
    <w:p>
      <w:pPr>
        <w:pStyle w:val="ListParagraph"/>
        <w:keepNext w:val="false"/>
        <w:keepLines/>
        <w:numPr>
          <w:ilvl w:val="0"/>
          <w:numId w:val="2"/>
        </w:numPr>
        <w:spacing w:after="20" w:before="20" w:line="300"/>
      </w:pPr>
      <w:r>
        <w:rPr>
          <w:rFonts w:ascii="Calibri" w:eastAsia="Yu Gothic" w:hAnsi="Calibri"/>
        </w:rPr>
        <w:t xml:space="preserve">The image editing screen (G-25“Image Editing”) is opened directly from “Edit” in the left navigation. It can also be opened in the middle of export (G-09“Export: Batch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1720"/>
        <w:gridCol w:w="3585"/>
        <w:gridCol w:w="3323"/>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c>
          <w:tcPr>
            <w:tcW w:type="dxa" w:w="35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can be done</w:t>
            </w:r>
          </w:p>
        </w:tc>
        <w:tc>
          <w:tcPr>
            <w:tcW w:type="dxa" w:w="33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Main sources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Welcome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language. Read what it can and cannot do (does not collect Users' information, does not match on others' behalf) and that it is not involved in the rights of the original works. Choose “Start”, “Use only to verify”, or “Restore from backup”</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Outline Design Document “What the System protects and does not protect”, Chapter 12, 6 “What Is Returned to the Screens”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and agree to the Terms of Use and Privacy Policy</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3.1 “Required for using NRSD's services”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G-03</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Information</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Enter the handle name, role, and Notice accounts. Each field shows “what it is used for and where it is kept”. Keys, certificates, and the notice code are made on the device at this time</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 “Input of Information for C2PA Signatures”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G-04</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Posting the Notice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 the notice code and sample Notice texts (short, medium, long) and post following per-platform procedures (images)</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2.1 “Input procedure”, 2.2 “Limits of the places where notice codes are posted”, Chapter 5, DD-5-6“Notice templates are prepared in three lengths: short, medium, long”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G-05</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Backup</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 backup file (signing keys and all records encrypted with a passphrase) and choose where to save it. See the date of the last one</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5 “Backup Files”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G-06</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Restore from Backup</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Enter a backup file and passphrase and import signing keys and records (drag allowed)</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5 “Backup Files”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Home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recent works, work in progress (continue), cases in progress, announcements, the number of pending timestamps, and the date of the last backup. Go on to the main work</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Photos and Purpose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a folder (or photos), and decide the purpose (social media / delivery / both) and shoot name. Choose whether to add the identification number after the saved file name for social media (initial value is to add it; afterwards the previous choice; for delivery it is always added; Chapter 3, 7.1). Choose a joint rights holder (one of the counterparties of imported joint-rights documents, or none). When coming from “Export only this photo” in G-25“Image Editing”, it opens with that one photo selected</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8.2 “Differences between streams”, Chapter 4, 12 “Batch Application”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G-09</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Batch Application</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Apply a template to the photos of the chosen folder in batch. Choose the template (whether to include on delivery too is per template). See the results of auto-placement in a grid, and per photo adjust the group's position, size, and rotation, and the layers' visibility and color, and add layers for that photo only (Chapter 4, DD-4-3“A group of layers is the unit of placement”). To change the content or formatting of the Visible Signature, or to write the content of a layer for that photo only, “Edit Visible Signature” opens G-25“Image Editing” in the edit-the-work-session state (Chapter 4, 13.1 “Two states of the image editing screen”). Even if stopped midway, the work session is saved automatically</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12 “Batch Application”, 7 “Placement”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G-10</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Permitted Scope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Permitted Scope for delivery (P1, P2, A1 to A3) and the countries of the Enclosed Document (purchasers' common nationalities). See pictures of what can and cannot be done</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5, 2 “Permitted Scope”, 3 “Enclosed Document”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Run and Results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progress, the list of failures and remedies, the output folder, the list of identification numbers (copyable), and guidance on how C2PA signatures remain per destination</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9 “Batch Processing”, 10 “Output”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and search work data (identification number, shoot name, date). See work details (C2PA signature, timestamp, Permitted Scope, output location)</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7 “Identification Numbers and Work Data”</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Verify</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Put in any image or Enclosed Document and see the results for the C2PA signature, timestamp, invisible watermark (identification number), matching, and Enclosed Document hashes. Usable even before first-run input. Shows the signer's Notice accounts and the expected notice code, and can open the account</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10.2 “Checking by the User”, Chapter 2, 4.1 “Matching with the Notice account”, Chapter 5, DD-5-4“The SHA-256 of the Enclosed Documents is recorded in the manifest”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 a Repost</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Enter the URL, reposted image, screenshot, page record, and evidence input fields, see the matching result, and “Register”</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 “Registration”, 4 “Matching”</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Reposts (Case List)</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cases by reposting site and by status. Cases with the commercial-use mark come to the top. See the last checked date and possible actions</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6 “Status Checking”, 8 “List and Means”, Chapter 7, 6.2 “Joint action and priority”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Case Details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evidence, matching, results of identifying the operator, and status history. “Check current status”, “Take action”, “Extract evidence package”, “Withdraw”</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3 “Evidence Preservation” to 7</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Action Guide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complainant's standing (copyright holder, subject, authorized agent), choose a contact point, and see the required items and evidence to attach. Confirm the guidance on personal information, copy the model text, and open the contact point. Record “complaint made”. See “To prepare further” (optional registrations)</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7 “Legal Action Guidance”, Chapter 12, 3.2 “Optional for Users (the System only guides)”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G-18</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Authorizations and Joint Rights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and import authorizations, create revocations. Create and import joint-rights documents (passed as files, or delivered directly to verified counterparties). Add counterparties and mark them verified with the safety number</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5 “Authorizations and Joint Rights”, 5.5 “Adding contacts (handover of documents)”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G-19</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Keys and Notice Code</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code, validity of the personal root and signing certificate, remaking (changes of input, 20 years after the personal root was made), remaking keys and re-posting the notice code (loss, leak), history of changes of input</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3.4 “Expiry and input errors”, 6 “Rights Holder Information”, 7 “Signing Keys”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G-20</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Settings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items of 10 of this chapter</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Notifications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changes to the terms, reference information updates and corrections, app updates, remaking of the personal root, notices that backup locations are unreachable, free space, procedural deadlines, and vulnerability advisories for components (3.7 “List of notices”)</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12, 6 “What Is Returned to the Screens”, Chapter 9, 4 “Updates”, Chapter 8, 5 “Backup Files”, 6 “Capacity”, Chapter 7, 6.3, Chapter 11, 5.3</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G-22</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Help and Feedback</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per-screen help and the matching procedure. Compose feedback text and send it by one's own e-mail</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6.3 and 9 of this chapter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About This App</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Version, code signing publisher, not being involved in the rights of the original works, not collecting Users' information, list of licenses</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3 “Proof of the Official Version”, Chapter 12, 6 “What Is Returned to the Screens”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G-24</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Compare Clues</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an image thought to be one's own work has someone else's C2PA signature, see the clues of the invisible watermark, timestamp, ingredient history, Original, and Notice side by side (no judgment). Go on to possible actions (G-17“Action Guide”)</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4.4 “Clues when a person posing as the Rights Holder appears”, Design Plan 5.5 “Handling of Matching When a Signature Has Been Overwritten”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w:t>
            </w:r>
          </w:p>
        </w:tc>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 Editing</w:t>
            </w:r>
          </w:p>
        </w:tc>
        <w:tc>
          <w:tcPr>
            <w:tcW w:type="dxa" w:w="35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for creating and editing Visible Signature templates. On a sample photo, stack text layers (name, account, date, license notice, identification number, free text) and image layers (overlay images); decide per layer the stacking order, visibility, lock, and opacity, and the text's font, size, color, direction (horizontal, vertical, rotation), and outline; and save as a template. A single photo can also be opened, drawn on for that photo only, and exported. It has two states, “edit the template” and “edit the work session”, and shows the current state at the top of the screen (Chapter 4, 13.1 “Two states of the image editing screen”). The state in the middle of editing is saved automatically and can be continued from “Work in progress” on Home. Opened from “Edit” in the left navigation</w:t>
            </w:r>
          </w:p>
        </w:tc>
        <w:tc>
          <w:tcPr>
            <w:tcW w:type="dxa" w:w="33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2 “Scope of the Visible Signature”, 3 “Text Layers”, 4 “Groups and Layers”, 5 “Image Layers”, 6 “Fonts and Emoji”, 7 “Placement”, 8 “Templates”, 9 “Editing Operations”, 11 “Work Sessions (the State in the Middle of Editing)”</w:t>
            </w:r>
          </w:p>
        </w:tc>
      </w:tr>
    </w:tbl>
    <w:p>
      <w:pPr>
        <w:spacing w:after="100" w:before="0"/>
      </w:pPr>
    </w:p>
    <w:p>
      <w:pPr>
        <w:pStyle w:val="Heading2"/>
      </w:pPr>
      <w:r>
        <w:rPr>
          <w:rFonts w:ascii="Calibri" w:eastAsia="Yu Gothic" w:hAnsi="Calibri"/>
        </w:rPr>
        <w:t xml:space="preserve">3.2 Transitions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4"/>
        <w:gridCol w:w="2931"/>
        <w:gridCol w:w="4803"/>
      </w:tblGrid>
      <w:tr>
        <w:trPr>
          <w:cantSplit/>
          <w:tblHeader/>
        </w:trPr>
        <w:tc>
          <w:tcPr>
            <w:tcW w:type="dxa" w:w="19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From</w:t>
            </w:r>
          </w:p>
        </w:tc>
        <w:tc>
          <w:tcPr>
            <w:tcW w:type="dxa" w:w="29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To</w:t>
            </w:r>
          </w:p>
        </w:tc>
        <w:tc>
          <w:tcPr>
            <w:tcW w:type="dxa" w:w="48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Condition</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First start</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“Start”</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G-06“Restore from Backup”</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“Restore from backup”</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“Use only to verify”</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 then G-03“Signing Information”, then G-04“Posting the Notice”, then G-05“Create Backup”</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“Back” is possible at each step. Even if stopped midway, input is saved and continues at the next start. G-05 can be skipped (if skipped there is no backup location, and the 7-day notice of Chapter 8, 5.5 appears on Home)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G-24“Compare Clues”</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there is someone else's C2PA signature and it relates to one's own watermark or work data</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G-24“Compare Clues”</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possible actions”</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then G-09“Export: Batch Application”, then (for delivery) G-10“Export: Permitted Scope”, then G-11“Export: Run and Results”</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social media only, G-10“Export: Permitted Scope” is skipped</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 and navigation</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 G-13“Verify”, G-15“Reposts (Case List)”</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of the stage where the work session stopped (G-09“Export: Batch Application”, G-10“Export: Permitted Scope”, G-25“Image Editing”, etc.)</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“Continue” in “Work in progress”</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 and navigation</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 in the navigation, or “Create a Visible Signature” on Home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a folder with this template” (proceeds with the chosen template)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only this photo” (opens with the open photo selected. Purpose, export preset, shoot name, whether to add the identification number to the file name, joint rights holder, and export destination are decided here. Next is G-10“Export: Permitted Scope” if delivery, or G-11“Export: Run and Results” if social media only. As it is one photo, G-09“Export: Batch Application” is not passed through)</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G-09“Export: Batch Application”</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(edit-the-work-session state)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 Visible Signature” (opens the selected photo. Edits take effect in that work session at once. “Back” returns to G-09“Export: Batch Application”; Chapter 4, 13.1 “Two states of the image editing screen”)</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G-09“Export: Batch Application”, or G-25“Image Editing” (edit-the-work-session state)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fixing photos that need adjustment or have missing glyphs in the pre-export check (“Back to adjust”). Batch exports return to G-09“Export: Batch Application”, single-photo exports to G-25“Image Editing”</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start</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at the top of G-07“Home”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 previous session did not end properly (Chapter 4, 11.5 “After abnormal termination”). “Continue” opens the work session or template draft</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G-15“Reposts (Case List)”</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 a repost”</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After registration</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“Take action”</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After recording “complaint made”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 G-13“Verify”</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 this repost” from the matching result (only if first-run input has been completed)</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G-03“Signing Information”</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“Register this repost” is pressed before first-run input (registration needs the signing information)</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Settings (G-20“Settings”)</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G-05“Create Backup”, G-06“Restore from Backup”, G-18“Authorizations and Joint Rights”, G-19“Keys and Notice Code”, G-23“About This App”</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Any screen</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G-22“Help and Feedback”</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Help mark, F1 key</w:t>
            </w:r>
          </w:p>
        </w:tc>
      </w:tr>
      <w:tr>
        <w:trPr>
          <w:cantSplit/>
          <w:tblHeader w:val="off"/>
        </w:trPr>
        <w:tc>
          <w:tcPr>
            <w:tcW w:type="dxa" w:w="19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start</w:t>
            </w:r>
          </w:p>
        </w:tc>
        <w:tc>
          <w:tcPr>
            <w:tcW w:type="dxa" w:w="29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c>
          <w:tcPr>
            <w:tcW w:type="dxa" w:w="48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Changes to the terms (if re-consent is needed, the consent screen first), or when below the minimum version (Chapter 9, 4 “Updates”)</w:t>
            </w:r>
          </w:p>
        </w:tc>
      </w:tr>
    </w:tbl>
    <w:p>
      <w:pPr>
        <w:spacing w:after="100" w:before="0"/>
      </w:pPr>
    </w:p>
    <w:p>
      <w:pPr>
        <w:keepNext/>
        <w:spacing w:after="60" w:before="160"/>
        <w:jc w:val="center"/>
      </w:pPr>
      <w:r>
        <w:drawing>
          <wp:inline distT="0" distB="0" distL="0" distR="0">
            <wp:extent cx="6096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052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10-1 Screen transitions</w:t>
      </w:r>
    </w:p>
    <w:p>
      <w:pPr>
        <w:pStyle w:val="ListParagraph"/>
        <w:keepNext w:val="false"/>
        <w:keepLines/>
        <w:numPr>
          <w:ilvl w:val="0"/>
          <w:numId w:val="2"/>
        </w:numPr>
        <w:spacing w:after="20" w:before="20" w:line="300"/>
      </w:pPr>
      <w:r>
        <w:rPr>
          <w:rFonts w:ascii="Calibri" w:eastAsia="Yu Gothic" w:hAnsi="Calibri"/>
        </w:rPr>
        <w:t xml:space="preserve">Even before first-run input, G-13“Verify”, G-22“Help and Feedback”, and G-23“About This App” can be used. From G-13“Verify” before first-run input, one cannot proceed to G-14“Register a Repost”; an entrance to G-03“Signing Information” is shown instead (the exit of G-13“Verify”).</w:t>
      </w:r>
    </w:p>
    <w:p>
      <w:pPr>
        <w:pStyle w:val="Heading2"/>
      </w:pPr>
      <w:r>
        <w:rPr>
          <w:rFonts w:ascii="Calibri" w:eastAsia="Yu Gothic" w:hAnsi="Calibri"/>
        </w:rPr>
        <w:t xml:space="preserve">3.3 Layout of the main screens (rough proposal)</w:t>
      </w:r>
    </w:p>
    <w:p>
      <w:pPr>
        <w:pStyle w:val="ListParagraph"/>
        <w:keepNext/>
        <w:keepLines/>
        <w:numPr>
          <w:ilvl w:val="0"/>
          <w:numId w:val="2"/>
        </w:numPr>
        <w:spacing w:after="20" w:before="20" w:line="300"/>
      </w:pPr>
      <w:r>
        <w:rPr>
          <w:rFonts w:ascii="Calibri" w:eastAsia="Yu Gothic" w:hAnsi="Calibri"/>
        </w:rPr>
        <w:t xml:space="preserve">The minimum window size is 1024×700 pixels. In windows smaller than this, the left navigation collapses to icons only.</w:t>
      </w:r>
    </w:p>
    <w:p>
      <w:pPr>
        <w:pStyle w:val="ListParagraph"/>
        <w:keepNext w:val="false"/>
        <w:keepLines/>
        <w:numPr>
          <w:ilvl w:val="0"/>
          <w:numId w:val="2"/>
        </w:numPr>
        <w:spacing w:after="20" w:before="20" w:line="300"/>
      </w:pPr>
      <w:r>
        <w:rPr>
          <w:rFonts w:ascii="Calibri" w:eastAsia="Yu Gothic" w:hAnsi="Calibri"/>
        </w:rPr>
        <w:t xml:space="preserve">The following shows the content of each area. The final rendering of the look is done in the Lead Developer's design (DD-10-2“Design is done and judged by NRSD's Lead Developer”). The figures are rough proposals of the layout, and colors use the definitions of 2.3 “Colors”.</w:t>
      </w:r>
    </w:p>
    <w:p>
      <w:pPr>
        <w:keepNext/>
        <w:keepLines/>
        <w:spacing w:after="80" w:before="80" w:line="320"/>
      </w:pPr>
      <w:r>
        <w:rPr>
          <w:rFonts w:ascii="Calibri" w:eastAsia="Yu Gothic" w:hAnsi="Calibri"/>
        </w:rPr>
        <w:t xml:space="preserve">G-07“Home”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cantSplit/>
          <w:tblHeader/>
        </w:trPr>
        <w:tc>
          <w:tcPr>
            <w:tcW w:type="dxa" w:w="9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86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Top</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character's remark (according to the time of day and state), N pending timestamps, “Last backup: N minutes ago” and, per location, the date/time of the last successful verification (notified only when no location has been reachable for 7 days; Chapter 8, 5.5)</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Upper center</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Two large buttons: “Export photos” and “Register a repost”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Center</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in progress (reduced image, work session name, last edited date/time, current stage; “Continue”)</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Center</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Recent works (reduced images in a row, 10 items)</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Cases in progress (status and a word on what to do next), announcements (number unread)</w:t>
            </w:r>
          </w:p>
        </w:tc>
      </w:tr>
    </w:tbl>
    <w:p>
      <w:pPr>
        <w:spacing w:after="100" w:before="0"/>
      </w:pPr>
    </w:p>
    <w:p>
      <w:pPr>
        <w:keepNext/>
        <w:spacing w:after="60" w:before="160"/>
        <w:jc w:val="center"/>
      </w:pPr>
      <w:r>
        <w:drawing>
          <wp:inline distT="0" distB="0" distL="0" distR="0">
            <wp:extent cx="6096000" cy="3733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10-2 Layout of G-07“Home” (rough proposal)</w:t>
      </w:r>
    </w:p>
    <w:p>
      <w:pPr>
        <w:keepNext/>
        <w:keepLines/>
        <w:spacing w:after="80" w:before="80" w:line="320"/>
      </w:pPr>
      <w:r>
        <w:rPr>
          <w:rFonts w:ascii="Calibri" w:eastAsia="Yu Gothic" w:hAnsi="Calibri"/>
        </w:rPr>
        <w:t xml:space="preserve">G-09“Export: Batch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8718"/>
      </w:tblGrid>
      <w:tr>
        <w:trPr>
          <w:cantSplit/>
          <w:tblHeader/>
        </w:trPr>
        <w:tc>
          <w:tcPr>
            <w:tcW w:type="dxa" w:w="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87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Top</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Stage display (four stages: photos and purpose, batch application, Permitted Scope, run; the current stage emphasized)</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Left</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templates (three defaults and one's own). If the original version of the work session's template has become newer, “The template has a new version” and “Take in” (Chapter 4, 8.2 “Versions”). “Edit Visible Signature” (opens G-25“Image Editing” in the edit-the-work-session state)</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Center</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Grid of photos (reduced images shown with the Visible Signature overlaid). A caution mark on photos that “need adjustment”. A pencil mark on adjusted photos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Enlargement of the selected photo and adjustment tools (candidate group positions, size, rotation, layer visibility and color, add a layer for that photo only, undo and redo). To change an element's text or font, or to write the content of a layer for that photo only, “Edit Visible Signature” opens G-25“Image Editing”</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Bottom</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“Re-place everything automatically”, “Next”</w:t>
            </w:r>
          </w:p>
        </w:tc>
      </w:tr>
    </w:tbl>
    <w:p>
      <w:pPr>
        <w:spacing w:after="100" w:before="0"/>
      </w:pPr>
    </w:p>
    <w:p>
      <w:pPr>
        <w:keepNext/>
        <w:spacing w:after="60" w:before="160"/>
        <w:jc w:val="center"/>
      </w:pPr>
      <w:r>
        <w:drawing>
          <wp:inline distT="0" distB="0" distL="0" distR="0">
            <wp:extent cx="6096000" cy="3733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10-3 Layout of G-09“Export: Batch Application” (rough proposal)</w:t>
      </w:r>
    </w:p>
    <w:p>
      <w:pPr>
        <w:keepNext/>
        <w:keepLines/>
        <w:spacing w:after="80" w:before="80" w:line="320"/>
      </w:pPr>
      <w:r>
        <w:rPr>
          <w:rFonts w:ascii="Calibri" w:eastAsia="Yu Gothic" w:hAnsi="Calibri"/>
        </w:rPr>
        <w:t xml:space="preserve">G-25“Image Editing”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cantSplit/>
          <w:tblHeader/>
        </w:trPr>
        <w:tc>
          <w:tcPr>
            <w:tcW w:type="dxa" w:w="9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86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Top</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Current state (“Template: &lt;name&gt;” or “Work session: &lt;name&gt; (Photo: &lt;file name&gt;)”; Chapter 4, 13.1 “Two states of the image editing screen”), save state (“Saved” and time; saved automatically), “Save”, “Save as” (“Also save to template” in the edit-the-work-session state), undo and redo, open the history list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Upper left</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templates (edit-the-template state), or list of the work session's photos (edit-the-work-session state). “Open photo”, import fonts, import image assets</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Left</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groups and list of layers. Higher layers are drawn in front. Per layer, toggles for visibility and lock, and opacity. Drag to change stacking order. “Add text layer”, “Add image layer”, “Duplicate”, “Delete”</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Center</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Visible Signature overlaid on the sample photo as it will actually look. Elements are moved by dragging, resized with the corner handles, and rotated with the top handle. Snap lines to edges and centers are shown</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Settings of the selected element: text (account name, etc.) and the placeholder list, font, size, color (white, black, auto to suit the background), direction (horizontal, vertical) and rotation (−180 to 180 degrees; Chapter 4, 3.2 “Formatting”), outline and shadow, opacity, the group's placement (single, tiling). In the edit-the-work-session state, a switch “All photos in this work session” / “This photo only” at the top. For overlay images, choosing the image and cautions on imported assets</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Bottom area</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Change the sample photo (edit-the-template state; check how it looks on bright, dark, portrait, and landscape photos). The “also include on delivery” toggle. “Compare before/after”</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Bottom</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a folder with this template” (edit-the-template state), “Export only this photo” (edit-the-work-session state for a single-photo work session)</w:t>
            </w:r>
          </w:p>
        </w:tc>
      </w:tr>
    </w:tbl>
    <w:p>
      <w:pPr>
        <w:spacing w:after="100" w:before="0"/>
      </w:pPr>
    </w:p>
    <w:p>
      <w:pPr>
        <w:keepNext/>
        <w:spacing w:after="60" w:before="160"/>
        <w:jc w:val="center"/>
      </w:pPr>
      <w:r>
        <w:drawing>
          <wp:inline distT="0" distB="0" distL="0" distR="0">
            <wp:extent cx="6096000" cy="3733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10-7 Layout of G-25“Image Editing” (rough proposal)</w:t>
      </w:r>
    </w:p>
    <w:p>
      <w:pPr>
        <w:keepNext/>
        <w:keepLines/>
        <w:spacing w:after="80" w:before="80" w:line="320"/>
      </w:pPr>
      <w:r>
        <w:rPr>
          <w:rFonts w:ascii="Calibri" w:eastAsia="Yu Gothic" w:hAnsi="Calibri"/>
        </w:rPr>
        <w:t xml:space="preserve">G-10“Export: Permitted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8718"/>
      </w:tblGrid>
      <w:tr>
        <w:trPr>
          <w:cantSplit/>
          <w:tblHeader/>
        </w:trPr>
        <w:tc>
          <w:tcPr>
            <w:tcW w:type="dxa" w:w="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87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Upper</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Two radio buttons for the basic scope (P1 Viewing only / P2 Viewing and private printing). Each has a sentence and a picture, and what can and cannot be done is shown in text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Middle</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Three checkboxes for additional permissions (A1 Introducing on social media / A2 Personal editing / A3 AI training and inference). A3 is unchecked by default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Lower</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conditions always included (commercial use requires separate permission, no transfer, sharing, or reposting, rights do not transfer, do not remove Matching Data) shown as fixed text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Countries of the Enclosed Document (choose purchasers' common nationalities; no default) and a preview of the Enclosed Document</w:t>
            </w:r>
          </w:p>
        </w:tc>
      </w:tr>
    </w:tbl>
    <w:p>
      <w:pPr>
        <w:spacing w:after="100" w:before="0"/>
      </w:pPr>
    </w:p>
    <w:p>
      <w:pPr>
        <w:keepNext/>
        <w:spacing w:after="60" w:before="160"/>
        <w:jc w:val="center"/>
      </w:pPr>
      <w:r>
        <w:drawing>
          <wp:inline distT="0" distB="0" distL="0" distR="0">
            <wp:extent cx="6096000" cy="3733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10-4 Layout of G-10“Export: Permitted Scope” (rough proposal)</w:t>
      </w:r>
    </w:p>
    <w:p>
      <w:pPr>
        <w:keepNext/>
        <w:keepLines/>
        <w:spacing w:after="80" w:before="80" w:line="320"/>
      </w:pPr>
      <w:r>
        <w:rPr>
          <w:rFonts w:ascii="Calibri" w:eastAsia="Yu Gothic" w:hAnsi="Calibri"/>
        </w:rPr>
        <w:t xml:space="preserve">G-14“Register a Repost”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8675"/>
      </w:tblGrid>
      <w:tr>
        <w:trPr>
          <w:cantSplit/>
          <w:tblHeader/>
        </w:trPr>
        <w:tc>
          <w:tcPr>
            <w:tcW w:type="dxa" w:w="9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86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Upper</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URL field. On pasting, platform determination and a notice “You have N items from this site in your list”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Middle left</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Field for the reposted image (file or URL) and the matching result (level mark and text)</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Middle right</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Field for screenshots (a required mark for pages requiring login), page record (taken by default; the option “Do not take it for this registration”)</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Lower</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Input fields for evidence that should be kept (collapsed; “as far as you know”), cautions on saving (Chapter 12, 6 “What Is Returned to the Screens”)</w:t>
            </w:r>
          </w:p>
        </w:tc>
      </w:tr>
      <w:tr>
        <w:trPr>
          <w:cantSplit/>
          <w:tblHeader w:val="off"/>
        </w:trPr>
        <w:tc>
          <w:tcPr>
            <w:tcW w:type="dxa" w:w="9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Bottom</w:t>
            </w:r>
          </w:p>
        </w:tc>
        <w:tc>
          <w:tcPr>
            <w:tcW w:type="dxa" w:w="8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 (if evidence is scarce, a line saying so)</w:t>
            </w:r>
          </w:p>
        </w:tc>
      </w:tr>
    </w:tbl>
    <w:p>
      <w:pPr>
        <w:spacing w:after="100" w:before="0"/>
      </w:pPr>
    </w:p>
    <w:p>
      <w:pPr>
        <w:keepNext/>
        <w:spacing w:after="60" w:before="160"/>
        <w:jc w:val="center"/>
      </w:pPr>
      <w:r>
        <w:drawing>
          <wp:inline distT="0" distB="0" distL="0" distR="0">
            <wp:extent cx="6096000" cy="3733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10-5 Layout of G-14“Register a Repost” (rough proposal)</w:t>
      </w:r>
    </w:p>
    <w:p>
      <w:pPr>
        <w:keepNext/>
        <w:keepLines/>
        <w:spacing w:after="80" w:before="80" w:line="320"/>
      </w:pPr>
      <w:r>
        <w:rPr>
          <w:rFonts w:ascii="Calibri" w:eastAsia="Yu Gothic" w:hAnsi="Calibri"/>
        </w:rPr>
        <w:t xml:space="preserve">G-16“Case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0"/>
        <w:gridCol w:w="8718"/>
      </w:tblGrid>
      <w:tr>
        <w:trPr>
          <w:cantSplit/>
          <w:tblHeader/>
        </w:trPr>
        <w:tc>
          <w:tcPr>
            <w:tcW w:type="dxa" w:w="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Area</w:t>
            </w:r>
          </w:p>
        </w:tc>
        <w:tc>
          <w:tcPr>
            <w:tcW w:type="dxa" w:w="87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Upper</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Case number, domain of the repost destination, status (mark and text), commercial-use mark</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Left</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evidence (screenshots, fetch records, presence of timestamps)</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Right</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Matching result (identification number, Permitted Scope, candidates for what is violated), who and where (country, provider, contact point)</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Lower</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Status history (in date order)</w:t>
            </w:r>
          </w:p>
        </w:tc>
      </w:tr>
      <w:tr>
        <w:trPr>
          <w:cantSplit/>
          <w:tblHeader w:val="off"/>
        </w:trPr>
        <w:tc>
          <w:tcPr>
            <w:tcW w:type="dxa" w:w="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Bottom</w:t>
            </w:r>
          </w:p>
        </w:tc>
        <w:tc>
          <w:tcPr>
            <w:tcW w:type="dxa" w:w="87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current status”, “Take action”, “Extract evidence package”, “Withdraw”. At the very bottom, the permanent text “This is not legal advice”</w:t>
            </w:r>
          </w:p>
        </w:tc>
      </w:tr>
    </w:tbl>
    <w:p>
      <w:pPr>
        <w:spacing w:after="100" w:before="0"/>
      </w:pPr>
    </w:p>
    <w:p>
      <w:pPr>
        <w:keepNext/>
        <w:spacing w:after="60" w:before="160"/>
        <w:jc w:val="center"/>
      </w:pPr>
      <w:r>
        <w:drawing>
          <wp:inline distT="0" distB="0" distL="0" distR="0">
            <wp:extent cx="6096000" cy="3733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3380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 10-6 Layout of G-16“Case Details” (rough proposal)</w:t>
      </w:r>
    </w:p>
    <w:p>
      <w:pPr>
        <w:pStyle w:val="Heading2"/>
      </w:pPr>
      <w:r>
        <w:rPr>
          <w:rFonts w:ascii="Calibri" w:eastAsia="Yu Gothic" w:hAnsi="Calibri"/>
        </w:rPr>
        <w:t xml:space="preserve">3.4 Displaying large lists</w:t>
      </w:r>
    </w:p>
    <w:p>
      <w:pPr>
        <w:pStyle w:val="ListParagraph"/>
        <w:keepNext/>
        <w:keepLines/>
        <w:numPr>
          <w:ilvl w:val="0"/>
          <w:numId w:val="2"/>
        </w:numPr>
        <w:spacing w:after="20" w:before="20" w:line="300"/>
      </w:pPr>
      <w:r>
        <w:rPr>
          <w:rFonts w:ascii="Calibri" w:eastAsia="Yu Gothic" w:hAnsi="Calibri"/>
        </w:rPr>
        <w:t xml:space="preserve">Works (G-12“Works”) and the grid (G-09“Export: Batch Application”) are lists that draw only the visible rows (virtual lists), and reduced images are saved on the device and reused.</w:t>
      </w:r>
    </w:p>
    <w:p>
      <w:pPr>
        <w:pStyle w:val="ListParagraph"/>
        <w:keepNext w:val="false"/>
        <w:keepLines/>
        <w:numPr>
          <w:ilvl w:val="0"/>
          <w:numId w:val="2"/>
        </w:numPr>
        <w:spacing w:after="20" w:before="20" w:line="300"/>
      </w:pPr>
      <w:r>
        <w:rPr>
          <w:rFonts w:ascii="Calibri" w:eastAsia="Yu Gothic" w:hAnsi="Calibri"/>
        </w:rPr>
        <w:t xml:space="preserve">[To be measured] Time to first display of a list of 10,000 works, and scrolling a grid of 500 images. Assumption: within 1 second, smooth (around 60 frames per second). Criterion: first display within 2 seconds, no perceptible stutter when scrolling (checked in trials).</w:t>
      </w:r>
    </w:p>
    <w:p>
      <w:pPr>
        <w:pStyle w:val="Heading2"/>
      </w:pPr>
      <w:r>
        <w:rPr>
          <w:rFonts w:ascii="Calibri" w:eastAsia="Yu Gothic" w:hAnsi="Calibri"/>
        </w:rPr>
        <w:t xml:space="preserve">3.5 Specifications per screen</w:t>
      </w:r>
    </w:p>
    <w:p>
      <w:pPr>
        <w:pStyle w:val="ListParagraph"/>
        <w:keepNext w:val="false"/>
        <w:keepLines/>
        <w:numPr>
          <w:ilvl w:val="0"/>
          <w:numId w:val="2"/>
        </w:numPr>
        <w:spacing w:after="20" w:before="20" w:line="300"/>
      </w:pPr>
      <w:r>
        <w:rPr>
          <w:rFonts w:ascii="Calibri" w:eastAsia="Yu Gothic" w:hAnsi="Calibri"/>
        </w:rPr>
        <w:t xml:space="preserve">The purpose, main elements, states (empty, processing, error), and exits of each screen are shown. Entrances are summarized in the table of 3.2 “Transitions” (only G-01“Welcome” has first start as its entrance, which is also written in the screen specification). For screens with layout figures, see 3.3 as well.</w:t>
      </w:r>
    </w:p>
    <w:p>
      <w:pPr>
        <w:pStyle w:val="Heading3"/>
      </w:pPr>
      <w:r>
        <w:rPr>
          <w:rFonts w:ascii="Calibri" w:eastAsia="Yu Gothic" w:hAnsi="Calibri"/>
        </w:rPr>
        <w:t xml:space="preserve">G-01 Welcome</w:t>
      </w:r>
    </w:p>
    <w:p>
      <w:pPr>
        <w:pStyle w:val="ListParagraph"/>
        <w:keepNext/>
        <w:keepLines/>
        <w:numPr>
          <w:ilvl w:val="0"/>
          <w:numId w:val="2"/>
        </w:numPr>
        <w:spacing w:after="20" w:before="20" w:line="300"/>
      </w:pPr>
      <w:r>
        <w:rPr>
          <w:rFonts w:ascii="Calibri" w:eastAsia="Yu Gothic" w:hAnsi="Calibri"/>
        </w:rPr>
        <w:t xml:space="preserve">Purpose: choose the language, and read what this app can and cannot do and that it is not involved in the rights of the original works.</w:t>
      </w:r>
    </w:p>
    <w:p>
      <w:pPr>
        <w:pStyle w:val="ListParagraph"/>
        <w:keepNext/>
        <w:keepLines/>
        <w:numPr>
          <w:ilvl w:val="0"/>
          <w:numId w:val="2"/>
        </w:numPr>
        <w:spacing w:after="20" w:before="20" w:line="300"/>
      </w:pPr>
      <w:r>
        <w:rPr>
          <w:rFonts w:ascii="Calibri" w:eastAsia="Yu Gothic" w:hAnsi="Calibri"/>
        </w:rPr>
        <w:t xml:space="preserve">Recommending device encryption: after the three key points, a line “Records are saved on this PC. Please enable PC encryption (Windows device encryption / BitLocker, macOS FileVault, Linux LUKS)” and guidance on how to open each OS's setting are placed (Chapter 8, DD-8-7“Encryption of records is left to full-disk encryption of the OS”).</w:t>
      </w:r>
    </w:p>
    <w:p>
      <w:pPr>
        <w:pStyle w:val="ListParagraph"/>
        <w:keepNext/>
        <w:keepLines/>
        <w:numPr>
          <w:ilvl w:val="0"/>
          <w:numId w:val="2"/>
        </w:numPr>
        <w:spacing w:after="20" w:before="20" w:line="300"/>
      </w:pPr>
      <w:r>
        <w:rPr>
          <w:rFonts w:ascii="Calibri" w:eastAsia="Yu Gothic" w:hAnsi="Calibri"/>
        </w:rPr>
        <w:t xml:space="preserve">Entrance: first start.</w:t>
      </w:r>
    </w:p>
    <w:p>
      <w:pPr>
        <w:pStyle w:val="ListParagraph"/>
        <w:keepNext/>
        <w:keepLines/>
        <w:numPr>
          <w:ilvl w:val="0"/>
          <w:numId w:val="2"/>
        </w:numPr>
        <w:spacing w:after="20" w:before="20" w:line="300"/>
      </w:pPr>
      <w:r>
        <w:rPr>
          <w:rFonts w:ascii="Calibri" w:eastAsia="Yu Gothic" w:hAnsi="Calibri"/>
        </w:rPr>
        <w:t xml:space="preserve">Elements: language selection (Japanese, Chinese, English), the three key points (does not collect, does not match on others' behalf, not involved in the rights of the original works), “Start”, “Use only to verify”, “Restore from backup”.</w:t>
      </w:r>
    </w:p>
    <w:p>
      <w:pPr>
        <w:pStyle w:val="ListParagraph"/>
        <w:keepNext w:val="false"/>
        <w:keepLines/>
        <w:numPr>
          <w:ilvl w:val="0"/>
          <w:numId w:val="2"/>
        </w:numPr>
        <w:spacing w:after="20" w:before="20" w:line="300"/>
      </w:pPr>
      <w:r>
        <w:rPr>
          <w:rFonts w:ascii="Calibri" w:eastAsia="Yu Gothic" w:hAnsi="Calibri"/>
        </w:rPr>
        <w:t xml:space="preserve">Exits: G-02“Consent”, G-13“Verify”, G-06“Restore from Backup”.</w:t>
      </w:r>
    </w:p>
    <w:p>
      <w:pPr>
        <w:pStyle w:val="Heading3"/>
      </w:pPr>
      <w:r>
        <w:rPr>
          <w:rFonts w:ascii="Calibri" w:eastAsia="Yu Gothic" w:hAnsi="Calibri"/>
        </w:rPr>
        <w:t xml:space="preserve">G-02 Consent</w:t>
      </w:r>
    </w:p>
    <w:p>
      <w:pPr>
        <w:pStyle w:val="ListParagraph"/>
        <w:keepNext/>
        <w:keepLines/>
        <w:numPr>
          <w:ilvl w:val="0"/>
          <w:numId w:val="2"/>
        </w:numPr>
        <w:spacing w:after="20" w:before="20" w:line="300"/>
      </w:pPr>
      <w:r>
        <w:rPr>
          <w:rFonts w:ascii="Calibri" w:eastAsia="Yu Gothic" w:hAnsi="Calibri"/>
        </w:rPr>
        <w:t xml:space="preserve">Purpose: agree to the Terms of Use and Privacy Policy (Chapter 12, DD-12-2“Terms of Use and Privacy Policy are agreed as standard terms”).</w:t>
      </w:r>
    </w:p>
    <w:p>
      <w:pPr>
        <w:pStyle w:val="ListParagraph"/>
        <w:keepNext/>
        <w:keepLines/>
        <w:numPr>
          <w:ilvl w:val="0"/>
          <w:numId w:val="2"/>
        </w:numPr>
        <w:spacing w:after="20" w:before="20" w:line="300"/>
      </w:pPr>
      <w:r>
        <w:rPr>
          <w:rFonts w:ascii="Calibri" w:eastAsia="Yu Gothic" w:hAnsi="Calibri"/>
        </w:rPr>
        <w:t xml:space="preserve">Elements: key points (five lines: not involved in the rights of the original works, does not match on others' behalf, Users' records are on the device and NRSD does not receive them, not legal advice, scope of disclaimers), full text (scrolling), version and effective date, two buttons “Agree and continue” and “Continue without agreeing”. Above the buttons: “If you do not agree, NRSD's reference information (new versions of contact points, sample texts, and references to each country's law) will not be obtained. The version bundled with the app will be used. Other functions can be used” (Chapter 12, DD-12-3“Consent gates only the fetching of reference information”).</w:t>
      </w:r>
    </w:p>
    <w:p>
      <w:pPr>
        <w:pStyle w:val="ListParagraph"/>
        <w:keepNext/>
        <w:keepLines/>
        <w:numPr>
          <w:ilvl w:val="0"/>
          <w:numId w:val="2"/>
        </w:numPr>
        <w:spacing w:after="20" w:before="20" w:line="300"/>
      </w:pPr>
      <w:r>
        <w:rPr>
          <w:rFonts w:ascii="Calibri" w:eastAsia="Yu Gothic" w:hAnsi="Calibri"/>
        </w:rPr>
        <w:t xml:space="preserve">If not agreed: the fact of not agreeing is recorded on the device, and reference information is not obtained. Entrances to agree later are placed in “Terms of Use” in G-20“Settings” and in G-21“Notifications”.</w:t>
      </w:r>
    </w:p>
    <w:p>
      <w:pPr>
        <w:pStyle w:val="ListParagraph"/>
        <w:keepNext w:val="false"/>
        <w:keepLines/>
        <w:numPr>
          <w:ilvl w:val="0"/>
          <w:numId w:val="2"/>
        </w:numPr>
        <w:spacing w:after="20" w:before="20" w:line="300"/>
      </w:pPr>
      <w:r>
        <w:rPr>
          <w:rFonts w:ascii="Calibri" w:eastAsia="Yu Gothic" w:hAnsi="Calibri"/>
        </w:rPr>
        <w:t xml:space="preserve">Exits: G-03“Signing Information” (with either button). When the terms change, this screen is shown at start, and the exit is the original screen (from G-21“Notifications”).</w:t>
      </w:r>
    </w:p>
    <w:p>
      <w:pPr>
        <w:pStyle w:val="Heading3"/>
      </w:pPr>
      <w:r>
        <w:rPr>
          <w:rFonts w:ascii="Calibri" w:eastAsia="Yu Gothic" w:hAnsi="Calibri"/>
        </w:rPr>
        <w:t xml:space="preserve">G-03 Signing Information</w:t>
      </w:r>
    </w:p>
    <w:p>
      <w:pPr>
        <w:pStyle w:val="ListParagraph"/>
        <w:keepNext/>
        <w:keepLines/>
        <w:numPr>
          <w:ilvl w:val="0"/>
          <w:numId w:val="2"/>
        </w:numPr>
        <w:spacing w:after="20" w:before="20" w:line="300"/>
      </w:pPr>
      <w:r>
        <w:rPr>
          <w:rFonts w:ascii="Calibri" w:eastAsia="Yu Gothic" w:hAnsi="Calibri"/>
        </w:rPr>
        <w:t xml:space="preserve">Purpose: enter the information for C2PA signatures (Chapter 2, 2 “Input of Information for C2PA Signatures”).</w:t>
      </w:r>
    </w:p>
    <w:p>
      <w:pPr>
        <w:pStyle w:val="ListParagraph"/>
        <w:keepNext/>
        <w:keepLines/>
        <w:numPr>
          <w:ilvl w:val="0"/>
          <w:numId w:val="2"/>
        </w:numPr>
        <w:spacing w:after="20" w:before="20" w:line="300"/>
      </w:pPr>
      <w:r>
        <w:rPr>
          <w:rFonts w:ascii="Calibri" w:eastAsia="Yu Gothic" w:hAnsi="Calibri"/>
        </w:rPr>
        <w:t xml:space="preserve">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0"/>
        <w:gridCol w:w="1520"/>
        <w:gridCol w:w="1940"/>
        <w:gridCol w:w="4858"/>
      </w:tblGrid>
      <w:tr>
        <w:trPr>
          <w:cantSplit/>
          <w:tblHeader/>
        </w:trPr>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Kind</w:t>
            </w:r>
          </w:p>
        </w:tc>
        <w:tc>
          <w:tcPr>
            <w:tcW w:type="dxa" w:w="19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Limits</w:t>
            </w:r>
          </w:p>
        </w:tc>
        <w:tc>
          <w:tcPr>
            <w:tcW w:type="dxa" w:w="48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Explanatory text (what it is used for, where it is kept)</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Handle name</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w:t>
            </w:r>
          </w:p>
        </w:tc>
        <w:tc>
          <w:tcPr>
            <w:tcW w:type="dxa" w:w="1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2.3 “Input validation”</w:t>
            </w:r>
          </w:p>
        </w:tc>
        <w:tc>
          <w:tcPr>
            <w:tcW w:type="dxa" w:w="4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Goes into the certificate and is published together with C2PA-signed images. Do not enter your real name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(Linux without Secret Service only) Passphrase protecting the key</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Masked, entered twice</w:t>
            </w:r>
          </w:p>
        </w:tc>
        <w:tc>
          <w:tcPr>
            <w:tcW w:type="dxa" w:w="1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15 characters or more (NIST SP 800-63B-4; the same as Chapter 8, 5.2)</w:t>
            </w:r>
          </w:p>
        </w:tc>
        <w:tc>
          <w:tcPr>
            <w:tcW w:type="dxa" w:w="4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signing key is saved encrypted with a passphrase. Enter it each time the app starts (Chapter 2, 7.5 “Storage method per OS”)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Role</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Selection (cosplayer, photographer, authorized person)</w:t>
            </w:r>
          </w:p>
        </w:tc>
        <w:tc>
          <w:tcPr>
            <w:tcW w:type="dxa" w:w="1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Required</w:t>
            </w:r>
          </w:p>
        </w:tc>
        <w:tc>
          <w:tcPr>
            <w:tcW w:type="dxa" w:w="4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Goes into the image's record (manifest)</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accounts</w:t>
            </w:r>
          </w:p>
        </w:tc>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URLs (several; add and remove)</w:t>
            </w:r>
          </w:p>
        </w:tc>
        <w:tc>
          <w:tcPr>
            <w:tcW w:type="dxa" w:w="19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2.3 “Input validation”</w:t>
            </w:r>
          </w:p>
        </w:tc>
        <w:tc>
          <w:tcPr>
            <w:tcW w:type="dxa" w:w="48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 into the certificate and are published. These are the accounts where the notice code is posted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State: pressing “Create” shows progress (a few seconds) while keys and certificates are made.</w:t>
      </w:r>
    </w:p>
    <w:p>
      <w:pPr>
        <w:pStyle w:val="ListParagraph"/>
        <w:keepNext/>
        <w:keepLines/>
        <w:numPr>
          <w:ilvl w:val="0"/>
          <w:numId w:val="2"/>
        </w:numPr>
        <w:spacing w:after="20" w:before="20" w:line="300"/>
      </w:pPr>
      <w:r>
        <w:rPr>
          <w:rFonts w:ascii="Calibri" w:eastAsia="Yu Gothic" w:hAnsi="Calibri"/>
        </w:rPr>
        <w:t xml:space="preserve">Errors: error text below the field (Chapter 2, 2.3 “Input validation”). If the keystore cannot be written, the reason and what to do next (Chapter 2, 8 “Handling Failures”).</w:t>
      </w:r>
    </w:p>
    <w:p>
      <w:pPr>
        <w:pStyle w:val="ListParagraph"/>
        <w:keepNext w:val="false"/>
        <w:keepLines/>
        <w:numPr>
          <w:ilvl w:val="0"/>
          <w:numId w:val="2"/>
        </w:numPr>
        <w:spacing w:after="20" w:before="20" w:line="300"/>
      </w:pPr>
      <w:r>
        <w:rPr>
          <w:rFonts w:ascii="Calibri" w:eastAsia="Yu Gothic" w:hAnsi="Calibri"/>
        </w:rPr>
        <w:t xml:space="preserve">Exit: G-04“Posting the Notice”. Even if stopped midway, input remains (Chapter 2, 2.1 “Input procedure”).</w:t>
      </w:r>
    </w:p>
    <w:p>
      <w:pPr>
        <w:pStyle w:val="Heading3"/>
      </w:pPr>
      <w:r>
        <w:rPr>
          <w:rFonts w:ascii="Calibri" w:eastAsia="Yu Gothic" w:hAnsi="Calibri"/>
        </w:rPr>
        <w:t xml:space="preserve">G-04 Posting the Notice</w:t>
      </w:r>
    </w:p>
    <w:p>
      <w:pPr>
        <w:pStyle w:val="ListParagraph"/>
        <w:keepNext/>
        <w:keepLines/>
        <w:numPr>
          <w:ilvl w:val="0"/>
          <w:numId w:val="2"/>
        </w:numPr>
        <w:spacing w:after="20" w:before="20" w:line="300"/>
      </w:pPr>
      <w:r>
        <w:rPr>
          <w:rFonts w:ascii="Calibri" w:eastAsia="Yu Gothic" w:hAnsi="Calibri"/>
        </w:rPr>
        <w:t xml:space="preserve">Purpose: copy the notice code and sample texts and post them on the Notice account (Chapter 2, 2.2 “Limits of the places where notice codes are posted”, Chapter 5, 6 “Support for Notices”).</w:t>
      </w:r>
    </w:p>
    <w:p>
      <w:pPr>
        <w:pStyle w:val="ListParagraph"/>
        <w:keepNext/>
        <w:keepLines/>
        <w:numPr>
          <w:ilvl w:val="0"/>
          <w:numId w:val="2"/>
        </w:numPr>
        <w:spacing w:after="20" w:before="20" w:line="300"/>
      </w:pPr>
      <w:r>
        <w:rPr>
          <w:rFonts w:ascii="Calibri" w:eastAsia="Yu Gothic" w:hAnsi="Calibri"/>
        </w:rPr>
        <w:t xml:space="preserve">Elements: notice code (copy button), three levels of sample texts (short, medium, long) in three languages (copy buttons), per-posting-site procedures (images), a “Posted” check (optional; the app does not check whether it was posted).</w:t>
      </w:r>
    </w:p>
    <w:p>
      <w:pPr>
        <w:pStyle w:val="ListParagraph"/>
        <w:keepNext w:val="false"/>
        <w:keepLines/>
        <w:numPr>
          <w:ilvl w:val="0"/>
          <w:numId w:val="2"/>
        </w:numPr>
        <w:spacing w:after="20" w:before="20" w:line="300"/>
      </w:pPr>
      <w:r>
        <w:rPr>
          <w:rFonts w:ascii="Calibri" w:eastAsia="Yu Gothic" w:hAnsi="Calibri"/>
        </w:rPr>
        <w:t xml:space="preserve">Exits: G-05“Create Backup” (recommended), G-07“Home”.</w:t>
      </w:r>
    </w:p>
    <w:p>
      <w:pPr>
        <w:pStyle w:val="Heading3"/>
      </w:pPr>
      <w:r>
        <w:rPr>
          <w:rFonts w:ascii="Calibri" w:eastAsia="Yu Gothic" w:hAnsi="Calibri"/>
        </w:rPr>
        <w:t xml:space="preserve">G-05 Create Backup</w:t>
      </w:r>
    </w:p>
    <w:p>
      <w:pPr>
        <w:pStyle w:val="ListParagraph"/>
        <w:keepNext/>
        <w:keepLines/>
        <w:numPr>
          <w:ilvl w:val="0"/>
          <w:numId w:val="2"/>
        </w:numPr>
        <w:spacing w:after="20" w:before="20" w:line="300"/>
      </w:pPr>
      <w:r>
        <w:rPr>
          <w:rFonts w:ascii="Calibri" w:eastAsia="Yu Gothic" w:hAnsi="Calibri"/>
        </w:rPr>
        <w:t xml:space="preserve">Purpose: create a backup file (Chapter 8, 5.2 “How it is made”).</w:t>
      </w:r>
    </w:p>
    <w:p>
      <w:pPr>
        <w:pStyle w:val="ListParagraph"/>
        <w:keepNext/>
        <w:keepLines/>
        <w:numPr>
          <w:ilvl w:val="0"/>
          <w:numId w:val="2"/>
        </w:numPr>
        <w:spacing w:after="20" w:before="20" w:line="300"/>
      </w:pPr>
      <w:r>
        <w:rPr>
          <w:rFonts w:ascii="Calibri" w:eastAsia="Yu Gothic" w:hAnsi="Calibri"/>
        </w:rPr>
        <w:t xml:space="preserve">The screen title is “Backup” (the same word as Time Machine and Windows File History; the design term is not changed).</w:t>
      </w:r>
    </w:p>
    <w:p>
      <w:pPr>
        <w:pStyle w:val="ListParagraph"/>
        <w:keepNext/>
        <w:keepLines/>
        <w:numPr>
          <w:ilvl w:val="0"/>
          <w:numId w:val="2"/>
        </w:numPr>
        <w:spacing w:after="20" w:before="20" w:line="300"/>
      </w:pPr>
      <w:r>
        <w:rPr>
          <w:rFonts w:ascii="Calibri" w:eastAsia="Yu Gothic" w:hAnsi="Calibri"/>
        </w:rPr>
        <w:t xml:space="preserve">Elements: choose one location (external storage, the Cloud sync folder, another device of one's own; those reachable are detected and shown; several may be chosen), print the emergency kit (a single PDF: the QR code and text of the recovery key, the locations, how to restore, and the procedure for the person taking over; Chapter 8, 5.1), passphrase (entered twice, masked, an estimate of strength and a guide to the time to crack it; Chapter 8, 5.2), whether to include the Originals (default: include), “Back up now”. Afterwards it is automatic every hour and on closing (Chapter 8, 5.5) (2026-09-30, NRSD's requirement).</w:t>
      </w:r>
    </w:p>
    <w:p>
      <w:pPr>
        <w:pStyle w:val="ListParagraph"/>
        <w:keepNext/>
        <w:keepLines/>
        <w:numPr>
          <w:ilvl w:val="0"/>
          <w:numId w:val="2"/>
        </w:numPr>
        <w:spacing w:after="20" w:before="20" w:line="300"/>
      </w:pPr>
      <w:r>
        <w:rPr>
          <w:rFonts w:ascii="Calibri" w:eastAsia="Yu Gothic" w:hAnsi="Calibri"/>
        </w:rPr>
        <w:t xml:space="preserve">Guidance: the “3-2-1” way of keeping backups (three copies, two kinds of media, one in a separate place; Chapter 8, 5.6 “Guidance on where to keep backups”) is shown in one line and a figure. When a location on the same PC is chosen as the destination, “If this PC breaks, the backup will be lost too” is shown.</w:t>
      </w:r>
    </w:p>
    <w:p>
      <w:pPr>
        <w:pStyle w:val="ListParagraph"/>
        <w:keepNext/>
        <w:keepLines/>
        <w:numPr>
          <w:ilvl w:val="0"/>
          <w:numId w:val="2"/>
        </w:numPr>
        <w:spacing w:after="20" w:before="20" w:line="300"/>
      </w:pPr>
      <w:r>
        <w:rPr>
          <w:rFonts w:ascii="Calibri" w:eastAsia="Yu Gothic" w:hAnsi="Calibri"/>
        </w:rPr>
        <w:t xml:space="preserve">States: progress (N MB of M MB, estimated remaining time), completion (destination and creation date/time).</w:t>
      </w:r>
    </w:p>
    <w:p>
      <w:pPr>
        <w:pStyle w:val="ListParagraph"/>
        <w:keepNext/>
        <w:keepLines/>
        <w:numPr>
          <w:ilvl w:val="0"/>
          <w:numId w:val="2"/>
        </w:numPr>
        <w:spacing w:after="20" w:before="20" w:line="300"/>
      </w:pPr>
      <w:r>
        <w:rPr>
          <w:rFonts w:ascii="Calibri" w:eastAsia="Yu Gothic" w:hAnsi="Calibri"/>
        </w:rPr>
        <w:t xml:space="preserve">Errors: not enough free space, passphrase too short or commonly used.</w:t>
      </w:r>
    </w:p>
    <w:p>
      <w:pPr>
        <w:pStyle w:val="ListParagraph"/>
        <w:keepNext w:val="false"/>
        <w:keepLines/>
        <w:numPr>
          <w:ilvl w:val="0"/>
          <w:numId w:val="2"/>
        </w:numPr>
        <w:spacing w:after="20" w:before="20" w:line="300"/>
      </w:pPr>
      <w:r>
        <w:rPr>
          <w:rFonts w:ascii="Calibri" w:eastAsia="Yu Gothic" w:hAnsi="Calibri"/>
        </w:rPr>
        <w:t xml:space="preserve">Exits: G-07“Home”, G-20“Settings”.</w:t>
      </w:r>
    </w:p>
    <w:p>
      <w:pPr>
        <w:pStyle w:val="Heading3"/>
      </w:pPr>
      <w:r>
        <w:rPr>
          <w:rFonts w:ascii="Calibri" w:eastAsia="Yu Gothic" w:hAnsi="Calibri"/>
        </w:rPr>
        <w:t xml:space="preserve">G-06 Restore from Backup</w:t>
      </w:r>
    </w:p>
    <w:p>
      <w:pPr>
        <w:pStyle w:val="ListParagraph"/>
        <w:keepNext/>
        <w:keepLines/>
        <w:numPr>
          <w:ilvl w:val="0"/>
          <w:numId w:val="2"/>
        </w:numPr>
        <w:spacing w:after="20" w:before="20" w:line="300"/>
      </w:pPr>
      <w:r>
        <w:rPr>
          <w:rFonts w:ascii="Calibri" w:eastAsia="Yu Gothic" w:hAnsi="Calibri"/>
        </w:rPr>
        <w:t xml:space="preserve">Purpose: restore from a backup file (Chapter 8, 5.3 “How it is restored (import)”).</w:t>
      </w:r>
    </w:p>
    <w:p>
      <w:pPr>
        <w:pStyle w:val="ListParagraph"/>
        <w:keepNext/>
        <w:keepLines/>
        <w:numPr>
          <w:ilvl w:val="0"/>
          <w:numId w:val="2"/>
        </w:numPr>
        <w:spacing w:after="20" w:before="20" w:line="300"/>
      </w:pPr>
      <w:r>
        <w:rPr>
          <w:rFonts w:ascii="Calibri" w:eastAsia="Yu Gothic" w:hAnsi="Calibri"/>
        </w:rPr>
        <w:t xml:space="preserve">Elements: choosing the file (drag allowed), passphrase, “Restore”. “Restore with the emergency kit” (read the recovery key's QR code or type its text), “Open as a handover” (read-only; Chapter 8, 5.3). The choice when the personal root differs (replace, cancel; Chapter 8, 5.3 “How it is restored (import)”).</w:t>
      </w:r>
    </w:p>
    <w:p>
      <w:pPr>
        <w:pStyle w:val="ListParagraph"/>
        <w:keepNext/>
        <w:keepLines/>
        <w:numPr>
          <w:ilvl w:val="0"/>
          <w:numId w:val="2"/>
        </w:numPr>
        <w:spacing w:after="20" w:before="20" w:line="300"/>
      </w:pPr>
      <w:r>
        <w:rPr>
          <w:rFonts w:ascii="Calibri" w:eastAsia="Yu Gothic" w:hAnsi="Calibri"/>
        </w:rPr>
        <w:t xml:space="preserve">States: progress, completion (number imported, list of records that failed verification).</w:t>
      </w:r>
    </w:p>
    <w:p>
      <w:pPr>
        <w:pStyle w:val="ListParagraph"/>
        <w:keepNext/>
        <w:keepLines/>
        <w:numPr>
          <w:ilvl w:val="0"/>
          <w:numId w:val="2"/>
        </w:numPr>
        <w:spacing w:after="20" w:before="20" w:line="300"/>
      </w:pPr>
      <w:r>
        <w:rPr>
          <w:rFonts w:ascii="Calibri" w:eastAsia="Yu Gothic" w:hAnsi="Calibri"/>
        </w:rPr>
        <w:t xml:space="preserve">Errors: wrong passphrase or broken file (Chapter 8, 8 “Handling Failures”).</w:t>
      </w:r>
    </w:p>
    <w:p>
      <w:pPr>
        <w:pStyle w:val="ListParagraph"/>
        <w:keepNext w:val="false"/>
        <w:keepLines/>
        <w:numPr>
          <w:ilvl w:val="0"/>
          <w:numId w:val="2"/>
        </w:numPr>
        <w:spacing w:after="20" w:before="20" w:line="300"/>
      </w:pPr>
      <w:r>
        <w:rPr>
          <w:rFonts w:ascii="Calibri" w:eastAsia="Yu Gothic" w:hAnsi="Calibri"/>
        </w:rPr>
        <w:t xml:space="preserve">Exits: G-07“Home”. When coming from G-01“Welcome” at first start, after restoring it proceeds via G-02“Consent” to G-07“Home” (Chapter 12, DD-12-3“Consent gates only the fetching of reference information”).</w:t>
      </w:r>
    </w:p>
    <w:p>
      <w:pPr>
        <w:pStyle w:val="Heading3"/>
      </w:pPr>
      <w:r>
        <w:rPr>
          <w:rFonts w:ascii="Calibri" w:eastAsia="Yu Gothic" w:hAnsi="Calibri"/>
        </w:rPr>
        <w:t xml:space="preserve">G-07 Home</w:t>
      </w:r>
    </w:p>
    <w:p>
      <w:pPr>
        <w:pStyle w:val="ListParagraph"/>
        <w:keepNext/>
        <w:keepLines/>
        <w:numPr>
          <w:ilvl w:val="0"/>
          <w:numId w:val="2"/>
        </w:numPr>
        <w:spacing w:after="20" w:before="20" w:line="300"/>
      </w:pPr>
      <w:r>
        <w:rPr>
          <w:rFonts w:ascii="Calibri" w:eastAsia="Yu Gothic" w:hAnsi="Calibri"/>
        </w:rPr>
        <w:t xml:space="preserve">Purpose: see recent works, work in progress, cases in progress, and announcements, and go on to the main work (layout in 3.3).</w:t>
      </w:r>
    </w:p>
    <w:p>
      <w:pPr>
        <w:pStyle w:val="ListParagraph"/>
        <w:keepNext/>
        <w:keepLines/>
        <w:numPr>
          <w:ilvl w:val="0"/>
          <w:numId w:val="2"/>
        </w:numPr>
        <w:spacing w:after="20" w:before="20" w:line="300"/>
      </w:pPr>
      <w:r>
        <w:rPr>
          <w:rFonts w:ascii="Calibri" w:eastAsia="Yu Gothic" w:hAnsi="Calibri"/>
        </w:rPr>
        <w:t xml:space="preserve">Empty state (first use): the guide says “Let's export your first photo”, and shows “Export photos” and “Create a Visible Signature”.</w:t>
      </w:r>
    </w:p>
    <w:p>
      <w:pPr>
        <w:pStyle w:val="ListParagraph"/>
        <w:keepNext/>
        <w:keepLines/>
        <w:numPr>
          <w:ilvl w:val="0"/>
          <w:numId w:val="2"/>
        </w:numPr>
        <w:spacing w:after="20" w:before="20" w:line="300"/>
      </w:pPr>
      <w:r>
        <w:rPr>
          <w:rFonts w:ascii="Calibri" w:eastAsia="Yu Gothic" w:hAnsi="Calibri"/>
        </w:rPr>
        <w:t xml:space="preserve">At the top, “Last backup: N minutes ago” (the same form as Time Machine) and, per location, the date/time of the last successful verification are shown (Chapter 8, 5.5).</w:t>
      </w:r>
    </w:p>
    <w:p>
      <w:pPr>
        <w:pStyle w:val="ListParagraph"/>
        <w:keepNext/>
        <w:keepLines/>
        <w:numPr>
          <w:ilvl w:val="0"/>
          <w:numId w:val="2"/>
        </w:numPr>
        <w:spacing w:after="20" w:before="20" w:line="300"/>
      </w:pPr>
      <w:r>
        <w:rPr>
          <w:rFonts w:ascii="Calibri" w:eastAsia="Yu Gothic" w:hAnsi="Calibri"/>
        </w:rPr>
        <w:t xml:space="preserve">Each row of work in progress has “Continue” and other operations (rename, delete the work session; a confirmation dialog (3.6) before deleting).</w:t>
      </w:r>
    </w:p>
    <w:p>
      <w:pPr>
        <w:pStyle w:val="ListParagraph"/>
        <w:keepNext/>
        <w:keepLines/>
        <w:numPr>
          <w:ilvl w:val="0"/>
          <w:numId w:val="2"/>
        </w:numPr>
        <w:spacing w:after="20" w:before="20" w:line="300"/>
      </w:pPr>
      <w:r>
        <w:rPr>
          <w:rFonts w:ascii="Calibri" w:eastAsia="Yu Gothic" w:hAnsi="Calibri"/>
        </w:rPr>
        <w:t xml:space="preserve">If the previous session did not end properly, a notice appears at the top, showing the last saved work sessions and template drafts with “Continue” (3.7, Chapter 4, 11.5 “After abnormal termination”).</w:t>
      </w:r>
    </w:p>
    <w:p>
      <w:pPr>
        <w:pStyle w:val="ListParagraph"/>
        <w:keepNext w:val="false"/>
        <w:keepLines/>
        <w:numPr>
          <w:ilvl w:val="0"/>
          <w:numId w:val="2"/>
        </w:numPr>
        <w:spacing w:after="20" w:before="20" w:line="300"/>
      </w:pPr>
      <w:r>
        <w:rPr>
          <w:rFonts w:ascii="Calibri" w:eastAsia="Yu Gothic" w:hAnsi="Calibri"/>
        </w:rPr>
        <w:t xml:space="preserve">Exits: G-08“Export: Photos and Purpose”, G-12“Works”, G-13“Verify”, G-14“Register a Repost”, G-15“Reposts (Case List)”, G-21“Notifications”, G-25“Image Editing”, and the screens of the stages of work in progress.</w:t>
      </w:r>
    </w:p>
    <w:p>
      <w:pPr>
        <w:pStyle w:val="Heading3"/>
      </w:pPr>
      <w:r>
        <w:rPr>
          <w:rFonts w:ascii="Calibri" w:eastAsia="Yu Gothic" w:hAnsi="Calibri"/>
        </w:rPr>
        <w:t xml:space="preserve">G-08 Export: Photos and Purpose</w:t>
      </w:r>
    </w:p>
    <w:p>
      <w:pPr>
        <w:pStyle w:val="ListParagraph"/>
        <w:keepNext/>
        <w:keepLines/>
        <w:numPr>
          <w:ilvl w:val="0"/>
          <w:numId w:val="2"/>
        </w:numPr>
        <w:spacing w:after="20" w:before="20" w:line="300"/>
      </w:pPr>
      <w:r>
        <w:rPr>
          <w:rFonts w:ascii="Calibri" w:eastAsia="Yu Gothic" w:hAnsi="Calibri"/>
        </w:rPr>
        <w:t xml:space="preserve">Purpose: choose photos and decide the purpose and export presets (Chapter 4, 12.1 “Flow”, 14.1 “Export presets”).</w:t>
      </w:r>
    </w:p>
    <w:p>
      <w:pPr>
        <w:pStyle w:val="ListParagraph"/>
        <w:keepNext/>
        <w:keepLines/>
        <w:numPr>
          <w:ilvl w:val="0"/>
          <w:numId w:val="2"/>
        </w:numPr>
        <w:spacing w:after="20" w:before="20" w:line="300"/>
      </w:pPr>
      <w:r>
        <w:rPr>
          <w:rFonts w:ascii="Calibri" w:eastAsia="Yu Gothic" w:hAnsi="Calibri"/>
        </w:rPr>
        <w:t xml:space="preserve">Elements: choosing photos and folders (drag allowed), the number chosen and the number of unreadable photos, purpose (social media, delivery, both), export presets (several may be chosen), shoot name, whether to add the identification number to the file name, choosing a template, the role for this work session (default: the role of the signing information; Chapter 2, 2.3), authorization (required when the role is an authorized person; one of the authorizations meeting the conditions of Chapter 2, 5.4 (valid and matching scope); if there is none, export is not possible and the User is guided to G-18), joint rights holder (one of the counterparties of imported joint-rights documents, or none; per work session; </w:t>
      </w:r>
      <w:r>
        <w:rPr>
          <w:rFonts w:ascii="Consolas" w:eastAsia="Yu Gothic" w:hAnsi="Consolas"/>
        </w:rPr>
        <w:t xml:space="preserve">{coholder}</w:t>
      </w:r>
      <w:r>
        <w:rPr>
          <w:rFonts w:ascii="Calibri" w:eastAsia="Yu Gothic" w:hAnsi="Calibri"/>
        </w:rPr>
        <w:t xml:space="preserve"> of Chapter 4, 3.1 “Content and placeholders”), export destination folder.</w:t>
      </w:r>
    </w:p>
    <w:p>
      <w:pPr>
        <w:pStyle w:val="ListParagraph"/>
        <w:keepNext/>
        <w:keepLines/>
        <w:numPr>
          <w:ilvl w:val="0"/>
          <w:numId w:val="2"/>
        </w:numPr>
        <w:spacing w:after="20" w:before="20" w:line="300"/>
      </w:pPr>
      <w:r>
        <w:rPr>
          <w:rFonts w:ascii="Calibri" w:eastAsia="Yu Gothic" w:hAnsi="Calibri"/>
        </w:rPr>
        <w:t xml:space="preserve">Single-photo export: when coming from “Export only this photo” in G-25“Image Editing”, it opens with that one photo selected, and the open work session is used instead of choosing a template.</w:t>
      </w:r>
    </w:p>
    <w:p>
      <w:pPr>
        <w:pStyle w:val="ListParagraph"/>
        <w:keepNext/>
        <w:keepLines/>
        <w:numPr>
          <w:ilvl w:val="0"/>
          <w:numId w:val="2"/>
        </w:numPr>
        <w:spacing w:after="20" w:before="20" w:line="300"/>
      </w:pPr>
      <w:r>
        <w:rPr>
          <w:rFonts w:ascii="Calibri" w:eastAsia="Yu Gothic" w:hAnsi="Calibri"/>
        </w:rPr>
        <w:t xml:space="preserve">Errors: the same folder as the Original cannot be chosen as the export destination (Chapter 4, 14.5 “Location and names”).</w:t>
      </w:r>
    </w:p>
    <w:p>
      <w:pPr>
        <w:pStyle w:val="ListParagraph"/>
        <w:keepNext w:val="false"/>
        <w:keepLines/>
        <w:numPr>
          <w:ilvl w:val="0"/>
          <w:numId w:val="2"/>
        </w:numPr>
        <w:spacing w:after="20" w:before="20" w:line="300"/>
      </w:pPr>
      <w:r>
        <w:rPr>
          <w:rFonts w:ascii="Calibri" w:eastAsia="Yu Gothic" w:hAnsi="Calibri"/>
        </w:rPr>
        <w:t xml:space="preserve">Exits: G-09“Export: Batch Application”. For single-photo export, G-10“Export: Permitted Scope” if delivery is included, or G-11“Export: Run and Results” if social media only.</w:t>
      </w:r>
    </w:p>
    <w:p>
      <w:pPr>
        <w:pStyle w:val="Heading3"/>
      </w:pPr>
      <w:r>
        <w:rPr>
          <w:rFonts w:ascii="Calibri" w:eastAsia="Yu Gothic" w:hAnsi="Calibri"/>
        </w:rPr>
        <w:t xml:space="preserve">G-09 Export: Batch Application</w:t>
      </w:r>
    </w:p>
    <w:p>
      <w:pPr>
        <w:pStyle w:val="ListParagraph"/>
        <w:keepNext/>
        <w:keepLines/>
        <w:numPr>
          <w:ilvl w:val="0"/>
          <w:numId w:val="2"/>
        </w:numPr>
        <w:spacing w:after="20" w:before="20" w:line="300"/>
      </w:pPr>
      <w:r>
        <w:rPr>
          <w:rFonts w:ascii="Calibri" w:eastAsia="Yu Gothic" w:hAnsi="Calibri"/>
        </w:rPr>
        <w:t xml:space="preserve">Purpose: apply the Visible Signature to all photos and adjust per photo (Chapter 4, 12 “Batch Application”; layout in 3.3).</w:t>
      </w:r>
    </w:p>
    <w:p>
      <w:pPr>
        <w:pStyle w:val="ListParagraph"/>
        <w:keepNext/>
        <w:keepLines/>
        <w:numPr>
          <w:ilvl w:val="0"/>
          <w:numId w:val="2"/>
        </w:numPr>
        <w:spacing w:after="20" w:before="20" w:line="300"/>
      </w:pPr>
      <w:r>
        <w:rPr>
          <w:rFonts w:ascii="Calibri" w:eastAsia="Yu Gothic" w:hAnsi="Calibri"/>
        </w:rPr>
        <w:t xml:space="preserve">Elements: photo grid (status marks; Chapter 4, 12.2 “Photo status”), filtering by status, selecting photos (several), adjusting together (Chapter 4, 12.3 “Adjusting together”), enlargement of the selected photo and adjustment tools, history list, save state.</w:t>
      </w:r>
    </w:p>
    <w:p>
      <w:pPr>
        <w:pStyle w:val="ListParagraph"/>
        <w:keepNext/>
        <w:keepLines/>
        <w:numPr>
          <w:ilvl w:val="0"/>
          <w:numId w:val="2"/>
        </w:numPr>
        <w:spacing w:after="20" w:before="20" w:line="300"/>
      </w:pPr>
      <w:r>
        <w:rPr>
          <w:rFonts w:ascii="Calibri" w:eastAsia="Yu Gothic" w:hAnsi="Calibri"/>
        </w:rPr>
        <w:t xml:space="preserve">State: auto-placement progress (which photo).</w:t>
      </w:r>
    </w:p>
    <w:p>
      <w:pPr>
        <w:pStyle w:val="ListParagraph"/>
        <w:keepNext w:val="false"/>
        <w:keepLines/>
        <w:numPr>
          <w:ilvl w:val="0"/>
          <w:numId w:val="2"/>
        </w:numPr>
        <w:spacing w:after="20" w:before="20" w:line="300"/>
      </w:pPr>
      <w:r>
        <w:rPr>
          <w:rFonts w:ascii="Calibri" w:eastAsia="Yu Gothic" w:hAnsi="Calibri"/>
        </w:rPr>
        <w:t xml:space="preserve">Exits: G-10“Export: Permitted Scope” (if there is delivery), G-11“Export: Run and Results”, G-25“Image Editing” (“Edit Visible Signature”; edit-the-work-session state).</w:t>
      </w:r>
    </w:p>
    <w:p>
      <w:pPr>
        <w:pStyle w:val="Heading3"/>
      </w:pPr>
      <w:r>
        <w:rPr>
          <w:rFonts w:ascii="Calibri" w:eastAsia="Yu Gothic" w:hAnsi="Calibri"/>
        </w:rPr>
        <w:t xml:space="preserve">G-10 Export: Permitted Scope</w:t>
      </w:r>
    </w:p>
    <w:p>
      <w:pPr>
        <w:pStyle w:val="ListParagraph"/>
        <w:keepNext/>
        <w:keepLines/>
        <w:numPr>
          <w:ilvl w:val="0"/>
          <w:numId w:val="2"/>
        </w:numPr>
        <w:spacing w:after="20" w:before="20" w:line="300"/>
      </w:pPr>
      <w:r>
        <w:rPr>
          <w:rFonts w:ascii="Calibri" w:eastAsia="Yu Gothic" w:hAnsi="Calibri"/>
        </w:rPr>
        <w:t xml:space="preserve">Purpose: choose the Permitted Scope for delivery and the countries of the Enclosed Document (Chapter 5; layout in 3.3).</w:t>
      </w:r>
    </w:p>
    <w:p>
      <w:pPr>
        <w:pStyle w:val="ListParagraph"/>
        <w:keepNext/>
        <w:keepLines/>
        <w:numPr>
          <w:ilvl w:val="0"/>
          <w:numId w:val="2"/>
        </w:numPr>
        <w:spacing w:after="20" w:before="20" w:line="300"/>
      </w:pPr>
      <w:r>
        <w:rPr>
          <w:rFonts w:ascii="Calibri" w:eastAsia="Yu Gothic" w:hAnsi="Calibri"/>
        </w:rPr>
        <w:t xml:space="preserve">Elements: basic scope (P1, P2), additional permissions (A1, A2, A3), the text of the conditions always included, countries of the Enclosed Document (several), preview of the Enclosed Document.</w:t>
      </w:r>
    </w:p>
    <w:p>
      <w:pPr>
        <w:pStyle w:val="ListParagraph"/>
        <w:keepNext w:val="false"/>
        <w:keepLines/>
        <w:numPr>
          <w:ilvl w:val="0"/>
          <w:numId w:val="2"/>
        </w:numPr>
        <w:spacing w:after="20" w:before="20" w:line="300"/>
      </w:pPr>
      <w:r>
        <w:rPr>
          <w:rFonts w:ascii="Calibri" w:eastAsia="Yu Gothic" w:hAnsi="Calibri"/>
        </w:rPr>
        <w:t xml:space="preserve">Exit: G-11“Export: Run and Results”.</w:t>
      </w:r>
    </w:p>
    <w:p>
      <w:pPr>
        <w:pStyle w:val="Heading3"/>
      </w:pPr>
      <w:r>
        <w:rPr>
          <w:rFonts w:ascii="Calibri" w:eastAsia="Yu Gothic" w:hAnsi="Calibri"/>
        </w:rPr>
        <w:t xml:space="preserve">G-11 Export: Run and Results</w:t>
      </w:r>
    </w:p>
    <w:p>
      <w:pPr>
        <w:pStyle w:val="ListParagraph"/>
        <w:keepNext/>
        <w:keepLines/>
        <w:numPr>
          <w:ilvl w:val="0"/>
          <w:numId w:val="2"/>
        </w:numPr>
        <w:spacing w:after="20" w:before="20" w:line="300"/>
      </w:pPr>
      <w:r>
        <w:rPr>
          <w:rFonts w:ascii="Calibri" w:eastAsia="Yu Gothic" w:hAnsi="Calibri"/>
        </w:rPr>
        <w:t xml:space="preserve">Purpose: see the progress and results of export (Chapter 3, 9 “Batch Processing”, Chapter 4, 14 “Export”).</w:t>
      </w:r>
    </w:p>
    <w:p>
      <w:pPr>
        <w:pStyle w:val="ListParagraph"/>
        <w:keepNext/>
        <w:keepLines/>
        <w:numPr>
          <w:ilvl w:val="0"/>
          <w:numId w:val="2"/>
        </w:numPr>
        <w:spacing w:after="20" w:before="20" w:line="300"/>
      </w:pPr>
      <w:r>
        <w:rPr>
          <w:rFonts w:ascii="Calibri" w:eastAsia="Yu Gothic" w:hAnsi="Calibri"/>
        </w:rPr>
        <w:t xml:space="preserve">Elements: progress (which photo, estimated remaining time, cancel), results (number exported, list of failures and reasons, open the export destination), list of identification numbers (copyable), guidance on how C2PA signatures remain per posting site (Chapter 3, 10.3 “Retention on posting sites and in the cloud”), check of photos needing adjustment or with missing glyphs (before export).</w:t>
      </w:r>
    </w:p>
    <w:p>
      <w:pPr>
        <w:pStyle w:val="ListParagraph"/>
        <w:keepNext w:val="false"/>
        <w:keepLines/>
        <w:numPr>
          <w:ilvl w:val="0"/>
          <w:numId w:val="2"/>
        </w:numPr>
        <w:spacing w:after="20" w:before="20" w:line="300"/>
      </w:pPr>
      <w:r>
        <w:rPr>
          <w:rFonts w:ascii="Calibri" w:eastAsia="Yu Gothic" w:hAnsi="Calibri"/>
        </w:rPr>
        <w:t xml:space="preserve">Exits: G-07“Home”, G-12“Works”, G-09“Export: Batch Application” or G-25“Image Editing” (when “Back to adjust” is pressed in the pre-export check; batch exports to G-09“Export: Batch Application”, single-photo exports to G-25“Image Editing”).</w:t>
      </w:r>
    </w:p>
    <w:p>
      <w:pPr>
        <w:pStyle w:val="Heading3"/>
      </w:pPr>
      <w:r>
        <w:rPr>
          <w:rFonts w:ascii="Calibri" w:eastAsia="Yu Gothic" w:hAnsi="Calibri"/>
        </w:rPr>
        <w:t xml:space="preserve">G-12 Works</w:t>
      </w:r>
    </w:p>
    <w:p>
      <w:pPr>
        <w:pStyle w:val="ListParagraph"/>
        <w:keepNext/>
        <w:keepLines/>
        <w:numPr>
          <w:ilvl w:val="0"/>
          <w:numId w:val="2"/>
        </w:numPr>
        <w:spacing w:after="20" w:before="20" w:line="300"/>
      </w:pPr>
      <w:r>
        <w:rPr>
          <w:rFonts w:ascii="Calibri" w:eastAsia="Yu Gothic" w:hAnsi="Calibri"/>
        </w:rPr>
        <w:t xml:space="preserve">Purpose: list and search exported works and see details (Chapter 3, 7 “Identification Numbers and Work Data”).</w:t>
      </w:r>
    </w:p>
    <w:p>
      <w:pPr>
        <w:pStyle w:val="ListParagraph"/>
        <w:keepNext/>
        <w:keepLines/>
        <w:numPr>
          <w:ilvl w:val="0"/>
          <w:numId w:val="2"/>
        </w:numPr>
        <w:spacing w:after="20" w:before="20" w:line="300"/>
      </w:pPr>
      <w:r>
        <w:rPr>
          <w:rFonts w:ascii="Calibri" w:eastAsia="Yu Gothic" w:hAnsi="Calibri"/>
        </w:rPr>
        <w:t xml:space="preserve">Elements: list (reduced image, identification number, shoot name, date, timestamp status), search (identification number, shoot name, date range), details (C2PA signature, timestamp, Permitted Scope, export location, open the work session).</w:t>
      </w:r>
    </w:p>
    <w:p>
      <w:pPr>
        <w:pStyle w:val="ListParagraph"/>
        <w:keepNext/>
        <w:keepLines/>
        <w:numPr>
          <w:ilvl w:val="0"/>
          <w:numId w:val="2"/>
        </w:numPr>
        <w:spacing w:after="20" w:before="20" w:line="300"/>
      </w:pPr>
      <w:r>
        <w:rPr>
          <w:rFonts w:ascii="Calibri" w:eastAsia="Yu Gothic" w:hAnsi="Calibri"/>
        </w:rPr>
        <w:t xml:space="preserve">The Enclosed Document of each work can be made again as the version of that time. When a corrected version comes out, the affected works are listed and corrected-version Enclosed Documents are generated (Chapter 5, 2.4, 4).</w:t>
      </w:r>
    </w:p>
    <w:p>
      <w:pPr>
        <w:pStyle w:val="ListParagraph"/>
        <w:keepNext/>
        <w:keepLines/>
        <w:numPr>
          <w:ilvl w:val="0"/>
          <w:numId w:val="2"/>
        </w:numPr>
        <w:spacing w:after="20" w:before="20" w:line="300"/>
      </w:pPr>
      <w:r>
        <w:rPr>
          <w:rFonts w:ascii="Calibri" w:eastAsia="Yu Gothic" w:hAnsi="Calibri"/>
        </w:rPr>
        <w:t xml:space="preserve">“Search by image” (opens the Google Lens and TinEye pages; uploading the photo is done by the User; Chapter 6, 2.1). Correction of the shoot name, joint rights holder, and displayed Permitted Scope (appended as a correction record; the original value and date/time go into the history; Chapter 3, 7.2). Record where it was originally posted (URL, destination, date of posting; optional, several) (</w:t>
      </w:r>
      <w:r>
        <w:rPr>
          <w:rFonts w:ascii="Consolas" w:eastAsia="Yu Gothic" w:hAnsi="Consolas"/>
        </w:rPr>
        <w:t xml:space="preserve">published</w:t>
      </w:r>
      <w:r>
        <w:rPr>
          <w:rFonts w:ascii="Calibri" w:eastAsia="Yu Gothic" w:hAnsi="Calibri"/>
        </w:rPr>
        <w:t xml:space="preserve"> of Chapter 3, 7.2; used for “URL of the original post” in complaint model texts).</w:t>
      </w:r>
    </w:p>
    <w:p>
      <w:pPr>
        <w:pStyle w:val="ListParagraph"/>
        <w:keepNext/>
        <w:keepLines/>
        <w:numPr>
          <w:ilvl w:val="0"/>
          <w:numId w:val="2"/>
        </w:numPr>
        <w:spacing w:after="20" w:before="20" w:line="300"/>
      </w:pPr>
      <w:r>
        <w:rPr>
          <w:rFonts w:ascii="Calibri" w:eastAsia="Yu Gothic" w:hAnsi="Calibri"/>
        </w:rPr>
        <w:t xml:space="preserve">Empty state: “No works yet” and a path to export.</w:t>
      </w:r>
    </w:p>
    <w:p>
      <w:pPr>
        <w:pStyle w:val="ListParagraph"/>
        <w:keepNext w:val="false"/>
        <w:keepLines/>
        <w:numPr>
          <w:ilvl w:val="0"/>
          <w:numId w:val="2"/>
        </w:numPr>
        <w:spacing w:after="20" w:before="20" w:line="300"/>
      </w:pPr>
      <w:r>
        <w:rPr>
          <w:rFonts w:ascii="Calibri" w:eastAsia="Yu Gothic" w:hAnsi="Calibri"/>
        </w:rPr>
        <w:t xml:space="preserve">Exits: G-14“Register a Repost” (from the matching result), work session screens.</w:t>
      </w:r>
    </w:p>
    <w:p>
      <w:pPr>
        <w:pStyle w:val="Heading3"/>
      </w:pPr>
      <w:r>
        <w:rPr>
          <w:rFonts w:ascii="Calibri" w:eastAsia="Yu Gothic" w:hAnsi="Calibri"/>
        </w:rPr>
        <w:t xml:space="preserve">G-13 Verify</w:t>
      </w:r>
    </w:p>
    <w:p>
      <w:pPr>
        <w:pStyle w:val="ListParagraph"/>
        <w:keepNext/>
        <w:keepLines/>
        <w:numPr>
          <w:ilvl w:val="0"/>
          <w:numId w:val="2"/>
        </w:numPr>
        <w:spacing w:after="20" w:before="20" w:line="300"/>
      </w:pPr>
      <w:r>
        <w:rPr>
          <w:rFonts w:ascii="Calibri" w:eastAsia="Yu Gothic" w:hAnsi="Calibri"/>
        </w:rPr>
        <w:t xml:space="preserve">Purpose: check any image or Enclosed Document (Chapter 3, 10.2 “Checking by the User”, Chapter 2, 4.1 “Matching with the Notice account”). This screen leaves no records (regardless of whether signing information exists; a stateless check, like Adobe Verify and c2patool). Records arise only from registration in G-14, which can proceed only after the signing information (3.2).</w:t>
      </w:r>
    </w:p>
    <w:p>
      <w:pPr>
        <w:pStyle w:val="ListParagraph"/>
        <w:keepNext/>
        <w:keepLines/>
        <w:numPr>
          <w:ilvl w:val="0"/>
          <w:numId w:val="2"/>
        </w:numPr>
        <w:spacing w:after="20" w:before="20" w:line="300"/>
      </w:pPr>
      <w:r>
        <w:rPr>
          <w:rFonts w:ascii="Calibri" w:eastAsia="Yu Gothic" w:hAnsi="Calibri"/>
        </w:rPr>
        <w:t xml:space="preserve">Elements: putting in images and Enclosed Documents (drag allowed), results (words for C2PA signature verification; the table of Chapter 3, 10.2 “Checking by the User”), signer (handle name, Notice accounts, expected notice code, a button to open the account), timestamp, matching of the watermark's identification number against one's own work data, match level of the matching hash, match of Enclosed Document hashes, a mark on outputs carrying the hash of a revoked authorization (Chapter 2, 5.1), and a caution when the signer's handle name is hard to distinguish from one's own name (the skeleton of UTS #39; Chapter 2, 4.1).</w:t>
      </w:r>
    </w:p>
    <w:p>
      <w:pPr>
        <w:pStyle w:val="ListParagraph"/>
        <w:keepNext w:val="false"/>
        <w:keepLines/>
        <w:numPr>
          <w:ilvl w:val="0"/>
          <w:numId w:val="2"/>
        </w:numPr>
        <w:spacing w:after="20" w:before="20" w:line="300"/>
      </w:pPr>
      <w:r>
        <w:rPr>
          <w:rFonts w:ascii="Calibri" w:eastAsia="Yu Gothic" w:hAnsi="Calibri"/>
        </w:rPr>
        <w:t xml:space="preserve">Exits: G-24“Compare Clues” (when there is someone else's C2PA signature related to one's own work), G-14“Register a Repost” (only if first-run input (G-03“Signing Information”) has been completed, because registration attaches a record signature with the User's key). Before first-run input, instead of G-14“Register a Repost”, “To register a repost, first enter your signing information” and an entrance to G-03“Signing Information” are shown.</w:t>
      </w:r>
    </w:p>
    <w:p>
      <w:pPr>
        <w:pStyle w:val="Heading3"/>
      </w:pPr>
      <w:r>
        <w:rPr>
          <w:rFonts w:ascii="Calibri" w:eastAsia="Yu Gothic" w:hAnsi="Calibri"/>
        </w:rPr>
        <w:t xml:space="preserve">G-14 Register a Repost</w:t>
      </w:r>
    </w:p>
    <w:p>
      <w:pPr>
        <w:pStyle w:val="ListParagraph"/>
        <w:keepNext/>
        <w:keepLines/>
        <w:numPr>
          <w:ilvl w:val="0"/>
          <w:numId w:val="2"/>
        </w:numPr>
        <w:spacing w:after="20" w:before="20" w:line="300"/>
      </w:pPr>
      <w:r>
        <w:rPr>
          <w:rFonts w:ascii="Calibri" w:eastAsia="Yu Gothic" w:hAnsi="Calibri"/>
        </w:rPr>
        <w:t xml:space="preserve">Purpose: register a repost and keep evidence (Chapter 6, 2 “Registration”; layout in 3.3).</w:t>
      </w:r>
    </w:p>
    <w:p>
      <w:pPr>
        <w:pStyle w:val="ListParagraph"/>
        <w:keepNext/>
        <w:keepLines/>
        <w:numPr>
          <w:ilvl w:val="0"/>
          <w:numId w:val="2"/>
        </w:numPr>
        <w:spacing w:after="20" w:before="20" w:line="300"/>
      </w:pPr>
      <w:r>
        <w:rPr>
          <w:rFonts w:ascii="Calibri" w:eastAsia="Yu Gothic" w:hAnsi="Calibri"/>
        </w:rPr>
        <w:t xml:space="preserve">Elements: URL, reposted image, screenshot (guidance on how to take it; Chapter 6, 2.2.2 “Guidance on taking screenshots”), choice of timestamp for evidence (a free TSA, or a paid TSA that has been set up; Chapter 6, 3.2 “Trusted timestamps”), page record (taken by default together with registration. When the URL is entered, it is shown that the IP address is visible to the other party and that a VPN can be used if this is a concern, and “Do not take it for this registration” can be chosen. Fetching does not identify the System. Chapter 1, 4.2 “Communication with the outside”, Chapter 6, 2.1 “Procedure”, DD-6-8“Fetch requests do not identify the System”), fields for evidence that should be kept, matching result, “Register”.</w:t>
      </w:r>
    </w:p>
    <w:p>
      <w:pPr>
        <w:pStyle w:val="ListParagraph"/>
        <w:keepNext/>
        <w:keepLines/>
        <w:numPr>
          <w:ilvl w:val="0"/>
          <w:numId w:val="2"/>
        </w:numPr>
        <w:spacing w:after="20" w:before="20" w:line="300"/>
      </w:pPr>
      <w:r>
        <w:rPr>
          <w:rFonts w:ascii="Calibri" w:eastAsia="Yu Gothic" w:hAnsi="Calibri"/>
        </w:rPr>
        <w:t xml:space="preserve">States: fetch progress, deferred timestamp.</w:t>
      </w:r>
    </w:p>
    <w:p>
      <w:pPr>
        <w:pStyle w:val="ListParagraph"/>
        <w:keepNext w:val="false"/>
        <w:keepLines/>
        <w:numPr>
          <w:ilvl w:val="0"/>
          <w:numId w:val="2"/>
        </w:numPr>
        <w:spacing w:after="20" w:before="20" w:line="300"/>
      </w:pPr>
      <w:r>
        <w:rPr>
          <w:rFonts w:ascii="Calibri" w:eastAsia="Yu Gothic" w:hAnsi="Calibri"/>
        </w:rPr>
        <w:t xml:space="preserve">Exit: G-16“Case Details”.</w:t>
      </w:r>
    </w:p>
    <w:p>
      <w:pPr>
        <w:pStyle w:val="Heading3"/>
      </w:pPr>
      <w:r>
        <w:rPr>
          <w:rFonts w:ascii="Calibri" w:eastAsia="Yu Gothic" w:hAnsi="Calibri"/>
        </w:rPr>
        <w:t xml:space="preserve">G-15 Reposts (Case List)</w:t>
      </w:r>
    </w:p>
    <w:p>
      <w:pPr>
        <w:pStyle w:val="ListParagraph"/>
        <w:keepNext/>
        <w:keepLines/>
        <w:numPr>
          <w:ilvl w:val="0"/>
          <w:numId w:val="2"/>
        </w:numPr>
        <w:spacing w:after="20" w:before="20" w:line="300"/>
      </w:pPr>
      <w:r>
        <w:rPr>
          <w:rFonts w:ascii="Calibri" w:eastAsia="Yu Gothic" w:hAnsi="Calibri"/>
        </w:rPr>
        <w:t xml:space="preserve">Purpose: see registered cases (Chapter 6, 8 “List and Means”).</w:t>
      </w:r>
    </w:p>
    <w:p>
      <w:pPr>
        <w:pStyle w:val="ListParagraph"/>
        <w:keepNext/>
        <w:keepLines/>
        <w:numPr>
          <w:ilvl w:val="0"/>
          <w:numId w:val="2"/>
        </w:numPr>
        <w:spacing w:after="20" w:before="20" w:line="300"/>
      </w:pPr>
      <w:r>
        <w:rPr>
          <w:rFonts w:ascii="Calibri" w:eastAsia="Yu Gothic" w:hAnsi="Calibri"/>
        </w:rPr>
        <w:t xml:space="preserve">Elements: groups per reposting site, count, status, last checked date, commercial-use mark, filtering (status), “Register a repost”.</w:t>
      </w:r>
    </w:p>
    <w:p>
      <w:pPr>
        <w:pStyle w:val="ListParagraph"/>
        <w:keepNext/>
        <w:keepLines/>
        <w:numPr>
          <w:ilvl w:val="0"/>
          <w:numId w:val="2"/>
        </w:numPr>
        <w:spacing w:after="20" w:before="20" w:line="300"/>
      </w:pPr>
      <w:r>
        <w:rPr>
          <w:rFonts w:ascii="Calibri" w:eastAsia="Yu Gothic" w:hAnsi="Calibri"/>
        </w:rPr>
        <w:t xml:space="preserve">Empty state: “No registered reposts” and a path to registration.</w:t>
      </w:r>
    </w:p>
    <w:p>
      <w:pPr>
        <w:pStyle w:val="ListParagraph"/>
        <w:keepNext w:val="false"/>
        <w:keepLines/>
        <w:numPr>
          <w:ilvl w:val="0"/>
          <w:numId w:val="2"/>
        </w:numPr>
        <w:spacing w:after="20" w:before="20" w:line="300"/>
      </w:pPr>
      <w:r>
        <w:rPr>
          <w:rFonts w:ascii="Calibri" w:eastAsia="Yu Gothic" w:hAnsi="Calibri"/>
        </w:rPr>
        <w:t xml:space="preserve">Exits: G-14“Register a Repost”, G-16“Case Details”.</w:t>
      </w:r>
    </w:p>
    <w:p>
      <w:pPr>
        <w:pStyle w:val="Heading3"/>
      </w:pPr>
      <w:r>
        <w:rPr>
          <w:rFonts w:ascii="Calibri" w:eastAsia="Yu Gothic" w:hAnsi="Calibri"/>
        </w:rPr>
        <w:t xml:space="preserve">G-16 Case Details</w:t>
      </w:r>
    </w:p>
    <w:p>
      <w:pPr>
        <w:pStyle w:val="ListParagraph"/>
        <w:keepNext/>
        <w:keepLines/>
        <w:numPr>
          <w:ilvl w:val="0"/>
          <w:numId w:val="2"/>
        </w:numPr>
        <w:spacing w:after="20" w:before="20" w:line="300"/>
      </w:pPr>
      <w:r>
        <w:rPr>
          <w:rFonts w:ascii="Calibri" w:eastAsia="Yu Gothic" w:hAnsi="Calibri"/>
        </w:rPr>
        <w:t xml:space="preserve">Purpose: see the case's evidence and status and choose the next step (Chapter 6; layout in 3.3).</w:t>
      </w:r>
    </w:p>
    <w:p>
      <w:pPr>
        <w:pStyle w:val="ListParagraph"/>
        <w:keepNext/>
        <w:keepLines/>
        <w:numPr>
          <w:ilvl w:val="0"/>
          <w:numId w:val="2"/>
        </w:numPr>
        <w:spacing w:after="20" w:before="20" w:line="300"/>
      </w:pPr>
      <w:r>
        <w:rPr>
          <w:rFonts w:ascii="Calibri" w:eastAsia="Yu Gothic" w:hAnsi="Calibri"/>
        </w:rPr>
        <w:t xml:space="preserve">Elements: case number, repost destination, status, list of evidence, matching result, who and where, status history, guide dates of procedural deadlines (days counted from the date of complaint: the 7-day notification of Japan's designated providers, 10 to 14 business days after a counter-notice in the United States, etc.; Chapter 7, 6.3 “Display of procedural deadlines”), “N days to the deadline”, “Add to calendar (.ics)”, “Check current status”, “Take action”, “Extract evidence package”, “Withdraw”, permanent text that it is not legal advice.</w:t>
      </w:r>
    </w:p>
    <w:p>
      <w:pPr>
        <w:pStyle w:val="ListParagraph"/>
        <w:keepNext w:val="false"/>
        <w:keepLines/>
        <w:numPr>
          <w:ilvl w:val="0"/>
          <w:numId w:val="2"/>
        </w:numPr>
        <w:spacing w:after="20" w:before="20" w:line="300"/>
      </w:pPr>
      <w:r>
        <w:rPr>
          <w:rFonts w:ascii="Calibri" w:eastAsia="Yu Gothic" w:hAnsi="Calibri"/>
        </w:rPr>
        <w:t xml:space="preserve">Exit: G-17“Action Guide”.</w:t>
      </w:r>
    </w:p>
    <w:p>
      <w:pPr>
        <w:pStyle w:val="Heading3"/>
      </w:pPr>
      <w:r>
        <w:rPr>
          <w:rFonts w:ascii="Calibri" w:eastAsia="Yu Gothic" w:hAnsi="Calibri"/>
        </w:rPr>
        <w:t xml:space="preserve">G-17 Action Guide</w:t>
      </w:r>
    </w:p>
    <w:p>
      <w:pPr>
        <w:pStyle w:val="ListParagraph"/>
        <w:keepNext/>
        <w:keepLines/>
        <w:numPr>
          <w:ilvl w:val="0"/>
          <w:numId w:val="2"/>
        </w:numPr>
        <w:spacing w:after="20" w:before="20" w:line="300"/>
      </w:pPr>
      <w:r>
        <w:rPr>
          <w:rFonts w:ascii="Calibri" w:eastAsia="Yu Gothic" w:hAnsi="Calibri"/>
        </w:rPr>
        <w:t xml:space="preserve">Purpose: choose the complainant's standing and a contact point, and make the complaint text (Chapter 7).</w:t>
      </w:r>
    </w:p>
    <w:p>
      <w:pPr>
        <w:pStyle w:val="ListParagraph"/>
        <w:keepNext/>
        <w:keepLines/>
        <w:numPr>
          <w:ilvl w:val="0"/>
          <w:numId w:val="2"/>
        </w:numPr>
        <w:spacing w:after="20" w:before="20" w:line="300"/>
      </w:pPr>
      <w:r>
        <w:rPr>
          <w:rFonts w:ascii="Calibri" w:eastAsia="Yu Gothic" w:hAnsi="Calibri"/>
        </w:rPr>
        <w:t xml:space="preserve">Elements: choice of the complainant's standing (copyright holder, subject, authorized agent; chosen first; Chapter 7, 3.4 “Standing of the complainant”). Depending on standing, the kinds of contact points shown (copyright, portrait), model texts, and confirmation texts (Chapter 7, 3.2.1 “Liability for mistaken or false complaints”) switch. If subject is chosen, copyright model texts are not shown and portrait/privacy contact points are shown. Candidate contact points (for Japan's Large-Scale Specified Telecommunications Service Providers, the contact point for requests under the law is shown first; Chapter 7, 2.1 “List of contact points in the first edition (initial content of the reference information)”), required items and evidence to attach, a confirmation check that personal information may be passed to the other party (Chapter 7, 3.2 “Guidance that personal information is passed to the other party”), a confirmation check on the liability for mistaken or false complaints and on the matching clues (for cases whose matching result is “A match cannot be confirmed”, a caution at the top; Chapter 7, 3.2.1 “Liability for mistaken or false complaints”), explanation of the other party's counter procedures (Chapter 7, 3.2.2 “The other party's counter procedures”), model text (Chapter 7, 3.3 “Contents of the model texts”; name and the like are entered only on this screen and not saved), buttons to copy the text and open the contact point, recording “complaint made”.</w:t>
      </w:r>
    </w:p>
    <w:p>
      <w:pPr>
        <w:pStyle w:val="ListParagraph"/>
        <w:keepNext w:val="false"/>
        <w:keepLines/>
        <w:numPr>
          <w:ilvl w:val="0"/>
          <w:numId w:val="2"/>
        </w:numPr>
        <w:spacing w:after="20" w:before="20" w:line="300"/>
      </w:pPr>
      <w:r>
        <w:rPr>
          <w:rFonts w:ascii="Calibri" w:eastAsia="Yu Gothic" w:hAnsi="Calibri"/>
        </w:rPr>
        <w:t xml:space="preserve">Exit: G-16“Case Details”.</w:t>
      </w:r>
    </w:p>
    <w:p>
      <w:pPr>
        <w:pStyle w:val="Heading3"/>
      </w:pPr>
      <w:r>
        <w:rPr>
          <w:rFonts w:ascii="Calibri" w:eastAsia="Yu Gothic" w:hAnsi="Calibri"/>
        </w:rPr>
        <w:t xml:space="preserve">G-18 Authorizations and Joint Rights</w:t>
      </w:r>
    </w:p>
    <w:p>
      <w:pPr>
        <w:pStyle w:val="ListParagraph"/>
        <w:keepNext/>
        <w:keepLines/>
        <w:numPr>
          <w:ilvl w:val="0"/>
          <w:numId w:val="2"/>
        </w:numPr>
        <w:spacing w:after="20" w:before="20" w:line="300"/>
      </w:pPr>
      <w:r>
        <w:rPr>
          <w:rFonts w:ascii="Calibri" w:eastAsia="Yu Gothic" w:hAnsi="Calibri"/>
        </w:rPr>
        <w:t xml:space="preserve">Purpose: create and import authorizations, revocations, and joint-rights documents (Chapter 2, 5 “Authorizations and Joint Rights”).</w:t>
      </w:r>
    </w:p>
    <w:p>
      <w:pPr>
        <w:pStyle w:val="ListParagraph"/>
        <w:keepNext/>
        <w:keepLines/>
        <w:numPr>
          <w:ilvl w:val="0"/>
          <w:numId w:val="2"/>
        </w:numPr>
        <w:spacing w:after="20" w:before="20" w:line="300"/>
      </w:pPr>
      <w:r>
        <w:rPr>
          <w:rFonts w:ascii="Calibri" w:eastAsia="Yu Gothic" w:hAnsi="Calibri"/>
        </w:rPr>
        <w:t xml:space="preserve">Elements: create (the counterparty's notice code, scope, term, condition text), import (file; the result of the check; Chapter 2, 5.4 “Checking documents”), list (valid, outside the term, revoked). “Add a counterparty” (show one's own QR code, read the counterparty's QR code, or a short passphrase; once connected, the same safety number appears on both sides, and comparing them marks the counterparty “verified”; the same flow as Signal's safety numbers; Chapter 2, 5.5). The list of verified counterparties (“Remove this counterparty”). Documents are delivered directly to verified counterparties. A proposal to make and send a renewal document 30 days before the term ends.</w:t>
      </w:r>
    </w:p>
    <w:p>
      <w:pPr>
        <w:pStyle w:val="ListParagraph"/>
        <w:keepNext w:val="false"/>
        <w:keepLines/>
        <w:numPr>
          <w:ilvl w:val="0"/>
          <w:numId w:val="2"/>
        </w:numPr>
        <w:spacing w:after="20" w:before="20" w:line="300"/>
      </w:pPr>
      <w:r>
        <w:rPr>
          <w:rFonts w:ascii="Calibri" w:eastAsia="Yu Gothic" w:hAnsi="Calibri"/>
        </w:rPr>
        <w:t xml:space="preserve">Exit: G-20“Settings”.</w:t>
      </w:r>
    </w:p>
    <w:p>
      <w:pPr>
        <w:pStyle w:val="Heading3"/>
      </w:pPr>
      <w:r>
        <w:rPr>
          <w:rFonts w:ascii="Calibri" w:eastAsia="Yu Gothic" w:hAnsi="Calibri"/>
        </w:rPr>
        <w:t xml:space="preserve">G-19 Keys and Notice Code</w:t>
      </w:r>
    </w:p>
    <w:p>
      <w:pPr>
        <w:pStyle w:val="ListParagraph"/>
        <w:keepNext/>
        <w:keepLines/>
        <w:numPr>
          <w:ilvl w:val="0"/>
          <w:numId w:val="2"/>
        </w:numPr>
        <w:spacing w:after="20" w:before="20" w:line="300"/>
      </w:pPr>
      <w:r>
        <w:rPr>
          <w:rFonts w:ascii="Calibri" w:eastAsia="Yu Gothic" w:hAnsi="Calibri"/>
        </w:rPr>
        <w:t xml:space="preserve">Purpose: see the notice code, certificate validity, remaking, and history of changes (Chapter 2, 3.4 “Expiry and input errors”, 6 “Rights Holder Information”, 7 “Signing Keys”).</w:t>
      </w:r>
    </w:p>
    <w:p>
      <w:pPr>
        <w:pStyle w:val="ListParagraph"/>
        <w:keepNext/>
        <w:keepLines/>
        <w:numPr>
          <w:ilvl w:val="0"/>
          <w:numId w:val="2"/>
        </w:numPr>
        <w:spacing w:after="20" w:before="20" w:line="300"/>
      </w:pPr>
      <w:r>
        <w:rPr>
          <w:rFonts w:ascii="Calibri" w:eastAsia="Yu Gothic" w:hAnsi="Calibri"/>
        </w:rPr>
        <w:t xml:space="preserve">Elements: notice code (copy), validity of the personal root and signing certificate, “Remake”, remaking keys and re-posting the notice code (loss, leak; confirmation dialog), history of changes.</w:t>
      </w:r>
    </w:p>
    <w:p>
      <w:pPr>
        <w:pStyle w:val="ListParagraph"/>
        <w:keepNext w:val="false"/>
        <w:keepLines/>
        <w:numPr>
          <w:ilvl w:val="0"/>
          <w:numId w:val="2"/>
        </w:numPr>
        <w:spacing w:after="20" w:before="20" w:line="300"/>
      </w:pPr>
      <w:r>
        <w:rPr>
          <w:rFonts w:ascii="Calibri" w:eastAsia="Yu Gothic" w:hAnsi="Calibri"/>
        </w:rPr>
        <w:t xml:space="preserve">Exit: G-20“Settings”.</w:t>
      </w:r>
    </w:p>
    <w:p>
      <w:pPr>
        <w:pStyle w:val="Heading3"/>
      </w:pPr>
      <w:r>
        <w:rPr>
          <w:rFonts w:ascii="Calibri" w:eastAsia="Yu Gothic" w:hAnsi="Calibri"/>
        </w:rPr>
        <w:t xml:space="preserve">G-20 Settings</w:t>
      </w:r>
    </w:p>
    <w:p>
      <w:pPr>
        <w:pStyle w:val="ListParagraph"/>
        <w:keepNext/>
        <w:keepLines/>
        <w:numPr>
          <w:ilvl w:val="0"/>
          <w:numId w:val="2"/>
        </w:numPr>
        <w:spacing w:after="20" w:before="20" w:line="300"/>
      </w:pPr>
      <w:r>
        <w:rPr>
          <w:rFonts w:ascii="Calibri" w:eastAsia="Yu Gothic" w:hAnsi="Calibri"/>
        </w:rPr>
        <w:t xml:space="preserve">Purpose: change settings (10).</w:t>
      </w:r>
    </w:p>
    <w:p>
      <w:pPr>
        <w:pStyle w:val="ListParagraph"/>
        <w:keepNext w:val="false"/>
        <w:keepLines/>
        <w:numPr>
          <w:ilvl w:val="0"/>
          <w:numId w:val="2"/>
        </w:numPr>
        <w:spacing w:after="20" w:before="20" w:line="300"/>
      </w:pPr>
      <w:r>
        <w:rPr>
          <w:rFonts w:ascii="Calibri" w:eastAsia="Yu Gothic" w:hAnsi="Calibri"/>
        </w:rPr>
        <w:t xml:space="preserve">Exits: G-05“Create Backup”, G-06“Restore from Backup”, G-18“Authorizations and Joint Rights”, G-19“Keys and Notice Code”, G-23“About This App”.</w:t>
      </w:r>
    </w:p>
    <w:p>
      <w:pPr>
        <w:pStyle w:val="Heading3"/>
      </w:pPr>
      <w:r>
        <w:rPr>
          <w:rFonts w:ascii="Calibri" w:eastAsia="Yu Gothic" w:hAnsi="Calibri"/>
        </w:rPr>
        <w:t xml:space="preserve">G-21 Notifications</w:t>
      </w:r>
    </w:p>
    <w:p>
      <w:pPr>
        <w:pStyle w:val="ListParagraph"/>
        <w:keepNext/>
        <w:keepLines/>
        <w:numPr>
          <w:ilvl w:val="0"/>
          <w:numId w:val="2"/>
        </w:numPr>
        <w:spacing w:after="20" w:before="20" w:line="300"/>
      </w:pPr>
      <w:r>
        <w:rPr>
          <w:rFonts w:ascii="Calibri" w:eastAsia="Yu Gothic" w:hAnsi="Calibri"/>
        </w:rPr>
        <w:t xml:space="preserve">Purpose: see changes to the terms, reference information updates and corrections, app updates, remaking of the personal root, notices that backup locations are unreachable, free space, procedural deadlines, and vulnerability advisories for components (3.7 “List of notices”).</w:t>
      </w:r>
    </w:p>
    <w:p>
      <w:pPr>
        <w:pStyle w:val="ListParagraph"/>
        <w:keepNext/>
        <w:keepLines/>
        <w:numPr>
          <w:ilvl w:val="0"/>
          <w:numId w:val="2"/>
        </w:numPr>
        <w:spacing w:after="20" w:before="20" w:line="300"/>
      </w:pPr>
      <w:r>
        <w:rPr>
          <w:rFonts w:ascii="Calibri" w:eastAsia="Yu Gothic" w:hAnsi="Calibri"/>
        </w:rPr>
        <w:t xml:space="preserve">When an update is ready, “The update is ready. It will be applied when you close the app” and “Restart now to update” are shown at the top of the notification list and at the top of the screen. “Restart now to update” cannot be pressed in the middle of batch processing, registration, or backup creation (Chapter 9, DD-9-5“Replacement happens on close or when the User presses the button”).</w:t>
      </w:r>
    </w:p>
    <w:p>
      <w:pPr>
        <w:pStyle w:val="ListParagraph"/>
        <w:keepNext/>
        <w:keepLines/>
        <w:numPr>
          <w:ilvl w:val="0"/>
          <w:numId w:val="2"/>
        </w:numPr>
        <w:spacing w:after="20" w:before="20" w:line="300"/>
      </w:pPr>
      <w:r>
        <w:rPr>
          <w:rFonts w:ascii="Calibri" w:eastAsia="Yu Gothic" w:hAnsi="Calibri"/>
        </w:rPr>
        <w:t xml:space="preserve">Elements: notification list (unread mark, date, kind). For changes to the terms, the effective date and a summary of the changes are shown, and re-consent is asked at the first start after the effective date (G-02“Consent”; Chapter 12, 4.3 “Procedure for changes”).</w:t>
      </w:r>
    </w:p>
    <w:p>
      <w:pPr>
        <w:pStyle w:val="ListParagraph"/>
        <w:keepNext w:val="false"/>
        <w:keepLines/>
        <w:numPr>
          <w:ilvl w:val="0"/>
          <w:numId w:val="2"/>
        </w:numPr>
        <w:spacing w:after="20" w:before="20" w:line="300"/>
      </w:pPr>
      <w:r>
        <w:rPr>
          <w:rFonts w:ascii="Calibri" w:eastAsia="Yu Gothic" w:hAnsi="Calibri"/>
        </w:rPr>
        <w:t xml:space="preserve">Exits: the destination screen of each notification.</w:t>
      </w:r>
    </w:p>
    <w:p>
      <w:pPr>
        <w:pStyle w:val="Heading3"/>
      </w:pPr>
      <w:r>
        <w:rPr>
          <w:rFonts w:ascii="Calibri" w:eastAsia="Yu Gothic" w:hAnsi="Calibri"/>
        </w:rPr>
        <w:t xml:space="preserve">G-22 Help and Feedback</w:t>
      </w:r>
    </w:p>
    <w:p>
      <w:pPr>
        <w:pStyle w:val="ListParagraph"/>
        <w:keepNext/>
        <w:keepLines/>
        <w:numPr>
          <w:ilvl w:val="0"/>
          <w:numId w:val="2"/>
        </w:numPr>
        <w:spacing w:after="20" w:before="20" w:line="300"/>
      </w:pPr>
      <w:r>
        <w:rPr>
          <w:rFonts w:ascii="Calibri" w:eastAsia="Yu Gothic" w:hAnsi="Calibri"/>
        </w:rPr>
        <w:t xml:space="preserve">Purpose: read per-screen help and the matching procedure, and compose feedback text (6.3, 9).</w:t>
      </w:r>
    </w:p>
    <w:p>
      <w:pPr>
        <w:pStyle w:val="ListParagraph"/>
        <w:keepNext/>
        <w:keepLines/>
        <w:numPr>
          <w:ilvl w:val="0"/>
          <w:numId w:val="2"/>
        </w:numPr>
        <w:spacing w:after="20" w:before="20" w:line="300"/>
      </w:pPr>
      <w:r>
        <w:rPr>
          <w:rFonts w:ascii="Calibri" w:eastAsia="Yu Gothic" w:hAnsi="Calibri"/>
        </w:rPr>
        <w:t xml:space="preserve">Elements: help (explanation of the current screen), matching procedure, feedback (kind, body, choice of information to attach, open in e-mail software or copy).</w:t>
      </w:r>
    </w:p>
    <w:p>
      <w:pPr>
        <w:pStyle w:val="ListParagraph"/>
        <w:keepNext w:val="false"/>
        <w:keepLines/>
        <w:numPr>
          <w:ilvl w:val="0"/>
          <w:numId w:val="2"/>
        </w:numPr>
        <w:spacing w:after="20" w:before="20" w:line="300"/>
      </w:pPr>
      <w:r>
        <w:rPr>
          <w:rFonts w:ascii="Calibri" w:eastAsia="Yu Gothic" w:hAnsi="Calibri"/>
        </w:rPr>
        <w:t xml:space="preserve">Exit: the screen it was opened from (close).</w:t>
      </w:r>
    </w:p>
    <w:p>
      <w:pPr>
        <w:pStyle w:val="Heading3"/>
      </w:pPr>
      <w:r>
        <w:rPr>
          <w:rFonts w:ascii="Calibri" w:eastAsia="Yu Gothic" w:hAnsi="Calibri"/>
        </w:rPr>
        <w:t xml:space="preserve">G-23 About This App</w:t>
      </w:r>
    </w:p>
    <w:p>
      <w:pPr>
        <w:pStyle w:val="ListParagraph"/>
        <w:keepNext/>
        <w:keepLines/>
        <w:numPr>
          <w:ilvl w:val="0"/>
          <w:numId w:val="2"/>
        </w:numPr>
        <w:spacing w:after="20" w:before="20" w:line="300"/>
      </w:pPr>
      <w:r>
        <w:rPr>
          <w:rFonts w:ascii="Calibri" w:eastAsia="Yu Gothic" w:hAnsi="Calibri"/>
        </w:rPr>
        <w:t xml:space="preserve">Purpose: see the version, proof of the official version, and the list of licenses (Chapter 9, 3 “Proof of the Official Version”).</w:t>
      </w:r>
    </w:p>
    <w:p>
      <w:pPr>
        <w:pStyle w:val="ListParagraph"/>
        <w:keepNext/>
        <w:keepLines/>
        <w:numPr>
          <w:ilvl w:val="0"/>
          <w:numId w:val="2"/>
        </w:numPr>
        <w:spacing w:after="20" w:before="20" w:line="300"/>
      </w:pPr>
      <w:r>
        <w:rPr>
          <w:rFonts w:ascii="Calibri" w:eastAsia="Yu Gothic" w:hAnsi="Calibri"/>
        </w:rPr>
        <w:t xml:space="preserve">Elements: version, code signing publisher, how to check the SHA-256 of distributables, statement of not being involved in the rights of the original works, statement of not collecting Users' information, full text of the current versions of the Terms of Use and Privacy Policy and guidance to past versions on the public page (the display under Article 548-3 of the Civil Code; Chapter 12, 4.3 “Procedure for changes”), the System's license and the list of third-party licenses, open the location of operation logs.</w:t>
      </w:r>
    </w:p>
    <w:p>
      <w:pPr>
        <w:pStyle w:val="ListParagraph"/>
        <w:keepNext w:val="false"/>
        <w:keepLines/>
        <w:numPr>
          <w:ilvl w:val="0"/>
          <w:numId w:val="2"/>
        </w:numPr>
        <w:spacing w:after="20" w:before="20" w:line="300"/>
      </w:pPr>
      <w:r>
        <w:rPr>
          <w:rFonts w:ascii="Calibri" w:eastAsia="Yu Gothic" w:hAnsi="Calibri"/>
        </w:rPr>
        <w:t xml:space="preserve">Exits: G-20“Settings” (where it was opened from), the list of licenses and full text of the terms (displayed within the same screen).</w:t>
      </w:r>
    </w:p>
    <w:p>
      <w:pPr>
        <w:pStyle w:val="Heading3"/>
      </w:pPr>
      <w:r>
        <w:rPr>
          <w:rFonts w:ascii="Calibri" w:eastAsia="Yu Gothic" w:hAnsi="Calibri"/>
        </w:rPr>
        <w:t xml:space="preserve">G-24 Compare Clues</w:t>
      </w:r>
    </w:p>
    <w:p>
      <w:pPr>
        <w:pStyle w:val="ListParagraph"/>
        <w:keepNext/>
        <w:keepLines/>
        <w:numPr>
          <w:ilvl w:val="0"/>
          <w:numId w:val="2"/>
        </w:numPr>
        <w:spacing w:after="20" w:before="20" w:line="300"/>
      </w:pPr>
      <w:r>
        <w:rPr>
          <w:rFonts w:ascii="Calibri" w:eastAsia="Yu Gothic" w:hAnsi="Calibri"/>
        </w:rPr>
        <w:t xml:space="preserve">Purpose: see side by side the clues when a person posing as the Rights Holder appears (Chapter 2, 4.4 “Clues when a person posing as the Rights Holder appears”).</w:t>
      </w:r>
    </w:p>
    <w:p>
      <w:pPr>
        <w:pStyle w:val="ListParagraph"/>
        <w:keepNext/>
        <w:keepLines/>
        <w:numPr>
          <w:ilvl w:val="0"/>
          <w:numId w:val="2"/>
        </w:numPr>
        <w:spacing w:after="20" w:before="20" w:line="300"/>
      </w:pPr>
      <w:r>
        <w:rPr>
          <w:rFonts w:ascii="Calibri" w:eastAsia="Yu Gothic" w:hAnsi="Calibri"/>
        </w:rPr>
        <w:t xml:space="preserve">Elements: the five clues (invisible watermark, timestamp, ingredient history, Original, Notice) side by side, text stating no judgment is made, extracting the clues, “See possible actions”.</w:t>
      </w:r>
    </w:p>
    <w:p>
      <w:pPr>
        <w:pStyle w:val="ListParagraph"/>
        <w:keepNext w:val="false"/>
        <w:keepLines/>
        <w:numPr>
          <w:ilvl w:val="0"/>
          <w:numId w:val="2"/>
        </w:numPr>
        <w:spacing w:after="20" w:before="20" w:line="300"/>
      </w:pPr>
      <w:r>
        <w:rPr>
          <w:rFonts w:ascii="Calibri" w:eastAsia="Yu Gothic" w:hAnsi="Calibri"/>
        </w:rPr>
        <w:t xml:space="preserve">Exit: G-17“Action Guide”.</w:t>
      </w:r>
    </w:p>
    <w:p>
      <w:pPr>
        <w:pStyle w:val="Heading3"/>
      </w:pPr>
      <w:r>
        <w:rPr>
          <w:rFonts w:ascii="Calibri" w:eastAsia="Yu Gothic" w:hAnsi="Calibri"/>
        </w:rPr>
        <w:t xml:space="preserve">G-25 Image Editing</w:t>
      </w:r>
    </w:p>
    <w:p>
      <w:pPr>
        <w:pStyle w:val="ListParagraph"/>
        <w:keepNext/>
        <w:keepLines/>
        <w:numPr>
          <w:ilvl w:val="0"/>
          <w:numId w:val="2"/>
        </w:numPr>
        <w:spacing w:after="20" w:before="20" w:line="300"/>
      </w:pPr>
      <w:r>
        <w:rPr>
          <w:rFonts w:ascii="Calibri" w:eastAsia="Yu Gothic" w:hAnsi="Calibri"/>
        </w:rPr>
        <w:t xml:space="preserve">Purpose: create and edit Visible Signature templates. Edit the Visible Signature within a work session and for a single photo (Chapter 4; layout in 3.3).</w:t>
      </w:r>
    </w:p>
    <w:p>
      <w:pPr>
        <w:pStyle w:val="ListParagraph"/>
        <w:keepNext/>
        <w:keepLines/>
        <w:numPr>
          <w:ilvl w:val="0"/>
          <w:numId w:val="2"/>
        </w:numPr>
        <w:spacing w:after="20" w:before="20" w:line="300"/>
      </w:pPr>
      <w:r>
        <w:rPr>
          <w:rFonts w:ascii="Calibri" w:eastAsia="Yu Gothic" w:hAnsi="Calibri"/>
        </w:rPr>
        <w:t xml:space="preserve">States: “edit the template” and “edit the work session” (Chapter 4, 13.1 “Two states of the image editing screen”). The meaning of Save (Ctrl+S) and of the undo history for each state is as in Chapter 4, 13.1 “Two states of the image editing screen”.</w:t>
      </w:r>
    </w:p>
    <w:p>
      <w:pPr>
        <w:pStyle w:val="ListParagraph"/>
        <w:keepNext/>
        <w:keepLines/>
        <w:numPr>
          <w:ilvl w:val="0"/>
          <w:numId w:val="2"/>
        </w:numPr>
        <w:spacing w:after="20" w:before="20" w:line="300"/>
      </w:pPr>
      <w:r>
        <w:rPr>
          <w:rFonts w:ascii="Calibri" w:eastAsia="Yu Gothic" w:hAnsi="Calibri"/>
        </w:rPr>
        <w:t xml:space="preserve">Elements: list of templates (create new, rename, copy, reorder, delete, extract and import as </w:t>
      </w:r>
      <w:r>
        <w:rPr>
          <w:rFonts w:ascii="Consolas" w:eastAsia="Yu Gothic" w:hAnsi="Consolas"/>
        </w:rPr>
        <w:t xml:space="preserve">.nrsdtpl</w:t>
      </w:r>
      <w:r>
        <w:rPr>
          <w:rFonts w:ascii="Calibri" w:eastAsia="Yu Gothic" w:hAnsi="Calibri"/>
        </w:rPr>
        <w:t xml:space="preserve">; Chapter 4, 8.1 “Management”, 8.3 “Passing on (export and import)”; for work sessions whose template has a new version, “Take in the new version”; Chapter 4, 8.2 “Versions”), import fonts (TTF, OTF; at import, it is shown once that “the conditions for using fonts are for the User to check”; Chapter 4, 6.4 “Imported fonts”), import assets for image layers (Chapter 4, 5 “Image Layers”), layer list, group list, display on the sample photo, settings of the selected layer (formatting in Chapter 4, 3.2 “Formatting”; colors chosen from the color field, hexadecimal, picking from the photo, recently used colors, template colors), the group's placement (single, tiling; Chapter 4, 7.4 “Tiling”), placeholder list, history list, view operations (Chapter 4, 9.2 “View”), save state, missing-glyph marks.</w:t>
      </w:r>
    </w:p>
    <w:p>
      <w:pPr>
        <w:pStyle w:val="ListParagraph"/>
        <w:keepNext/>
        <w:keepLines/>
        <w:numPr>
          <w:ilvl w:val="0"/>
          <w:numId w:val="2"/>
        </w:numPr>
        <w:spacing w:after="20" w:before="20" w:line="300"/>
      </w:pPr>
      <w:r>
        <w:rPr>
          <w:rFonts w:ascii="Calibri" w:eastAsia="Yu Gothic" w:hAnsi="Calibri"/>
        </w:rPr>
        <w:t xml:space="preserve">Elements (edit-the-work-session state): list of the work session's photos, the switch “All photos in this work session” / “This photo only”, adding layers for that photo only and entering their content, “Also save to template”, “Open photo” (creates a single-photo work session).</w:t>
      </w:r>
    </w:p>
    <w:p>
      <w:pPr>
        <w:pStyle w:val="ListParagraph"/>
        <w:keepNext/>
        <w:keepLines/>
        <w:numPr>
          <w:ilvl w:val="0"/>
          <w:numId w:val="2"/>
        </w:numPr>
        <w:spacing w:after="20" w:before="20" w:line="300"/>
      </w:pPr>
      <w:r>
        <w:rPr>
          <w:rFonts w:ascii="Calibri" w:eastAsia="Yu Gothic" w:hAnsi="Calibri"/>
        </w:rPr>
        <w:t xml:space="preserve">“Export a folder with this template” is placed in the edit-the-template state, and “Export only this photo” in the edit-the-work-session state for a single-photo work session.</w:t>
      </w:r>
    </w:p>
    <w:p>
      <w:pPr>
        <w:pStyle w:val="ListParagraph"/>
        <w:keepNext w:val="false"/>
        <w:keepLines/>
        <w:numPr>
          <w:ilvl w:val="0"/>
          <w:numId w:val="2"/>
        </w:numPr>
        <w:spacing w:after="20" w:before="20" w:line="300"/>
      </w:pPr>
      <w:r>
        <w:rPr>
          <w:rFonts w:ascii="Calibri" w:eastAsia="Yu Gothic" w:hAnsi="Calibri"/>
        </w:rPr>
        <w:t xml:space="preserve">Exits: G-08“Export: Photos and Purpose” (Export a folder with this template, Export only this photo), G-09“Export: Batch Application” (“Back” when coming from batch application).</w:t>
      </w:r>
    </w:p>
    <w:p>
      <w:pPr>
        <w:pStyle w:val="Heading2"/>
      </w:pPr>
      <w:r>
        <w:rPr>
          <w:rFonts w:ascii="Calibri" w:eastAsia="Yu Gothic" w:hAnsi="Calibri"/>
        </w:rPr>
        <w:t xml:space="preserve">3.6 List of confirmation dialogs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5"/>
        <w:gridCol w:w="5829"/>
        <w:gridCol w:w="1704"/>
      </w:tblGrid>
      <w:tr>
        <w:trPr>
          <w:cantSplit/>
          <w:tblHeader/>
        </w:trPr>
        <w:tc>
          <w:tcPr>
            <w:tcW w:type="dxa" w:w="21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Situation</w:t>
            </w:r>
          </w:p>
        </w:tc>
        <w:tc>
          <w:tcPr>
            <w:tcW w:type="dxa" w:w="58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Text of the dialog (summary)</w:t>
            </w:r>
          </w:p>
        </w:tc>
        <w:tc>
          <w:tcPr>
            <w:tcW w:type="dxa" w:w="17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Buttons</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Passphrase at start (Linux without Secret Service only)</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Enter the passphrase to open the signing key. If you forget it, the key cannot be restored without a backup file (Chapter 2, 7.5 “Storage method per OS”)</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Use only to verify (no C2PA signing)</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Withdraw a case</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a reason (mistake, already permitted, other). The evidence files are deleted and a record of withdrawal is kept. If they may be needed within the period for claiming damages (3 years from knowledge, etc.; Chapter 1, 8.4 “Retention and deletion”), extract the evidence package first</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Extract evidence package, Withdraw,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a template</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Work sessions made from this template are not affected</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a work session</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Deletes the photo adjustments and history. Exported images are not deleted</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Re-place everything automatically</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Adjustments will be lost (can be undone)</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Remake keys (every 20 years, loss, suspected leak)</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notice code will change. Post the new code on your Notice accounts, and keep the old code in your Notice as “old code (until today's date)” (for a suspected leak, write “the old code is not used from today”). Old images can be matched with the old code (Chapter 2, 3.6 “Past personal roots”)</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Remake,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Erase this device's records</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keys, work data, case records and evidence, templates, work sessions, and settings are erased. They cannot be restored without a backup. Type the confirmation word (Chapter 9, 2.3 “Procedure for “Erase this device's records””)</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Erase (can be pressed after typing the word), Cancel (default)</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Replace from backup</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current records are replaced with the backup. A backup of the current records is made first</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Make a backup and replace,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First registration (page record taken by default)</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record of the page is taken together with registration. The other site can see your IP address</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Take and register, Do not take it for this registration</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data at uninstallation (the Windows uninstaller checkbox)</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Records (works, cases, evidence, templates) are erased. They cannot be restored without a backup. Signing keys remain. To erase signing keys too, first use “Erase this device's records” in the app's settings (Chapter 9, 2.3 “Procedure for “Erase this device's records””)</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Erase, Keep</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 revocation</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Stops the counterparty's exports under this authorization. Revocation cannot be undone. It is delivered to the counterparty directly (if verified) or passed as a file</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Revoke,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Remove a verified counterparty</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From now on, documents with this counterparty are not delivered directly. Imported documents remain</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Remove a device</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Stops syncing records and backing up with this device. The device's records are not erased (to erase them, use “Erase this device's records” on that device)</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Remove, Cancel</w:t>
            </w:r>
          </w:p>
        </w:tc>
      </w:tr>
      <w:tr>
        <w:trPr>
          <w:cantSplit/>
          <w:tblHeader w:val="off"/>
        </w:trPr>
        <w:tc>
          <w:tcPr>
            <w:tcW w:type="dxa" w:w="21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 the Originals in the first backup</w:t>
            </w:r>
          </w:p>
        </w:tc>
        <w:tc>
          <w:tcPr>
            <w:tcW w:type="dxa" w:w="5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Includes the Originals (N photos, about M GB). The first time takes a while, and in a Cloud sync folder it uses capacity</w:t>
            </w:r>
          </w:p>
        </w:tc>
        <w:tc>
          <w:tcPr>
            <w:tcW w:type="dxa" w:w="17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Include, Do not include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default button of a confirmation dialog is never the irreversible side (so that pressing Enter does not erase).</w:t>
      </w:r>
    </w:p>
    <w:p>
      <w:pPr>
        <w:pStyle w:val="Heading2"/>
      </w:pPr>
      <w:r>
        <w:rPr>
          <w:rFonts w:ascii="Calibri" w:eastAsia="Yu Gothic" w:hAnsi="Calibri"/>
        </w:rPr>
        <w:t xml:space="preserve">3.7 List of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0"/>
        <w:gridCol w:w="2542"/>
        <w:gridCol w:w="5476"/>
      </w:tblGrid>
      <w:tr>
        <w:trPr>
          <w:cantSplit/>
          <w:tblHeader/>
        </w:trPr>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Notice</w:t>
            </w:r>
          </w:p>
        </w:tc>
        <w:tc>
          <w:tcPr>
            <w:tcW w:type="dxa" w:w="25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Where shown</w:t>
            </w:r>
          </w:p>
        </w:tc>
        <w:tc>
          <w:tcPr>
            <w:tcW w:type="dxa" w:w="54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shown</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Backup locations unreachable</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Top of Home, G-21“Notifications”</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no location has been reachable for 7 days (Chapter 8, 5.5 “Backup locations and automatic backups”)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Pending timestamps</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Top of Home</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there are deferred ones (Chapter 1, 7.9 “Offline export and later timestamps”)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Remaking the personal root</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a dialog at start (after 20 years)</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19 years after the personal root was made (guidance to remake within a year) and 20 years (C2PA signing stops and remaking is required) (Chapter 2, 3.4 “Expiry and input errors”, 8 “Handling Failures”)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previous session did not end properly</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Top of G-07“Home”</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At start, when the previous session was not closed properly (Chapter 4, 11.5 “After abnormal termination”)</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template has a new version</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Left of G-09“Export: Batch Application”, top of G-25“Image Editing” (edit-the-work-session state)</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 original version of the template copied by the work session has gone up (Chapter 4, 8.2 “Versions”)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 update</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 new version has been obtained</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 correction</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(one line in the same form as the content of app updates), G-12“Works”</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 version carrying the correction mark has been obtained. The list of affected sales and a single button “Make corrected-version Enclosed Documents” (Chapter 5, 2.4)</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Procedural deadline</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OS notification, G-16“Case Details”</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 days before the deadline and on the day (the VALARM of RFC 5545; Chapter 7, 6.3). Those missed while not running are shown at the next start</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Vulnerability advisory for components</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G-23“About This App”</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 VEX of CSAF 2.0 has come in the reference information package (affected, not affected, fixed version; Chapter 11, 5.3)</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Anomaly detection and crash report</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dialog at the next start</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there is a report (Chapter 1, 10.3 “Errors”), show “See the contents”, “Send (attach to an e-mail)”, and “Do not send” (9)</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update</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and the top of the screen</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an update is ready (replaced on closing or with “Restart now to update”; Chapter 9, 4.1 “Flow and states”)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 is old</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 More than 30 days after expiry, also at the top of G-17“Action Guide”</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 reference information package has expired (Chapter 8, 3.4 “Reference information package”)</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Unsupported CPU</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dialog at start (before opening the app's screens)</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the CPU does not support x86-64-v3. Shows “The CPU of this PC is not supported” and the conditions of supported machines (Chapter 11, 3.1 “Minimum supported OS versions”), then exits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Recommending OS encryption</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First run only (Chapter 8, DD-8-7“Encryption of records is left to full-disk encryption of the OS”)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Changes to the terms</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 at start</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first start after the effective date</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Low free space</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bar</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Free space under 1 GB (Chapter 8, 6.1 “Guide to device capacity”)</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Save failure</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save state at the top of the screen and a notice bar</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saving a work session or template draft fails (Chapter 4, 11.3 “How saving works”). Always shown regardless of the setting that turns off the save state display (10)</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Completion of long processing</w:t>
            </w:r>
          </w:p>
        </w:tc>
        <w:tc>
          <w:tcPr>
            <w:tcW w:type="dxa" w:w="2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notification</w:t>
            </w:r>
          </w:p>
        </w:tc>
        <w:tc>
          <w:tcPr>
            <w:tcW w:type="dxa" w:w="54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Completion of export and backups (8)</w:t>
            </w:r>
          </w:p>
        </w:tc>
      </w:tr>
    </w:tbl>
    <w:p>
      <w:pPr>
        <w:spacing w:after="100" w:before="0"/>
      </w:pPr>
    </w:p>
    <w:p>
      <w:pPr>
        <w:pStyle w:val="Heading1"/>
      </w:pPr>
      <w:r>
        <w:rPr>
          <w:rFonts w:ascii="Calibri" w:eastAsia="Yu Gothic" w:hAnsi="Calibri"/>
        </w:rPr>
        <w:t xml:space="preserve">4. Mapping of Requirements to Screens</w:t>
      </w:r>
    </w:p>
    <w:p>
      <w:pPr>
        <w:pStyle w:val="ListParagraph"/>
        <w:keepNext/>
        <w:keepLines/>
        <w:numPr>
          <w:ilvl w:val="0"/>
          <w:numId w:val="2"/>
        </w:numPr>
        <w:spacing w:after="20" w:before="20" w:line="300"/>
      </w:pPr>
      <w:r>
        <w:rPr>
          <w:rFonts w:ascii="Calibri" w:eastAsia="Yu Gothic" w:hAnsi="Calibri"/>
        </w:rPr>
        <w:t xml:space="preserve">For each requirement of Chapters 2 to 9, the User's operation and the screen where it is done are shown. Requirements with no User operation (internal processing, NRSD's work) are marked “—”, and anything that appears on screen (result displays, guidance) is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5905"/>
        <w:gridCol w:w="2098"/>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59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User's operation / what appears on screen</w:t>
            </w:r>
          </w:p>
        </w:tc>
        <w:tc>
          <w:tcPr>
            <w:tcW w:type="dxa" w:w="20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the signer (content of the certificate)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of certificate validity, remaking, correcting input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G-19“Keys and Notice Code”, 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Post the notice code. Open the Notice account of an image's signer and match</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G-04“Posting the Notice”, G-13“Verify”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(the Original's fingerprint is recorded at export; visible in work details)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R-2-2-3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Re-post the notice code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G-04“Posting the Notice”, G-19“Keys and Notice Code”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clues side by side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G-24“Compare Clues”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the clues that can be shown for photos from before adoption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 G-22“Help and Feedback”</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R-2-3-3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possible actions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G-24“Compare Clues”, 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Input of information for C2PA signatures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G-02“Consent”, G-03“Signing Information”, G-04“Posting the Notice”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R-2-4-2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and import authorizations, create revocations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G-18“Authorizations and Joint Rights”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R-2-4-3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and import joint-rights documents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G-18“Authorizations and Joint Rights”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(the range that goes into the certificate is shown in G-03“Signing Information”)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G-03“Signing Information”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R-2-5-2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(no field for real names; 7)</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All screens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R-2-5-3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history of changes of input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G-19“Keys and Notice Code”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R-2-6-1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user authentication at start. On Linux without Secret Service, the passphrase dialog at start (3.6) and the “passphrase-protected storage” setting in G-03“Signing Information”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screens, the dialog at start, G-03“Signing Information”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R-2-6-2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Remake keys and re-post the notice code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G-19“Keys and Notice Code”, G-04“Posting the Notice”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R-2-6-3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Create a backup and restore on another device. Link devices and sync records (Chapter 8, 5.4)</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G-05“Create Backup”, G-06“Restore from Backup”, G-20“Settings” (devices)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Guidance on unsupported formats (converting HEIC and RAW)</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Notices about broken, huge, and already signed images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(fields not recorded; recorded fields are visible in work details)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(the specification version is shown in G-23“About This App”)</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G-23“About This App”</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R-3-2-3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(records of the Permitted Scope are visible in work details)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Timestamps of C2PA signatures are automatic (DigiCert, GlobalSign, FreeTSA in that order; Chapter 3, 4 “Trusted Timestamps”). Setting up accounts of paid TSAs for evidence, and choosing per case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G-20“Settings”, G-14“Register a Repost”, 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R-3-3-2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number of deferred timestamps and the results of later attachment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 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(the watermark ID is visible in work details)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R-3-4-2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R-3-4-3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(processing time is seen in the progress)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R-3-6-1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copy, and search identification numbers. Put them in the Visible Signature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G-09“Export: Batch Application”, G-11“Export: Run and Results”, 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R-3-6-2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work data</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R-3-7-1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R-3-7-2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purpose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R-3-7-3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(that the Original is not changed is stated in a word in G-08“Export: Photos and Purpose”)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R-3-7-4</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(removal of shooting information is stated in a word in G-08“Export: Photos and Purpose”)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R-3-8-1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Interrupt and resume, list of failures and remedies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R-3-8-2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progress and results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R-3-9-1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the output folder</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R-3-9-2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outputs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R-3-9-3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how C2PA signatures remain per destination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G-11“Export: Run and Results”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Place elements (name, account, date, overlay, license notice, identification number)</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 direction and color</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G-09“Export: Batch Application” (per-photo adjustment)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licenses of bundled fonts. When importing fonts, see that the conditions of use are for the User to check</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G-23“About This App”, G-25“Image Editing”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R-4-1-4</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cautions on imported assets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R-4-1-5</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 layers, change order, hide, lock, change opacity</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G-09“Export: Batch Application” (per-photo visibility)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Save, choose, rename, copy, reorder, delete, extract, and import templates (to another device of one's own via sync (Chapter 8, 5.4) or backup files; to a counterparty via a </w:t>
            </w:r>
            <w:r>
              <w:rPr>
                <w:rFonts w:ascii="Consolas" w:eastAsia="Yu Gothic" w:hAnsi="Consolas"/>
                <w:b w:val="false"/>
                <w:bCs w:val="false"/>
                <w:sz w:val="18"/>
                <w:szCs w:val="18"/>
              </w:rPr>
              <w:t xml:space="preserve">.nrsdtpl</w:t>
            </w:r>
            <w:r>
              <w:rPr>
                <w:rFonts w:ascii="Calibri" w:eastAsia="Yu Gothic" w:hAnsi="Calibri"/>
                <w:b w:val="false"/>
                <w:bCs w:val="false"/>
                <w:sz w:val="18"/>
                <w:szCs w:val="18"/>
              </w:rPr>
              <w:t xml:space="preserve"> file or direct delivery to a verified counterparty; Chapter 4, 8.3)</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G-09“Export: Batch Application” (choose)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a default template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G-09“Export: Batch Application”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results of auto-placement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G-09“Export: Batch Application”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R-4-3-2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Adjust photos that “need adjustment”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G-09“Export: Batch Application”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Adjust with the preview, undo</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G-25“Image Editing”, G-09“Export: Batch Application”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R-4-4-2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(non-destructive)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R-4-4-3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Stop midway, continue, recover after abnormal termination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G-07“Home” (work in progress), G-09“Export: Batch Application”, G-25“Image Editing”</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Apply to a folder in batch and adjust per photo</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G-09“Export: Batch Application”</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R-4-6-1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size, compression, and color space for social media</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G-08“Export: Photos and Purpose” (detailed settings), G-20“Settings” (defaults)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Permitted Scope (explanations and pictures)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G-10“Export: Permitted Scope”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Permitted Scope per work</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R-5-1-3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Guidance that it cannot be changed after sale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G-10“Export: Permitted Scope”, 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Preview of the Enclosed Document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G-10“Export: Permitted Scope”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 the Enclosed Document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G-13“Verify”</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version of the Enclosed Document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G-10“Export: Permitted Scope”, G-12“Works”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R-5-3-2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of reference information updates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countries of the Enclosed Document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G-10“Export: Permitted Scope”, G-20“Settings” (defaults)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Copy sample Notice texts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G-04“Posting the Notice”, G-20“Settings”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R-5-5-2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(G-04“Posting the Notice” shows that the notice code is a clue for matching Entitlement)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G-04“Posting the Notice”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“Register”</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Put in screenshots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(recorded on the device with a record signature)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R-6-1-4</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Fill in the evidence input fields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 of fetch failures, cautions on saving</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whether there is a timestamp</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R-6-3-2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Extract the evidence package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match level and candidates for what is violated</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G-14“Register a Repost”, 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status, check the current status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G-15“Reposts (Case List)”, 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R-6-5-2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Record that a complaint was made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R-6-6-1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Withdraw</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R-6-6-2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matching result and guidance on responsibility before complaining</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R-6-7-1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list per reposting site and possible actions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G-15“Reposts (Case List)”</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a contact point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of reference information updates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language of the model text</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Confirm the guidance on personal information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references to each country's law</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 G-22“Help and Feedback”</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the procedure for identifying the operator</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 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R-7-4-2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 the guidance for when the location is unknown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and extract the evidence to attach</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G-17“Action Guide”, G-16“Case Details”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R-7-5-2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Commercial-use mark, the approach to joint action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G-15“Reposts (Case List)”, 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R-7-6-1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line-drawing text and sources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G-16“Case Details”, G-17“Action Guide”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(notice that reference information and updates failing verification are not used)</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(the data location can be seen in settings)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G-20“Settings”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(that nothing leaves the device is shown in G-01“Welcome” and G-23“About This App”)</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G-01“Welcome”, G-23“About This App”</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Restore from a backup</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G-06“Restore from Backup”</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of free space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R-8-5-2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(connections in mainland China use the mirror automatically)</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R-8-7-1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(while GitHub is unavailable, obtained from the mirror)</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R-9-1-1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(installer screens are OS standard)</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R-9-1-2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(the uninstaller's question)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Uninstaller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R-9-2-1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how to tell the official version</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G-23“About This App”</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R-9-2-2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R-9-3-1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 notices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R-9-3-2</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Notice of update failure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G-21“Notifications”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R-9-3-3</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R-9-4-1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 (README)</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R-9-5-1</w:t>
            </w:r>
          </w:p>
        </w:tc>
        <w:tc>
          <w:tcPr>
            <w:tcW w:type="dxa" w:w="59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See the list of licenses</w:t>
            </w:r>
          </w:p>
        </w:tc>
        <w:tc>
          <w:tcPr>
            <w:tcW w:type="dxa" w:w="2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G-23“About This App”</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Count: of the 104 requirements of Chapters 2 to 9 of the Outline Design Document (the number after deleting four requirements on the private repository and accepting Users in Design Plan Edition 2), 91 have a User operation or screen display (including OS authentication screens and the uninstaller), and 13 have no screen (internal processing, NRSD's work, README). All requirements with operations exist on some screen.</w:t>
      </w:r>
    </w:p>
    <w:p>
      <w:pPr>
        <w:pStyle w:val="Heading1"/>
      </w:pPr>
      <w:r>
        <w:rPr>
          <w:rFonts w:ascii="Calibri" w:eastAsia="Yu Gothic" w:hAnsi="Calibri"/>
        </w:rPr>
        <w:t xml:space="preserve">5. Languages</w:t>
      </w:r>
    </w:p>
    <w:p>
      <w:pPr>
        <w:pStyle w:val="ListParagraph"/>
        <w:keepNext/>
        <w:keepLines/>
        <w:numPr>
          <w:ilvl w:val="0"/>
          <w:numId w:val="2"/>
        </w:numPr>
        <w:spacing w:after="20" w:before="20" w:line="300"/>
      </w:pPr>
      <w:r>
        <w:rPr>
          <w:rFonts w:ascii="Calibri" w:eastAsia="Yu Gothic" w:hAnsi="Calibri"/>
        </w:rPr>
        <w:t xml:space="preserve">Texts are placed per language in ICU MessageFormat JSON (Chapter 11, DD-11-8“Internationalization uses message files”), and text is not hard-coded in screens. Keys are named </w:t>
      </w:r>
      <w:r>
        <w:rPr>
          <w:rFonts w:ascii="Consolas" w:eastAsia="Yu Gothic" w:hAnsi="Consolas"/>
        </w:rPr>
        <w:t xml:space="preserve">&lt;screen&gt;.&lt;component&gt;.&lt;role&gt;</w:t>
      </w:r>
      <w:r>
        <w:rPr>
          <w:rFonts w:ascii="Calibri" w:eastAsia="Yu Gothic" w:hAnsi="Calibri"/>
        </w:rPr>
        <w:t xml:space="preserve"> (e.g., </w:t>
      </w:r>
      <w:r>
        <w:rPr>
          <w:rFonts w:ascii="Consolas" w:eastAsia="Yu Gothic" w:hAnsi="Consolas"/>
        </w:rPr>
        <w:t xml:space="preserve">g03.handle.label</w:t>
      </w:r>
      <w:r>
        <w:rPr>
          <w:rFonts w:ascii="Calibri" w:eastAsia="Yu Gothic" w:hAnsi="Calibri"/>
        </w:rPr>
        <w:t xml:space="preserve">, </w:t>
      </w:r>
      <w:r>
        <w:rPr>
          <w:rFonts w:ascii="Consolas" w:eastAsia="Yu Gothic" w:hAnsi="Consolas"/>
        </w:rPr>
        <w:t xml:space="preserve">g03.handle.help</w:t>
      </w:r>
      <w:r>
        <w:rPr>
          <w:rFonts w:ascii="Calibri" w:eastAsia="Yu Gothic" w:hAnsi="Calibri"/>
        </w:rPr>
        <w:t xml:space="preserve">, </w:t>
      </w:r>
      <w:r>
        <w:rPr>
          <w:rFonts w:ascii="Consolas" w:eastAsia="Yu Gothic" w:hAnsi="Consolas"/>
        </w:rPr>
        <w:t xml:space="preserve">common.button.cancel</w:t>
      </w:r>
      <w:r>
        <w:rPr>
          <w:rFonts w:ascii="Calibri" w:eastAsia="Yu Gothic" w:hAnsi="Calibri"/>
        </w:rPr>
        <w:t xml:space="preserve">, </w:t>
      </w:r>
      <w:r>
        <w:rPr>
          <w:rFonts w:ascii="Consolas" w:eastAsia="Yu Gothic" w:hAnsi="Consolas"/>
        </w:rPr>
        <w:t xml:space="preserve">err.STO-031.what</w:t>
      </w:r>
      <w:r>
        <w:rPr>
          <w:rFonts w:ascii="Calibri" w:eastAsia="Yu Gothic" w:hAnsi="Calibri"/>
        </w:rPr>
        <w:t xml:space="preserve">). Keys use only lowercase Latin letters and periods, and insertions within a sentence are ICU </w:t>
      </w:r>
      <w:r>
        <w:rPr>
          <w:rFonts w:ascii="Consolas" w:eastAsia="Yu Gothic" w:hAnsi="Consolas"/>
        </w:rPr>
        <w:t xml:space="preserve">{name}</w:t>
      </w:r>
      <w:r>
        <w:rPr>
          <w:rFonts w:ascii="Calibri" w:eastAsia="Yu Gothic" w:hAnsi="Calibri"/>
        </w:rPr>
        <w:t xml:space="preserve">. Plurals and gender are handled with MessageFormat. The keys of fixed texts composed by the core (the headings of </w:t>
      </w:r>
      <w:r>
        <w:rPr>
          <w:rFonts w:ascii="Consolas" w:eastAsia="Yu Gothic" w:hAnsi="Consolas"/>
        </w:rPr>
        <w:t xml:space="preserve">00_INDEX.txt</w:t>
      </w:r>
      <w:r>
        <w:rPr>
          <w:rFonts w:ascii="Calibri" w:eastAsia="Yu Gothic" w:hAnsi="Calibri"/>
        </w:rPr>
        <w:t xml:space="preserve">, the report and verification procedure documents, the emergency kit, and the headings of corrected-version Enclosed Documents; excluding </w:t>
      </w:r>
      <w:r>
        <w:rPr>
          <w:rFonts w:ascii="Consolas" w:eastAsia="Yu Gothic" w:hAnsi="Consolas"/>
        </w:rPr>
        <w:t xml:space="preserve">err.*</w:t>
      </w:r>
      <w:r>
        <w:rPr>
          <w:rFonts w:ascii="Calibri" w:eastAsia="Yu Gothic" w:hAnsi="Calibri"/>
        </w:rPr>
        <w:t xml:space="preserve"> of Chapter 1, 10.3) are </w:t>
      </w:r>
      <w:r>
        <w:rPr>
          <w:rFonts w:ascii="Consolas" w:eastAsia="Yu Gothic" w:hAnsi="Consolas"/>
        </w:rPr>
        <w:t xml:space="preserve">core.&lt;block name&gt;.&lt;name&gt;</w:t>
      </w:r>
      <w:r>
        <w:rPr>
          <w:rFonts w:ascii="Calibri" w:eastAsia="Yu Gothic" w:hAnsi="Calibri"/>
        </w:rPr>
        <w:t xml:space="preserve"> (e.g., </w:t>
      </w:r>
      <w:r>
        <w:rPr>
          <w:rFonts w:ascii="Consolas" w:eastAsia="Yu Gothic" w:hAnsi="Consolas"/>
        </w:rPr>
        <w:t xml:space="preserve">core.sign.index_heading</w:t>
      </w:r>
      <w:r>
        <w:rPr>
          <w:rFonts w:ascii="Calibri" w:eastAsia="Yu Gothic" w:hAnsi="Calibri"/>
        </w:rPr>
        <w:t xml:space="preserve">), placed in the same message files.</w:t>
      </w:r>
    </w:p>
    <w:p>
      <w:pPr>
        <w:pStyle w:val="ListParagraph"/>
        <w:keepNext/>
        <w:keepLines/>
        <w:numPr>
          <w:ilvl w:val="0"/>
          <w:numId w:val="2"/>
        </w:numPr>
        <w:spacing w:after="20" w:before="20" w:line="300"/>
      </w:pPr>
      <w:r>
        <w:rPr>
          <w:rFonts w:ascii="Calibri" w:eastAsia="Yu Gothic" w:hAnsi="Calibri"/>
        </w:rPr>
        <w:t xml:space="preserve">Switching languages: chosen in G-01“Welcome” and G-20“Settings”. The default is the OS language (ja, those beginning with zh, otherwise en). Switching takes effect without restarting.</w:t>
      </w:r>
    </w:p>
    <w:p>
      <w:pPr>
        <w:pStyle w:val="ListParagraph"/>
        <w:keepNext/>
        <w:keepLines/>
        <w:numPr>
          <w:ilvl w:val="0"/>
          <w:numId w:val="2"/>
        </w:numPr>
        <w:spacing w:after="20" w:before="20" w:line="300"/>
      </w:pPr>
      <w:r>
        <w:rPr>
          <w:rFonts w:ascii="Calibri" w:eastAsia="Yu Gothic" w:hAnsi="Calibri"/>
        </w:rPr>
        <w:t xml:space="preserve">Glyph shapes: screen elements carry a </w:t>
      </w:r>
      <w:r>
        <w:rPr>
          <w:rFonts w:ascii="Consolas" w:eastAsia="Yu Gothic" w:hAnsi="Consolas"/>
        </w:rPr>
        <w:t xml:space="preserve">lang</w:t>
      </w:r>
      <w:r>
        <w:rPr>
          <w:rFonts w:ascii="Calibri" w:eastAsia="Yu Gothic" w:hAnsi="Calibri"/>
        </w:rPr>
        <w:t xml:space="preserve"> attribute (BCP 47 (RFC 5646) language tags: ja, zh-Hans, en), and the per-language fonts (2.2) are applied. The notation of dates and numbers follows the regional data of Unicode CLDR (used by </w:t>
      </w:r>
      <w:r>
        <w:rPr>
          <w:rFonts w:ascii="Consolas" w:eastAsia="Yu Gothic" w:hAnsi="Consolas"/>
        </w:rPr>
        <w:t xml:space="preserve">Intl</w:t>
      </w:r>
      <w:r>
        <w:rPr>
          <w:rFonts w:ascii="Calibri" w:eastAsia="Yu Gothic" w:hAnsi="Calibri"/>
        </w:rPr>
        <w:t xml:space="preserve">). Strings entered by Users are displayed with the screen language's attribute.</w:t>
      </w:r>
    </w:p>
    <w:p>
      <w:pPr>
        <w:pStyle w:val="ListParagraph"/>
        <w:keepNext/>
        <w:keepLines/>
        <w:numPr>
          <w:ilvl w:val="0"/>
          <w:numId w:val="2"/>
        </w:numPr>
        <w:spacing w:after="20" w:before="20" w:line="300"/>
      </w:pPr>
      <w:r>
        <w:rPr>
          <w:rFonts w:ascii="Calibri" w:eastAsia="Yu Gothic" w:hAnsi="Calibri"/>
        </w:rPr>
        <w:t xml:space="preserve">Dates, times, numbers: displayed with </w:t>
      </w:r>
      <w:r>
        <w:rPr>
          <w:rFonts w:ascii="Consolas" w:eastAsia="Yu Gothic" w:hAnsi="Consolas"/>
        </w:rPr>
        <w:t xml:space="preserve">Intl.DateTimeFormat</w:t>
      </w:r>
      <w:r>
        <w:rPr>
          <w:rFonts w:ascii="Calibri" w:eastAsia="Yu Gothic" w:hAnsi="Calibri"/>
        </w:rPr>
        <w:t xml:space="preserve"> and </w:t>
      </w:r>
      <w:r>
        <w:rPr>
          <w:rFonts w:ascii="Consolas" w:eastAsia="Yu Gothic" w:hAnsi="Consolas"/>
        </w:rPr>
        <w:t xml:space="preserve">Intl.NumberFormat</w:t>
      </w:r>
      <w:r>
        <w:rPr>
          <w:rFonts w:ascii="Calibri" w:eastAsia="Yu Gothic" w:hAnsi="Calibri"/>
        </w:rPr>
        <w:t xml:space="preserve"> according to the screen language and region. Recorded in UTC ISO 8601 (Chapter 1, 10.7 “Time”). Times related to evidence always show the time offset (e.g., UTC+9) beside them.</w:t>
      </w:r>
    </w:p>
    <w:p>
      <w:pPr>
        <w:pStyle w:val="ListParagraph"/>
        <w:keepNext/>
        <w:keepLines/>
        <w:numPr>
          <w:ilvl w:val="0"/>
          <w:numId w:val="2"/>
        </w:numPr>
        <w:spacing w:after="20" w:before="20" w:line="300"/>
      </w:pPr>
      <w:r>
        <w:rPr>
          <w:rFonts w:ascii="Calibri" w:eastAsia="Yu Gothic" w:hAnsi="Calibri"/>
        </w:rPr>
        <w:t xml:space="preserve">Consistent terms: a glossary (identification number, Permitted Scope, Enclosed Document, notice code, case, repost, etc.) is defined in three languages, and translators follow it. Translations are checked by NRSD (Chapter 11, DD-11-8“Internationalization uses message files”).</w:t>
      </w:r>
    </w:p>
    <w:p>
      <w:pPr>
        <w:pStyle w:val="ListParagraph"/>
        <w:keepNext/>
        <w:keepLines/>
        <w:numPr>
          <w:ilvl w:val="0"/>
          <w:numId w:val="2"/>
        </w:numPr>
        <w:spacing w:after="20" w:before="20" w:line="300"/>
      </w:pPr>
      <w:r>
        <w:rPr>
          <w:rFonts w:ascii="Calibri" w:eastAsia="Yu Gothic" w:hAnsi="Calibri"/>
        </w:rPr>
        <w:t xml:space="preserve">Translations are exchanged in XLIFF 2.1 (OASIS). The source of the texts stays as ICU MessageFormat JSON; CI converts it to XLIFF to hand to translators and imports the returned XLIFF into JSON (CI checks that the round trip does not change the content; Chapter 11, DD-11-8“Internationalization uses message files”) (2026-10-01, NRSD's requirement).</w:t>
      </w:r>
    </w:p>
    <w:p>
      <w:pPr>
        <w:pStyle w:val="ListParagraph"/>
        <w:keepNext/>
        <w:keepLines/>
        <w:numPr>
          <w:ilvl w:val="0"/>
          <w:numId w:val="2"/>
        </w:numPr>
        <w:spacing w:after="20" w:before="20" w:line="300"/>
      </w:pPr>
      <w:r>
        <w:rPr>
          <w:rFonts w:ascii="Calibri" w:eastAsia="Yu Gothic" w:hAnsi="Calibri"/>
        </w:rPr>
        <w:t xml:space="preserve">The screen language and the countries of the Enclosed Document are separate settings (Chapter 1, 10.8 “Languages and countries”). Even with the screen in English, the Japanese version of the Enclosed Document can be chosen.</w:t>
      </w:r>
    </w:p>
    <w:p>
      <w:pPr>
        <w:pStyle w:val="ListParagraph"/>
        <w:keepNext w:val="false"/>
        <w:keepLines/>
        <w:numPr>
          <w:ilvl w:val="0"/>
          <w:numId w:val="2"/>
        </w:numPr>
        <w:spacing w:after="20" w:before="20" w:line="300"/>
      </w:pPr>
      <w:r>
        <w:rPr>
          <w:rFonts w:ascii="Calibri" w:eastAsia="Yu Gothic" w:hAnsi="Calibri"/>
        </w:rPr>
        <w:t xml:space="preserve">Text length: English is longer than Japanese, so it is checked that buttons and headings do not break at English lengths (included in the readability check; 2.4).</w:t>
      </w:r>
    </w:p>
    <w:p>
      <w:pPr>
        <w:pStyle w:val="Heading1"/>
      </w:pPr>
      <w:r>
        <w:rPr>
          <w:rFonts w:ascii="Calibri" w:eastAsia="Yu Gothic" w:hAnsi="Calibri"/>
        </w:rPr>
        <w:t xml:space="preserve">6. Guidance</w:t>
      </w:r>
    </w:p>
    <w:p>
      <w:pPr>
        <w:pStyle w:val="Heading2"/>
      </w:pPr>
      <w:r>
        <w:rPr>
          <w:rFonts w:ascii="Calibri" w:eastAsia="Yu Gothic" w:hAnsi="Calibri"/>
        </w:rPr>
        <w:t xml:space="preserve">6.1 First-run guidance</w:t>
      </w:r>
    </w:p>
    <w:p>
      <w:pPr>
        <w:pStyle w:val="ListParagraph"/>
        <w:keepNext/>
        <w:keepLines/>
        <w:numPr>
          <w:ilvl w:val="0"/>
          <w:numId w:val="2"/>
        </w:numPr>
        <w:spacing w:after="20" w:before="20" w:line="300"/>
      </w:pPr>
      <w:r>
        <w:rPr>
          <w:rFonts w:ascii="Calibri" w:eastAsia="Yu Gothic" w:hAnsi="Calibri"/>
        </w:rPr>
        <w:t xml:space="preserve">The flow of G-01“Welcome”, G-02“Consent”, G-03“Signing Information”, G-04“Posting the Notice” (3.2). After input, creating a backup (G-05“Create Backup”) is recommended.</w:t>
      </w:r>
    </w:p>
    <w:p>
      <w:pPr>
        <w:pStyle w:val="ListParagraph"/>
        <w:keepNext/>
        <w:keepLines/>
        <w:numPr>
          <w:ilvl w:val="0"/>
          <w:numId w:val="2"/>
        </w:numPr>
        <w:spacing w:after="20" w:before="20" w:line="300"/>
      </w:pPr>
      <w:r>
        <w:rPr>
          <w:rFonts w:ascii="Calibri" w:eastAsia="Yu Gothic" w:hAnsi="Calibri"/>
        </w:rPr>
        <w:t xml:space="preserve">G-01“Welcome” shows “This app does not collect your information. All records are kept in this PC. If you lose the PC, you lose the records too, so please create a backup”.</w:t>
      </w:r>
    </w:p>
    <w:p>
      <w:pPr>
        <w:pStyle w:val="ListParagraph"/>
        <w:keepNext/>
        <w:keepLines/>
        <w:numPr>
          <w:ilvl w:val="0"/>
          <w:numId w:val="2"/>
        </w:numPr>
        <w:spacing w:after="20" w:before="20" w:line="300"/>
      </w:pPr>
      <w:r>
        <w:rPr>
          <w:rFonts w:ascii="Calibri" w:eastAsia="Yu Gothic" w:hAnsi="Calibri"/>
        </w:rPr>
        <w:t xml:space="preserve">Rights of the original works (Chapter 12, 6 “What Is Returned to the Screens”): G-01“Welcome” uses one screen, showing the following, and proceeds when “I understand” is pressed.</w:t>
      </w:r>
    </w:p>
    <w:p>
      <w:pPr>
        <w:pStyle w:val="ListParagraph"/>
        <w:keepNext/>
        <w:keepLines/>
        <w:numPr>
          <w:ilvl w:val="1"/>
          <w:numId w:val="2"/>
        </w:numPr>
        <w:spacing w:after="20" w:before="20" w:line="300"/>
      </w:pPr>
      <w:r>
        <w:rPr>
          <w:rFonts w:ascii="Calibri" w:eastAsia="Yu Gothic" w:hAnsi="Calibri"/>
        </w:rPr>
        <w:t xml:space="preserve">“What this app protects is the rights to the photos you took or appear in.”</w:t>
      </w:r>
    </w:p>
    <w:p>
      <w:pPr>
        <w:pStyle w:val="ListParagraph"/>
        <w:keepNext/>
        <w:keepLines/>
        <w:numPr>
          <w:ilvl w:val="1"/>
          <w:numId w:val="2"/>
        </w:numPr>
        <w:spacing w:after="20" w:before="20" w:line="300"/>
      </w:pPr>
      <w:r>
        <w:rPr>
          <w:rFonts w:ascii="Calibri" w:eastAsia="Yu Gothic" w:hAnsi="Calibri"/>
        </w:rPr>
        <w:t xml:space="preserve">“It does not handle the rights to the works on which the cosplay is based (characters, etc.). Please check your relationship with the rights holders of the original works yourself.”</w:t>
      </w:r>
    </w:p>
    <w:p>
      <w:pPr>
        <w:pStyle w:val="ListParagraph"/>
        <w:keepNext/>
        <w:keepLines/>
        <w:numPr>
          <w:ilvl w:val="0"/>
          <w:numId w:val="2"/>
        </w:numPr>
        <w:spacing w:after="20" w:before="20" w:line="300"/>
      </w:pPr>
      <w:r>
        <w:rPr>
          <w:rFonts w:ascii="Calibri" w:eastAsia="Yu Gothic" w:hAnsi="Calibri"/>
        </w:rPr>
        <w:t xml:space="preserve">Consent to the Terms of Use (G-02“Consent”): the full text is shown with scrolling; consent is possible without reading to the end, but the key points (five lines) are shown above the full text. The only input asked for is the handle name, role, and Notice accounts of the signing information (G-03“Signing Information”). No e-mail or other registration is asked for.</w:t>
      </w:r>
    </w:p>
    <w:p>
      <w:pPr>
        <w:pStyle w:val="ListParagraph"/>
        <w:keepNext/>
        <w:keepLines/>
        <w:numPr>
          <w:ilvl w:val="0"/>
          <w:numId w:val="2"/>
        </w:numPr>
        <w:spacing w:after="20" w:before="20" w:line="300"/>
      </w:pPr>
      <w:r>
        <w:rPr>
          <w:rFonts w:ascii="Calibri" w:eastAsia="Yu Gothic" w:hAnsi="Calibri"/>
        </w:rPr>
        <w:t xml:space="preserve">Posting the Notice (G-04“Posting the Notice”): a copy button for the notice code, three levels of sample texts (short, medium, long; including the explanation that the C2PA mark is not a label of AI generation; Chapter 5, 6.1 “Levels of sample text”), and procedure images for each platform: X, Instagram, Weibo, Xiaohongshu. How to substitute a pinned post is also shown (Chapter 2, 2.2 “Limits of the places where notice codes are posted”). It is shown that keeping the notice code posted is the clue by which people who see the images can match.</w:t>
      </w:r>
    </w:p>
    <w:p>
      <w:pPr>
        <w:pStyle w:val="ListParagraph"/>
        <w:keepNext w:val="false"/>
        <w:keepLines/>
        <w:numPr>
          <w:ilvl w:val="0"/>
          <w:numId w:val="2"/>
        </w:numPr>
        <w:spacing w:after="20" w:before="20" w:line="300"/>
      </w:pPr>
      <w:r>
        <w:rPr>
          <w:rFonts w:ascii="Calibri" w:eastAsia="Yu Gothic" w:hAnsi="Calibri"/>
        </w:rPr>
        <w:t xml:space="preserve">Guidance on first-time warnings such as SmartScreen concerns the time before the app starts, so it is placed in the README (Chapter 9, 2 “Installation”, 5 “Download Routes”).</w:t>
      </w:r>
    </w:p>
    <w:p>
      <w:pPr>
        <w:pStyle w:val="Heading2"/>
      </w:pPr>
      <w:r>
        <w:rPr>
          <w:rFonts w:ascii="Calibri" w:eastAsia="Yu Gothic" w:hAnsi="Calibri"/>
        </w:rPr>
        <w:t xml:space="preserve">6.2 Legal guidance</w:t>
      </w:r>
    </w:p>
    <w:p>
      <w:pPr>
        <w:pStyle w:val="ListParagraph"/>
        <w:keepNext w:val="false"/>
        <w:keepLines/>
        <w:numPr>
          <w:ilvl w:val="0"/>
          <w:numId w:val="2"/>
        </w:numPr>
        <w:spacing w:after="20" w:before="20" w:line="300"/>
      </w:pPr>
      <w:r>
        <w:rPr>
          <w:rFonts w:ascii="Calibri" w:eastAsia="Yu Gothic" w:hAnsi="Calibri"/>
        </w:rPr>
        <w:t xml:space="preserve">As in the table of Chapter 12, 6 “What Is Returned to the Screens”. At the very bottom of G-16“Case Details” and G-17“Action Guide”, the text “This is not legal advice” is always shown. G-17“Action Guide” does not display model texts until the guidance on personal information has been confirmed.</w:t>
      </w:r>
    </w:p>
    <w:p>
      <w:pPr>
        <w:pStyle w:val="Heading2"/>
      </w:pPr>
      <w:r>
        <w:rPr>
          <w:rFonts w:ascii="Calibri" w:eastAsia="Yu Gothic" w:hAnsi="Calibri"/>
        </w:rPr>
        <w:t xml:space="preserve">6.3 Errors and help</w:t>
      </w:r>
    </w:p>
    <w:p>
      <w:pPr>
        <w:pStyle w:val="ListParagraph"/>
        <w:keepNext/>
        <w:keepLines/>
        <w:numPr>
          <w:ilvl w:val="0"/>
          <w:numId w:val="2"/>
        </w:numPr>
        <w:spacing w:after="20" w:before="20" w:line="300"/>
      </w:pPr>
      <w:r>
        <w:rPr>
          <w:rFonts w:ascii="Calibri" w:eastAsia="Yu Gothic" w:hAnsi="Calibri"/>
        </w:rPr>
        <w:t xml:space="preserve">Example of the error form (DD-10-8“Error displays follow a uniform pattern”):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5"/>
        <w:gridCol w:w="7693"/>
      </w:tblGrid>
      <w:tr>
        <w:trPr>
          <w:cantSplit/>
          <w:tblHeader/>
        </w:trPr>
        <w:tc>
          <w:tcPr>
            <w:tcW w:type="dxa" w:w="19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76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Example (not enough free space in the middle of export)</w:t>
            </w:r>
          </w:p>
        </w:tc>
      </w:tr>
      <w:tr>
        <w:trPr>
          <w:cantSplit/>
          <w:tblHeader w:val="off"/>
        </w:trPr>
        <w:tc>
          <w:tcPr>
            <w:tcW w:type="dxa" w:w="19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What happened</w:t>
            </w:r>
          </w:p>
        </w:tc>
        <w:tc>
          <w:tcPr>
            <w:tcW w:type="dxa" w:w="7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There was not enough free space at the save location, and export stopped at the 12th photo.</w:t>
            </w:r>
          </w:p>
        </w:tc>
      </w:tr>
      <w:tr>
        <w:trPr>
          <w:cantSplit/>
          <w:tblHeader w:val="off"/>
        </w:trPr>
        <w:tc>
          <w:tcPr>
            <w:tcW w:type="dxa" w:w="19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Are the Original and records safe</w:t>
            </w:r>
          </w:p>
        </w:tc>
        <w:tc>
          <w:tcPr>
            <w:tcW w:type="dxa" w:w="7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Your original photos have not been changed. The 11 completed can be used as they are.</w:t>
            </w:r>
          </w:p>
        </w:tc>
      </w:tr>
      <w:tr>
        <w:trPr>
          <w:cantSplit/>
          <w:tblHeader w:val="off"/>
        </w:trPr>
        <w:tc>
          <w:tcPr>
            <w:tcW w:type="dxa" w:w="19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What to do next</w:t>
            </w:r>
          </w:p>
        </w:tc>
        <w:tc>
          <w:tcPr>
            <w:tcW w:type="dxa" w:w="7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Free up space and press “Continue”. You can also change the save location.</w:t>
            </w:r>
          </w:p>
        </w:tc>
      </w:tr>
      <w:tr>
        <w:trPr>
          <w:cantSplit/>
          <w:tblHeader w:val="off"/>
        </w:trPr>
        <w:tc>
          <w:tcPr>
            <w:tcW w:type="dxa" w:w="19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Code</w:t>
            </w:r>
          </w:p>
        </w:tc>
        <w:tc>
          <w:tcPr>
            <w:tcW w:type="dxa" w:w="76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STO-031</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Error codes take the form of Chapter 1, 10.3 “Errors” (three letters of category and three digits; e.g., </w:t>
      </w:r>
      <w:r>
        <w:rPr>
          <w:rFonts w:ascii="Consolas" w:eastAsia="Yu Gothic" w:hAnsi="Consolas"/>
        </w:rPr>
        <w:t xml:space="preserve">STO-031</w:t>
      </w:r>
      <w:r>
        <w:rPr>
          <w:rFonts w:ascii="Calibri" w:eastAsia="Yu Gothic" w:hAnsi="Calibri"/>
        </w:rPr>
        <w:t xml:space="preserve">), and the list is placed in the developer-side documents (sent with feedback). Technical details (exception strings) are written only in the operation log and not shown on screen.</w:t>
      </w:r>
    </w:p>
    <w:p>
      <w:pPr>
        <w:pStyle w:val="ListParagraph"/>
        <w:keepNext/>
        <w:keepLines/>
        <w:numPr>
          <w:ilvl w:val="0"/>
          <w:numId w:val="2"/>
        </w:numPr>
        <w:spacing w:after="20" w:before="20" w:line="300"/>
      </w:pPr>
      <w:r>
        <w:rPr>
          <w:rFonts w:ascii="Calibri" w:eastAsia="Yu Gothic" w:hAnsi="Calibri"/>
        </w:rPr>
        <w:t xml:space="preserve">If a failure relates to the connection, what can be done offline is shown (export can continue, registration can be recorded, and fetching and timestamps can be done later) (Chapter 1, 7.9 “Offline export and later timestamps”).</w:t>
      </w:r>
    </w:p>
    <w:p>
      <w:pPr>
        <w:pStyle w:val="ListParagraph"/>
        <w:keepNext/>
        <w:keepLines/>
        <w:numPr>
          <w:ilvl w:val="0"/>
          <w:numId w:val="2"/>
        </w:numPr>
        <w:spacing w:after="20" w:before="20" w:line="300"/>
      </w:pPr>
      <w:r>
        <w:rPr>
          <w:rFonts w:ascii="Calibri" w:eastAsia="Yu Gothic" w:hAnsi="Calibri"/>
        </w:rPr>
        <w:t xml:space="preserve">Help: from each screen's “?”, the explanation of that screen (short text and images) is opened. Help text has three languages by the same mechanism as the screen texts and is updated with the app version. Content that changes easily, such as contact points and laws, is placed not in help but in the reference information (Chapter 7, DD-7-3“NRSD maintains contact points, texts, and references as reference information”).</w:t>
      </w:r>
    </w:p>
    <w:p>
      <w:pPr>
        <w:pStyle w:val="ListParagraph"/>
        <w:keepNext w:val="false"/>
        <w:keepLines/>
        <w:numPr>
          <w:ilvl w:val="0"/>
          <w:numId w:val="2"/>
        </w:numPr>
        <w:spacing w:after="20" w:before="20" w:line="300"/>
      </w:pPr>
      <w:r>
        <w:rPr>
          <w:rFonts w:ascii="Calibri" w:eastAsia="Yu Gothic" w:hAnsi="Calibri"/>
        </w:rPr>
        <w:t xml:space="preserve">Maintaining help: in a version that changes a screen, that screen's help is fixed in the same version (included in the checklist of the release procedure; Chapter 9, 6.1 “Procedure”).</w:t>
      </w:r>
    </w:p>
    <w:p>
      <w:pPr>
        <w:pStyle w:val="Heading1"/>
      </w:pPr>
      <w:r>
        <w:rPr>
          <w:rFonts w:ascii="Calibri" w:eastAsia="Yu Gothic" w:hAnsi="Calibri"/>
        </w:rPr>
        <w:t xml:space="preserve">7. Considerations in Display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95"/>
        <w:gridCol w:w="7843"/>
      </w:tblGrid>
      <w:tr>
        <w:trPr>
          <w:cantSplit/>
          <w:tblHeader/>
        </w:trPr>
        <w:tc>
          <w:tcPr>
            <w:tcW w:type="dxa" w:w="17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Information</w:t>
            </w:r>
          </w:p>
        </w:tc>
        <w:tc>
          <w:tcPr>
            <w:tcW w:type="dxa" w:w="78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Real names</w:t>
            </w:r>
          </w:p>
        </w:tc>
        <w:tc>
          <w:tcPr>
            <w:tcW w:type="dxa" w:w="7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input field. The name field of complaint model texts is entered only within G-17“Action Guide” and not saved (Chapter 7, 3.1 “Kinds of model text”)</w:t>
            </w:r>
          </w:p>
        </w:tc>
      </w:tr>
      <w:tr>
        <w:trPr>
          <w:cantSplit/>
          <w:tblHeader w:val="off"/>
        </w:trPr>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Signing keys</w:t>
            </w:r>
          </w:p>
        </w:tc>
        <w:tc>
          <w:tcPr>
            <w:tcW w:type="dxa" w:w="7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shown on screen. They leave the device only inside backups encrypted with a passphrase (Chapter 2, 7.1 “Generation and storage”)</w:t>
            </w:r>
          </w:p>
        </w:tc>
      </w:tr>
      <w:tr>
        <w:trPr>
          <w:cantSplit/>
          <w:tblHeader w:val="off"/>
        </w:trPr>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 passphrase</w:t>
            </w:r>
          </w:p>
        </w:tc>
        <w:tc>
          <w:tcPr>
            <w:tcW w:type="dxa" w:w="7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input field is masked. Not saved</w:t>
            </w:r>
          </w:p>
        </w:tc>
      </w:tr>
      <w:tr>
        <w:trPr>
          <w:cantSplit/>
          <w:tblHeader w:val="off"/>
        </w:trPr>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key fingerprints and notice code</w:t>
            </w:r>
          </w:p>
        </w:tc>
        <w:tc>
          <w:tcPr>
            <w:tcW w:type="dxa" w:w="7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Public information, displayed (G-04“Posting the Notice”, G-19“Keys and Notice Code”, G-23“About This App”)</w:t>
            </w:r>
          </w:p>
        </w:tc>
      </w:tr>
      <w:tr>
        <w:trPr>
          <w:cantSplit/>
          <w:tblHeader w:val="off"/>
        </w:trPr>
        <w:tc>
          <w:tcPr>
            <w:tcW w:type="dxa" w:w="17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Content of reposted pages</w:t>
            </w:r>
          </w:p>
        </w:tc>
        <w:tc>
          <w:tcPr>
            <w:tcW w:type="dxa" w:w="78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What is fetched is not rendered (Chapter 6, DD-6-1“Repost pages are fetched without running scripts”). Screenshots (taken by the User) are displayed reduced</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Assuming situations where the screen is shown to others (streaming, screen sharing), G-20“Settings” has a “display consideration” toggle (hiding Notice accounts and case URLs).</w:t>
      </w:r>
    </w:p>
    <w:p>
      <w:pPr>
        <w:pStyle w:val="Heading1"/>
      </w:pPr>
      <w:r>
        <w:rPr>
          <w:rFonts w:ascii="Calibri" w:eastAsia="Yu Gothic" w:hAnsi="Calibri"/>
        </w:rPr>
        <w:t xml:space="preserve">8. OS Integration</w:t>
      </w:r>
    </w:p>
    <w:p>
      <w:pPr>
        <w:pStyle w:val="ListParagraph"/>
        <w:keepNext/>
        <w:keepLines/>
        <w:numPr>
          <w:ilvl w:val="0"/>
          <w:numId w:val="2"/>
        </w:numPr>
        <w:spacing w:after="20" w:before="20" w:line="300"/>
      </w:pPr>
      <w:r>
        <w:rPr>
          <w:rFonts w:ascii="Calibri" w:eastAsia="Yu Gothic" w:hAnsi="Calibri"/>
        </w:rPr>
        <w:t xml:space="preserve">DD-10-5“No OS integration; drag and drop is used instead”. No right-click menus, file associations, or resident presence (notification area icons). The URL scheme registered with the OS (Chapter 1, 10.10) is only the app's own one (receiving from the browser extension) and does not fall under the three that DD-10-5 rejects.</w:t>
      </w:r>
    </w:p>
    <w:p>
      <w:pPr>
        <w:pStyle w:val="ListParagraph"/>
        <w:keepNext/>
        <w:keepLines/>
        <w:numPr>
          <w:ilvl w:val="0"/>
          <w:numId w:val="2"/>
        </w:numPr>
        <w:spacing w:after="20" w:before="20" w:line="300"/>
      </w:pPr>
      <w:r>
        <w:rPr>
          <w:rFonts w:ascii="Calibri" w:eastAsia="Yu Gothic" w:hAnsi="Calibri"/>
        </w:rPr>
        <w:t xml:space="preserve">Drag and drop onto the window: dropping photos and folders on G-07“Home” or G-08“Export: Photos and Purpose” starts the export flow, on G-13“Verify” verifies, on G-06“Restore from Backup” restores from a backup, and on G-14“Register a Repost” puts them in the reposted image and screenshot fields.</w:t>
      </w:r>
    </w:p>
    <w:p>
      <w:pPr>
        <w:pStyle w:val="ListParagraph"/>
        <w:keepNext w:val="false"/>
        <w:keepLines/>
        <w:numPr>
          <w:ilvl w:val="0"/>
          <w:numId w:val="2"/>
        </w:numPr>
        <w:spacing w:after="20" w:before="20" w:line="300"/>
      </w:pPr>
      <w:r>
        <w:rPr>
          <w:rFonts w:ascii="Calibri" w:eastAsia="Yu Gothic" w:hAnsi="Calibri"/>
        </w:rPr>
        <w:t xml:space="preserve">OS notifications: OS notifications are used only for the completion of long processing (export, backups) and for procedural deadlines (3.7; the time of the VALARM of RFC 5545) (Tauri's notification feature) (aligned with 3.7 on 2026-10-01).</w:t>
      </w:r>
    </w:p>
    <w:p>
      <w:pPr>
        <w:pStyle w:val="Heading1"/>
      </w:pPr>
      <w:r>
        <w:rPr>
          <w:rFonts w:ascii="Calibri" w:eastAsia="Yu Gothic" w:hAnsi="Calibri"/>
        </w:rPr>
        <w:t xml:space="preserve">9. Feedback Channel</w:t>
      </w:r>
    </w:p>
    <w:p>
      <w:pPr>
        <w:pStyle w:val="ListParagraph"/>
        <w:keepNext/>
        <w:keepLines/>
        <w:numPr>
          <w:ilvl w:val="0"/>
          <w:numId w:val="2"/>
        </w:numPr>
        <w:spacing w:after="20" w:before="20" w:line="300"/>
      </w:pPr>
      <w:r>
        <w:rPr>
          <w:rFonts w:ascii="Calibri" w:eastAsia="Yu Gothic" w:hAnsi="Calibri"/>
        </w:rPr>
        <w:t xml:space="preserve">“Send feedback” in G-22“Help and Feedback”: enter the kind (does not work / hard to understand / error in contact points or sample texts / other), body, and choice of information to attach (app version, OS, recent error codes; included by default; photos, records, and personal information are not attached).</w:t>
      </w:r>
    </w:p>
    <w:p>
      <w:pPr>
        <w:pStyle w:val="ListParagraph"/>
        <w:keepNext/>
        <w:keepLines/>
        <w:numPr>
          <w:ilvl w:val="0"/>
          <w:numId w:val="2"/>
        </w:numPr>
        <w:spacing w:after="20" w:before="20" w:line="300"/>
      </w:pPr>
      <w:r>
        <w:rPr>
          <w:rFonts w:ascii="Calibri" w:eastAsia="Yu Gothic" w:hAnsi="Calibri"/>
        </w:rPr>
        <w:t xml:space="preserve">Before sending, the sentence “All NRSD receives is this e-mail (e-mail address, body, attached information). It is used only for replying and improvement” and guidance to the Privacy Policy are shown (Chapter 12, 5 “Privacy Policy”).</w:t>
      </w:r>
    </w:p>
    <w:p>
      <w:pPr>
        <w:pStyle w:val="ListParagraph"/>
        <w:keepNext/>
        <w:keepLines/>
        <w:numPr>
          <w:ilvl w:val="0"/>
          <w:numId w:val="2"/>
        </w:numPr>
        <w:spacing w:after="20" w:before="20" w:line="300"/>
      </w:pPr>
      <w:r>
        <w:rPr>
          <w:rFonts w:ascii="Calibri" w:eastAsia="Yu Gothic" w:hAnsi="Calibri"/>
        </w:rPr>
        <w:t xml:space="preserve">Reports of anomaly detection and of the app crashing (the crash report of Chapter 1, 10.3 “Errors”) are asked about at the next start with “Send a report?”, showing “See the contents”, “Send (attach to an e-mail)”, and “Do not send”. Nothing is sent automatically (DD-10-6“Feedback is sent by the User from their own e-mail”) (2026-10-01, NRSD's requirement).</w:t>
      </w:r>
    </w:p>
    <w:p>
      <w:pPr>
        <w:pStyle w:val="ListParagraph"/>
        <w:keepNext/>
        <w:keepLines/>
        <w:numPr>
          <w:ilvl w:val="0"/>
          <w:numId w:val="2"/>
        </w:numPr>
        <w:spacing w:after="20" w:before="20" w:line="300"/>
      </w:pPr>
      <w:r>
        <w:rPr>
          <w:rFonts w:ascii="Calibri" w:eastAsia="Yu Gothic" w:hAnsi="Calibri"/>
        </w:rPr>
        <w:t xml:space="preserve">The app composes the text and shows “Open in e-mail software” (mailto) or “Copy text and address”. The mailto URL is up to 2,000 characters (within the 2,083-character limit of Windows </w:t>
      </w:r>
      <w:r>
        <w:rPr>
          <w:rFonts w:ascii="Consolas" w:eastAsia="Yu Gothic" w:hAnsi="Consolas"/>
        </w:rPr>
        <w:t xml:space="preserve">ShellExecute</w:t>
      </w:r>
      <w:r>
        <w:rPr>
          <w:rFonts w:ascii="Calibri" w:eastAsia="Yu Gothic" w:hAnsi="Calibri"/>
        </w:rPr>
        <w:t xml:space="preserve">), and for texts exceeding this only “Copy” is shown. The one who sends is the User, and the app does not send automatically (DD-10-6“Feedback is sent by the User from their own e-mail”).</w:t>
      </w:r>
    </w:p>
    <w:p>
      <w:pPr>
        <w:pStyle w:val="ListParagraph"/>
        <w:keepNext w:val="false"/>
        <w:keepLines/>
        <w:numPr>
          <w:ilvl w:val="0"/>
          <w:numId w:val="2"/>
        </w:numPr>
        <w:spacing w:after="20" w:before="20" w:line="300"/>
      </w:pPr>
      <w:r>
        <w:rPr>
          <w:rFonts w:ascii="Calibri" w:eastAsia="Yu Gothic" w:hAnsi="Calibri"/>
        </w:rPr>
        <w:t xml:space="preserve">NRSD replies to e-mails received. Guide for acknowledgment: reply within 7 days (initial value). User information is not used other than the e-mail address received for replying (Chapter 12, 5 “Privacy Policy”).</w:t>
      </w:r>
    </w:p>
    <w:p>
      <w:pPr>
        <w:pStyle w:val="Heading1"/>
      </w:pPr>
      <w:r>
        <w:rPr>
          <w:rFonts w:ascii="Calibri" w:eastAsia="Yu Gothic" w:hAnsi="Calibri"/>
        </w:rPr>
        <w:t xml:space="preserve">10.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4697"/>
        <w:gridCol w:w="3421"/>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w:t>
            </w:r>
          </w:p>
        </w:tc>
        <w:tc>
          <w:tcPr>
            <w:tcW w:type="dxa" w:w="46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34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Default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 language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language (5)</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Light / dark mode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Follow the OS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size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Standard (small, standard, large, extra large, maximum; 2.5)</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Reduce motion</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Follow the OS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 consideration (hide Notice accounts and case URLs)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Off</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Window size and position (per device; tauri-plugin-window-state)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Previous values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Default output folder</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Next to the photo folder</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Default export preset for social media. Presets made with “Decide myself” are saved with names in </w:t>
            </w:r>
            <w:r>
              <w:rPr>
                <w:rFonts w:ascii="Consolas" w:eastAsia="Yu Gothic" w:hAnsi="Consolas"/>
                <w:b w:val="false"/>
                <w:bCs w:val="false"/>
                <w:sz w:val="18"/>
                <w:szCs w:val="18"/>
              </w:rPr>
              <w:t xml:space="preserve">export.presets</w:t>
            </w:r>
            <w:r>
              <w:rPr>
                <w:rFonts w:ascii="Calibri" w:eastAsia="Yu Gothic" w:hAnsi="Calibri"/>
                <w:b w:val="false"/>
                <w:bCs w:val="false"/>
                <w:sz w:val="18"/>
                <w:szCs w:val="18"/>
              </w:rPr>
              <w:t xml:space="preserve"> and listed</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 (2048 on the long side, JPEG 92, sRGB; Chapter 4, 14.1 “Export presets”)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Default template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last used template (at first, “Name only” of Chapter 4, 8.4 “Default templates”)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Whether to add the identification number to file names for social media (Chapter 3, 7.1 “Identification number”; can be changed per work session in G-08, and the changed value becomes the next default)</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Editing</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Number of undo steps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200 (50 to 1,000; Chapter 4, 10.4 “Number of steps and memory”)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Editing</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Automatic saving</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Always on (cannot be turned off; Chapter 4, 11.3 “How saving works”). Only the save state display can be toggled. Save failure notices are shown even if the display is turned off (3.7)</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Editing</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Recently used colors (how colors are chosen in Chapter 4, 3.2 “Formatting”)</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 to 8</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information</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mark of whether the Notice was posted (the optional check in G-04“Posting the Notice”; the app does not check whether it was posted)</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Default for AI training</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allowed (A3 of Chapter 5 “Rights Documents”)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Timestamps of C2PA signatures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Automatic (free TSAs; Chapter 3, 4 “Trusted Timestamps”; not chosen)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Registration</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Accounts of paid TSAs for evidence (Japanese accredited providers, Chinese trusted timestamps; Chapter 6, 3.2 “Trusted timestamps”; the URL, user name, and passphrase are kept not in </w:t>
            </w:r>
            <w:r>
              <w:rPr>
                <w:rFonts w:ascii="Consolas" w:eastAsia="Yu Gothic" w:hAnsi="Consolas"/>
                <w:b w:val="false"/>
                <w:bCs w:val="false"/>
                <w:sz w:val="18"/>
                <w:szCs w:val="18"/>
              </w:rPr>
              <w:t xml:space="preserve">settings.json</w:t>
            </w:r>
            <w:r>
              <w:rPr>
                <w:rFonts w:ascii="Calibri" w:eastAsia="Yu Gothic" w:hAnsi="Calibri"/>
                <w:b w:val="false"/>
                <w:bCs w:val="false"/>
                <w:sz w:val="18"/>
                <w:szCs w:val="18"/>
              </w:rPr>
              <w:t xml:space="preserve"> but in the OS keystore as </w:t>
            </w:r>
            <w:r>
              <w:rPr>
                <w:rFonts w:ascii="Consolas" w:eastAsia="Yu Gothic" w:hAnsi="Consolas"/>
                <w:b w:val="false"/>
                <w:bCs w:val="false"/>
                <w:sz w:val="18"/>
                <w:szCs w:val="18"/>
              </w:rPr>
              <w:t xml:space="preserve">tsa-&lt;provider number&gt;</w:t>
            </w:r>
            <w:r>
              <w:rPr>
                <w:rFonts w:ascii="Calibri" w:eastAsia="Yu Gothic" w:hAnsi="Calibri"/>
                <w:b w:val="false"/>
                <w:bCs w:val="false"/>
                <w:sz w:val="18"/>
                <w:szCs w:val="18"/>
              </w:rPr>
              <w:t xml:space="preserve">; Chapter 3, 4, Chapter 2, 7.5)</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(if set, can be chosen per case)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Documents</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Countries of the Enclosed Document</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None (the User chooses purchasers' common nationalities; Chapter 5, 5 “Countries”)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Documents</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Default Permitted Scope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P1 (checked every time in G-10“Export: Permitted Scope”)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Rights Documents</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Sample Notice texts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Copies of the three levels (same as G-04“Posting the Notice”)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information</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Handle name, role, Notice accounts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Can be changed (the signing certificate is remade; its validity is the same as the personal root's; Chapter 2, 3.4 “Expiry and input errors”)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Terms of Use</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Consent status, and agreeing or withdrawing consent (Chapter 12, DD-12-3“Consent gates only the fetching of reference information”)</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choice at the first G-02“Consent”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information</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Authorizations and joint rights, keys and notice code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To G-18“Authorizations and Joint Rights”, G-19“Keys and Notice Code”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 not download update distributables on metered or data-saver connections (connection judgment in Chapter 1, 4.2 “Communication with the outside”)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Data</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“Backup”: locations (several; external storage, the Cloud sync folder, another device), automatic every hour and on closing (cannot be turned off), printing the emergency kit, whether to include the Originals, “Back up now” (Chapter 8, 5.5)</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Decided at first run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Data</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key of the recovery key (independent of the device; made when the backup location is first decided, and the private key is placed only in the printed emergency kit; “Remake the recovery key”; Chapter 8, 5.1)</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Made at first run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Data</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“Devices” (Chapter 8, 5.4 “Device-to-device synchronization”; the list shows the name, the time of the last sync, and “Remove this device”)</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Data</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Portable kit (the app and reference information to USB), importing reference information and updates from files (Chapter 9, 5, 4.5)</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 information</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Exchange reference information with one's other devices and verified counterparties (Chapter 8, 3.4). Use relays for direct connections (when off, only the same network and the Cloud sync folder)</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Signing information</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user verification before signing, documents, importing backups, and erasing records (Touch ID, Windows Hello, polkit; Chapter 2, 7.4)</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Data</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Erase this device's records (including signing keys; typing a confirmation word is required; Chapter 9, 2.3 “Procedure for “Erase this device's records””)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Updates</w:t>
            </w:r>
          </w:p>
        </w:tc>
        <w:tc>
          <w:tcPr>
            <w:tcW w:type="dxa" w:w="46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Obtaining updates (cannot be turned off; replaced on closing or with “Restart now to update”; Chapter 9, 4.1 “Flow and states”)</w:t>
            </w:r>
          </w:p>
        </w:tc>
        <w:tc>
          <w:tcPr>
            <w:tcW w:type="dxa" w:w="34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Replace on closing</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Saving: settings are placed as </w:t>
      </w:r>
      <w:r>
        <w:rPr>
          <w:rFonts w:ascii="Consolas" w:eastAsia="Yu Gothic" w:hAnsi="Consolas"/>
        </w:rPr>
        <w:t xml:space="preserve">settings.json</w:t>
      </w:r>
      <w:r>
        <w:rPr>
          <w:rFonts w:ascii="Calibri" w:eastAsia="Yu Gothic" w:hAnsi="Calibri"/>
        </w:rPr>
        <w:t xml:space="preserve"> (with a </w:t>
      </w:r>
      <w:r>
        <w:rPr>
          <w:rFonts w:ascii="Consolas" w:eastAsia="Yu Gothic" w:hAnsi="Consolas"/>
        </w:rPr>
        <w:t xml:space="preserve">schema</w:t>
      </w:r>
      <w:r>
        <w:rPr>
          <w:rFonts w:ascii="Calibri" w:eastAsia="Yu Gothic" w:hAnsi="Calibri"/>
        </w:rPr>
        <w:t xml:space="preserve"> version) in the OS's per-user app data location. Keys are written as the section and item of this table in lowercase </w:t>
      </w:r>
      <w:r>
        <w:rPr>
          <w:rFonts w:ascii="Consolas" w:eastAsia="Yu Gothic" w:hAnsi="Consolas"/>
        </w:rPr>
        <w:t xml:space="preserve">section.item</w:t>
      </w:r>
      <w:r>
        <w:rPr>
          <w:rFonts w:ascii="Calibri" w:eastAsia="Yu Gothic" w:hAnsi="Calibri"/>
        </w:rPr>
        <w:t xml:space="preserve"> (e.g., </w:t>
      </w:r>
      <w:r>
        <w:rPr>
          <w:rFonts w:ascii="Consolas" w:eastAsia="Yu Gothic" w:hAnsi="Consolas"/>
        </w:rPr>
        <w:t xml:space="preserve">display.language</w:t>
      </w:r>
      <w:r>
        <w:rPr>
          <w:rFonts w:ascii="Calibri" w:eastAsia="Yu Gothic" w:hAnsi="Calibri"/>
        </w:rPr>
        <w:t xml:space="preserve">, </w:t>
      </w:r>
      <w:r>
        <w:rPr>
          <w:rFonts w:ascii="Consolas" w:eastAsia="Yu Gothic" w:hAnsi="Consolas"/>
        </w:rPr>
        <w:t xml:space="preserve">export.default_preset</w:t>
      </w:r>
      <w:r>
        <w:rPr>
          <w:rFonts w:ascii="Calibri" w:eastAsia="Yu Gothic" w:hAnsi="Calibri"/>
        </w:rPr>
        <w:t xml:space="preserve">, </w:t>
      </w:r>
      <w:r>
        <w:rPr>
          <w:rFonts w:ascii="Consolas" w:eastAsia="Yu Gothic" w:hAnsi="Consolas"/>
        </w:rPr>
        <w:t xml:space="preserve">backup.destinations</w:t>
      </w:r>
      <w:r>
        <w:rPr>
          <w:rFonts w:ascii="Calibri" w:eastAsia="Yu Gothic" w:hAnsi="Calibri"/>
        </w:rPr>
        <w:t xml:space="preserve">, </w:t>
      </w:r>
      <w:r>
        <w:rPr>
          <w:rFonts w:ascii="Consolas" w:eastAsia="Yu Gothic" w:hAnsi="Consolas"/>
        </w:rPr>
        <w:t xml:space="preserve">sync.use_relay</w:t>
      </w:r>
      <w:r>
        <w:rPr>
          <w:rFonts w:ascii="Calibri" w:eastAsia="Yu Gothic" w:hAnsi="Calibri"/>
        </w:rPr>
        <w:t xml:space="preserve">). Items independent of the device (the User's choices other than the screen language: the default export preset and template, the Permitted Scope, the countries of the Enclosed Document, sample Notice texts, the number of undo steps, the default for AI training, the save state display, the public key of the recovery key, and the read state of notifications (the notification number and the date/time read; the same as Feedly and Apple News aligning read state across devices)) take the newer of the values that came from another device or a backup. Items per device (locations, display, whether there is a key passphrase, use of relays, the list of devices, TSA accounts) keep the current device's values, and their keys carry the prefix </w:t>
      </w:r>
      <w:r>
        <w:rPr>
          <w:rFonts w:ascii="Consolas" w:eastAsia="Yu Gothic" w:hAnsi="Consolas"/>
        </w:rPr>
        <w:t xml:space="preserve">device.</w:t>
      </w:r>
      <w:r>
        <w:rPr>
          <w:rFonts w:ascii="Calibri" w:eastAsia="Yu Gothic" w:hAnsi="Calibri"/>
        </w:rPr>
        <w:t xml:space="preserve">. Signing keys are not put in settings (OS keystore). Templates are included in backups and can be used on another device (R-4-2-1, Chapter 4, 8.3 “Passing on (export and import)”).</w:t>
      </w:r>
    </w:p>
    <w:p>
      <w:pPr>
        <w:pStyle w:val="Heading1"/>
      </w:pPr>
      <w:r>
        <w:rPr>
          <w:rFonts w:ascii="Calibri" w:eastAsia="Yu Gothic" w:hAnsi="Calibri"/>
        </w:rPr>
        <w:t xml:space="preserve">11.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7"/>
        <w:gridCol w:w="5611"/>
      </w:tblGrid>
      <w:tr>
        <w:trPr>
          <w:cantSplit/>
          <w:tblHeader/>
        </w:trPr>
        <w:tc>
          <w:tcPr>
            <w:tcW w:type="dxa" w:w="40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 (text in the Outline Design Document)</w:t>
            </w:r>
          </w:p>
        </w:tc>
        <w:tc>
          <w:tcPr>
            <w:tcW w:type="dxa" w:w="56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R-10-1-1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“List of Design Decisions” (DD-10-1“The look is pale colors, rounded shapes, and one guide character”, DD-10-2“Design is done and judged by NRSD's Lead Developer”), 2.1 “Direction (rough proposal)”, 2.4 “Judgment”</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R-10-1-2</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“List of Design Decisions” (DD-10-4“Readability is judged against all WCAG 2.2 success criteria”), 2.2 “Fonts”, 2.3 “Colors”, 2.7 “Readability definition (WCAG 2.2)”</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R-10-2-1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“Screen Structure”, 4 “Mapping of Requirements to Screens”</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R-10-3-1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“List of Design Decisions” (DD-10-7“Screen languages are Japanese, Chinese (Simplified), and English”), 5 “Languages”</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R-10-3-2</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“List of Design Decisions” (DD-10-7“Screen languages are Japanese, Chinese (Simplified), and English”), 5 “Languages”</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R-10-4-1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“Guidance”</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R-10-4-2</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“Guidance”</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R-10-4-3</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“Guidance”</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R-10-5-1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 “Considerations in Display”</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R-10-6-1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“List of Design Decisions” (DD-10-5“No OS integration; drag and drop is used instead”), 8 “OS Integration”</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R-10-7-1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 “List of Design Decisions” (DD-10-6“Feedback is sent by the User from their own e-mail”), 9 “Feedback Channel”</w:t>
            </w:r>
          </w:p>
        </w:tc>
      </w:tr>
      <w:tr>
        <w:trPr>
          <w:cantSplit/>
          <w:tblHeader w:val="off"/>
        </w:trPr>
        <w:tc>
          <w:tcPr>
            <w:tcW w:type="dxa" w:w="40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R-10-8-1</w:t>
            </w:r>
          </w:p>
        </w:tc>
        <w:tc>
          <w:tcPr>
            <w:tcW w:type="dxa" w:w="56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 “Settings”</w:t>
            </w:r>
          </w:p>
        </w:tc>
      </w:tr>
    </w:tbl>
    <w:p>
      <w:pPr>
        <w:spacing w:after="100" w:before="0"/>
      </w:pPr>
    </w:p>
    <w:p>
      <w:pPr>
        <w:pStyle w:val="Heading1"/>
      </w:pPr>
      <w:r>
        <w:rPr>
          <w:rFonts w:ascii="Calibri" w:eastAsia="Yu Gothic" w:hAnsi="Calibri"/>
        </w:rPr>
        <w:t xml:space="preserve">12. Gaps Declared in This Chapter</w:t>
      </w:r>
    </w:p>
    <w:p>
      <w:pPr>
        <w:pStyle w:val="ListParagraph"/>
        <w:keepNext w:val="false"/>
        <w:keepLines/>
        <w:numPr>
          <w:ilvl w:val="0"/>
          <w:numId w:val="2"/>
        </w:numPr>
        <w:spacing w:after="20" w:before="20" w:line="300"/>
      </w:pPr>
      <w:r>
        <w:rPr>
          <w:rFonts w:ascii="Calibri" w:eastAsia="Yu Gothic" w:hAnsi="Calibri"/>
        </w:rPr>
        <w:t xml:space="preserve">The gaps of this chapter follow the table in Chapter 13, 4.1 “Gaps in the mechanism” (the rows whose chapter column is this chapter; with why they cannot be closed, the extent addressed, the remaining risks, and who bears them) (not reproduced in this chapter).</w:t>
      </w:r>
    </w:p>
    <w:p>
      <w:pPr>
        <w:pStyle w:val="Heading1"/>
      </w:pPr>
      <w:r>
        <w:rPr>
          <w:rFonts w:ascii="Calibri" w:eastAsia="Yu Gothic" w:hAnsi="Calibri"/>
        </w:rPr>
        <w:t xml:space="preserve">13.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Add to the Outline Design Document requirement R-10-2-1 that its correspondence is shown in the table of 4 “Mapping of Requirements to Screens” of this chapter.</w:t>
      </w:r>
    </w:p>
    <w:p>
      <w:pPr>
        <w:pStyle w:val="ListParagraph"/>
        <w:keepNext w:val="false"/>
        <w:keepLines/>
        <w:numPr>
          <w:ilvl w:val="0"/>
          <w:numId w:val="2"/>
        </w:numPr>
        <w:spacing w:after="20" w:before="20" w:line="300"/>
      </w:pPr>
      <w:r>
        <w:rPr>
          <w:rFonts w:ascii="Calibri" w:eastAsia="Yu Gothic" w:hAnsi="Calibri"/>
        </w:rPr>
        <w:t xml:space="preserve">In line with Design Plan Edition 2, the first-run screens (G-02“Consent”, G-03“Signing Information”, G-04“Posting the Notice”, G-05“Create Backup”, G-06“Restore from Backup”), the key screen (G-19“Keys and Notice Code”), the feedback channel (9), and clue comparison (G-24“Compare Clues”) were revised.</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10: Screens and Design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d7182559ecbc42914ceec36d8f2d93ee90a2134.png"/><Relationship Id="rId10" Type="http://schemas.openxmlformats.org/officeDocument/2006/relationships/image" Target="media/f8c257a91b62c2e81e977493ab3ef02d55e9e1ee.png"/><Relationship Id="rId11" Type="http://schemas.openxmlformats.org/officeDocument/2006/relationships/image" Target="media/f246d3783d3b74dcf3aa333948531068e33ee066.png"/><Relationship Id="rId12" Type="http://schemas.openxmlformats.org/officeDocument/2006/relationships/image" Target="media/2a52ec62b2e1278e4b1411e6157f117de2a77073.png"/><Relationship Id="rId13" Type="http://schemas.openxmlformats.org/officeDocument/2006/relationships/image" Target="media/c010aaf96b34517ff352737d90c7f9151fb322d3.png"/><Relationship Id="rId14" Type="http://schemas.openxmlformats.org/officeDocument/2006/relationships/image" Target="media/c2ed2520b9370af8ca8e22ec118ec490d2c3fb10.png"/><Relationship Id="rId15" Type="http://schemas.openxmlformats.org/officeDocument/2006/relationships/image" Target="media/5297ad76fbf3110fdec4131a60117a60d222a13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10: Screens and Design</dc:title>
  <dc:creator>Ishikawa Sou</dc:creator>
  <cp:lastModifiedBy>Un-named</cp:lastModifiedBy>
  <cp:revision>1</cp:revision>
  <dcterms:created xsi:type="dcterms:W3CDTF">2026-10-01T13:29:07.864Z</dcterms:created>
  <dcterms:modified xsi:type="dcterms:W3CDTF">2026-10-01T13:29:07.865Z</dcterms:modified>
</cp:coreProperties>
</file>

<file path=docProps/custom.xml><?xml version="1.0" encoding="utf-8"?>
<Properties xmlns="http://schemas.openxmlformats.org/officeDocument/2006/custom-properties" xmlns:vt="http://schemas.openxmlformats.org/officeDocument/2006/docPropsVTypes"/>
</file>