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基本設計書 第5章 権利文書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本書の位置付け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1. 設計上の決定の一覧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2. 許可範囲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3. 同封文書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4. 文言の管理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5. 国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6. 告知の支援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7. 要件との対応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8. 本章で宣言する破れ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9. 概要設計書への訂正</w:t>
      </w:r>
    </w:p>
    <w:p>
      <w:r>
        <w:br w:type="page"/>
      </w:r>
    </w:p>
    <w:p>
      <w:pPr>
        <w:pStyle w:val="Heading1"/>
      </w:pPr>
      <w:r>
        <w:rPr>
          <w:rFonts w:ascii="Yu Gothic" w:eastAsia="Yu Gothic" w:hAnsi="Yu Gothic"/>
        </w:rPr>
        <w:t xml:space="preserve">本書の位置付け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概要設計書 第5章を詳細化する。第3章（マニフェストへの記録）と同時に決める（第3章と第5章は互いに依存する）。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受ける決定は次の表のとおりである（設計計画書 第2版の決定・要調査・未決、および項目割りで見つけた抜け）。設計計画書の決定・要調査・未決の文は第13章 1.2「設計計画書の決定から概要設計書・基本設計への対応」と概要設計書の行き先表による（本章には写さず、番号と項目割りの抜けだけを載せる）。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7"/>
        <w:gridCol w:w="2625"/>
        <w:gridCol w:w="6206"/>
      </w:tblGrid>
      <w:tr>
        <w:trPr>
          <w:cantSplit/>
          <w:tblHeader/>
        </w:trPr>
        <w:tc>
          <w:tcPr>
            <w:tcW w:type="dxa" w:w="8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26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種類</w:t>
            </w:r>
          </w:p>
        </w:tc>
        <w:tc>
          <w:tcPr>
            <w:tcW w:type="dxa" w:w="62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8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A-2</w:t>
            </w:r>
          </w:p>
        </w:tc>
        <w:tc>
          <w:tcPr>
            <w:tcW w:type="dxa" w:w="26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項目割りで見つけた抜け</w:t>
            </w:r>
          </w:p>
        </w:tc>
        <w:tc>
          <w:tcPr>
            <w:tcW w:type="dxa" w:w="62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告知を支える機能（告知は効力の前提であり、権利性の照合もこれによる）</w:t>
            </w:r>
          </w:p>
        </w:tc>
      </w:tr>
      <w:tr>
        <w:trPr>
          <w:cantSplit/>
          <w:tblHeader w:val="off"/>
        </w:trPr>
        <w:tc>
          <w:tcPr>
            <w:tcW w:type="dxa" w:w="8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A-19</w:t>
            </w:r>
          </w:p>
        </w:tc>
        <w:tc>
          <w:tcPr>
            <w:tcW w:type="dxa" w:w="26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項目割りで見つけた抜け</w:t>
            </w:r>
          </w:p>
        </w:tc>
        <w:tc>
          <w:tcPr>
            <w:tcW w:type="dxa" w:w="62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販売の場の規約との整合（法務で扱う）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参照するものは次の表のとおりである。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5"/>
        <w:gridCol w:w="3883"/>
      </w:tblGrid>
      <w:tr>
        <w:trPr>
          <w:cantSplit/>
          <w:tblHeader/>
        </w:trPr>
        <w:tc>
          <w:tcPr>
            <w:tcW w:type="dxa" w:w="57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参照先</w:t>
            </w:r>
          </w:p>
        </w:tc>
        <w:tc>
          <w:tcPr>
            <w:tcW w:type="dxa" w:w="38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参照する事項</w:t>
            </w:r>
          </w:p>
        </w:tc>
      </w:tr>
      <w:tr>
        <w:trPr>
          <w:cantSplit/>
          <w:tblHeader w:val="off"/>
        </w:trPr>
        <w:tc>
          <w:tcPr>
            <w:tcW w:type="dxa" w:w="57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法務調査 L-1「権利管理情報の除去・改変（日）」 から L-9「削除の申出の手続（米）」 まで</w:t>
            </w:r>
          </w:p>
        </w:tc>
        <w:tc>
          <w:tcPr>
            <w:tcW w:type="dxa" w:w="38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権利管理情報、肖像権、削除の申出の手続（日本・中国・米国）</w:t>
            </w:r>
          </w:p>
        </w:tc>
      </w:tr>
      <w:tr>
        <w:trPr>
          <w:cantSplit/>
          <w:tblHeader w:val="off"/>
        </w:trPr>
        <w:tc>
          <w:tcPr>
            <w:tcW w:type="dxa" w:w="57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法務調査 L-17「販売プラットフォームの規約」</w:t>
            </w:r>
          </w:p>
        </w:tc>
        <w:tc>
          <w:tcPr>
            <w:tcW w:type="dxa" w:w="38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販売の場の規約（Patreon）</w:t>
            </w:r>
          </w:p>
        </w:tc>
      </w:tr>
      <w:tr>
        <w:trPr>
          <w:cantSplit/>
          <w:tblHeader w:val="off"/>
        </w:trPr>
        <w:tc>
          <w:tcPr>
            <w:tcW w:type="dxa" w:w="57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第3章「署名処理」 3.1「記録する項目」</w:t>
            </w:r>
          </w:p>
        </w:tc>
        <w:tc>
          <w:tcPr>
            <w:tcW w:type="dxa" w:w="38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マニフェストへの記録（権利の情報、AI 学習の可否）</w:t>
            </w:r>
          </w:p>
        </w:tc>
      </w:tr>
      <w:tr>
        <w:trPr>
          <w:cantSplit/>
          <w:tblHeader w:val="off"/>
        </w:trPr>
        <w:tc>
          <w:tcPr>
            <w:tcW w:type="dxa" w:w="57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第1章「全体構成」DD-1-6「参照情報は NRSD が電子署名して公開リポジトリとミラーに置く」</w:t>
            </w:r>
          </w:p>
        </w:tc>
        <w:tc>
          <w:tcPr>
            <w:tcW w:type="dxa" w:w="38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参照情報を NRSD が電子署名して配ること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文言の本文（同封文書・告知文の条文）は、本書では構成と作り方を定め、条文そのものは参照情報として NRSD が作り、専門家の確認を経る（I-08「権利文書の文言」）。本書に置く文例は構成の説明のための骨子であり、確定した条文ではない。</w:t>
      </w:r>
    </w:p>
    <w:p>
      <w:pPr>
        <w:pStyle w:val="Heading1"/>
      </w:pPr>
      <w:r>
        <w:rPr>
          <w:rFonts w:ascii="Yu Gothic" w:eastAsia="Yu Gothic" w:hAnsi="Yu Gothic"/>
        </w:rPr>
        <w:t xml:space="preserve">1. 設計上の決定の一覧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3367"/>
        <w:gridCol w:w="3967"/>
        <w:gridCol w:w="1374"/>
      </w:tblGrid>
      <w:tr>
        <w:trPr>
          <w:cantSplit/>
          <w:tblHeader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33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決定</w:t>
            </w:r>
          </w:p>
        </w:tc>
        <w:tc>
          <w:tcPr>
            <w:tcW w:type="dxa" w:w="39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理由</w:t>
            </w:r>
          </w:p>
        </w:tc>
        <w:tc>
          <w:tcPr>
            <w:tcW w:type="dxa" w:w="13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退けた案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DD-5-1</w:t>
            </w:r>
          </w:p>
        </w:tc>
        <w:tc>
          <w:tcPr>
            <w:tcW w:type="dxa" w:w="33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許可範囲は「基本の範囲（ラジオボタン1つ）」と「追加の許可（チェックボックス）」で選ぶ。商用の利用は選択肢に入れず、常に「別途の許諾が必要」とする</w:t>
            </w:r>
          </w:p>
        </w:tc>
        <w:tc>
          <w:tcPr>
            <w:tcW w:type="dxa" w:w="39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非技術者が一目で分かる（設計計画書 8.2「画面」・9.1「ラジオボタン等のわかりやすい方法」）。商用の許諾の条件（対価、期間、媒体、部数等）は取引ごとに決まり、選択肢で表せない。なお、ひな形の選別・表示や入力の反映は通常は法律事務に当たらず、紛争のない通常の契約は多くの場合に事件性がないとされ（法務省のガイドライン）、本システムは無償であるため、商用の選択肢を置かない理由は非弁行為ではない</w:t>
            </w:r>
          </w:p>
        </w:tc>
        <w:tc>
          <w:tcPr>
            <w:tcW w:type="dxa" w:w="13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すべてをチェックボックスで選ぶ案（組み合わせが多く分かりにくい）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DD-5-2</w:t>
            </w:r>
          </w:p>
        </w:tc>
        <w:tc>
          <w:tcPr>
            <w:tcW w:type="dxa" w:w="33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同封文書は「共通部」（言語に依らない事実の記載）と「国別部」（国の法の要旨と窓口の参照）に分け、共通部はすべての言語で、国別部は選んだ国の分だけ TXT で同封する。全網羅の情報は公開ページへのリンクで示す</w:t>
            </w:r>
          </w:p>
        </w:tc>
        <w:tc>
          <w:tcPr>
            <w:tcW w:type="dxa" w:w="39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設計計画書 9.3「対象とする国」（言語ではなく国）、D-9-5「すべての国を網羅した情報をリンク先として公開し、購入者に多い国籍の分に限りテキストの文面を同封する」（全網羅はリンク、多い国籍のみ TXT）</w:t>
            </w:r>
          </w:p>
        </w:tc>
        <w:tc>
          <w:tcPr>
            <w:tcW w:type="dxa" w:w="13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国ごとに全文を作る案（重複が多い）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DD-5-3</w:t>
            </w:r>
          </w:p>
        </w:tc>
        <w:tc>
          <w:tcPr>
            <w:tcW w:type="dxa" w:w="33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同封文書には「画像を他人に無断で授受してはならない」旨の一文を共通部の冒頭近くに置く（D-9-4「同封文書に、画像を他人に無断で授受してはならない旨の一文を入れる。その欠損は権利者の過失によるものではない」）</w:t>
            </w:r>
          </w:p>
        </w:tc>
        <w:tc>
          <w:tcPr>
            <w:tcW w:type="dxa" w:w="39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購入者が最初に読む位置に置く</w:t>
            </w:r>
          </w:p>
        </w:tc>
        <w:tc>
          <w:tcPr>
            <w:tcW w:type="dxa" w:w="13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DD-5-4</w:t>
            </w:r>
          </w:p>
        </w:tc>
        <w:tc>
          <w:tcPr>
            <w:tcW w:type="dxa" w:w="33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同封文書のすべてのファイル（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00_RIGHTS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で始まるファイル）の名前と SHA-256 の一覧を、その販売で出力する全画像のマニフェスト（jp.nrsd.rights）に記録する</w:t>
            </w:r>
          </w:p>
        </w:tc>
        <w:tc>
          <w:tcPr>
            <w:tcW w:type="dxa" w:w="39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同封文書の書き換えを検出できる（R-5-2-2）。画像と文書の組を結び付ける</w:t>
            </w:r>
          </w:p>
        </w:tc>
        <w:tc>
          <w:tcPr>
            <w:tcW w:type="dxa" w:w="13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同封文書に記録の電子署名を付ける案（その検証を購入者に求めるのは難しい。ハッシュの記録で足りる）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DD-5-5</w:t>
            </w:r>
          </w:p>
        </w:tc>
        <w:tc>
          <w:tcPr>
            <w:tcW w:type="dxa" w:w="33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文言は参照情報（第1章 DD-1-6「参照情報は NRSD が電子署名して公開リポジトリとミラーに置く」）として NRSD が版を付けて管理し、アプリは版を記録して生成する</w:t>
            </w:r>
          </w:p>
        </w:tc>
        <w:tc>
          <w:tcPr>
            <w:tcW w:type="dxa" w:w="39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文言の更新を利用者に届け、どの版で作ったかを後で示せる（R-5-3-1、R-5-3-2）</w:t>
            </w:r>
          </w:p>
        </w:tc>
        <w:tc>
          <w:tcPr>
            <w:tcW w:type="dxa" w:w="13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アプリに固定で埋め込む案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DD-5-6</w:t>
            </w:r>
          </w:p>
        </w:tc>
        <w:tc>
          <w:tcPr>
            <w:tcW w:type="dxa" w:w="33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告知コードの掲示を含む告知文の文例を、プラットフォームごとの文字数に合わせて3段（短・中・長）で用意する</w:t>
            </w:r>
          </w:p>
        </w:tc>
        <w:tc>
          <w:tcPr>
            <w:tcW w:type="dxa" w:w="39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プロフィール欄の上限（X 160、Instagram 150、小紅書 約100）と固定投稿（長）に合わせる（第2章 2.2「告知コードを掲げる場所の上限」）</w:t>
            </w:r>
          </w:p>
        </w:tc>
        <w:tc>
          <w:tcPr>
            <w:tcW w:type="dxa" w:w="13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DD-5-7</w:t>
            </w:r>
          </w:p>
        </w:tc>
        <w:tc>
          <w:tcPr>
            <w:tcW w:type="dxa" w:w="33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機械が読める許可範囲（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00_RIGHTS.json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）は、W3C の ODRL 2.2（利用の条件を表す勧告。JSON-LD）で書く。AI の学習・推論は ODRL の標準の操作にないため、本システムの拡張の操作で表す</w:t>
            </w:r>
          </w:p>
        </w:tc>
        <w:tc>
          <w:tcPr>
            <w:tcW w:type="dxa" w:w="39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独自の形式より、他のソフトが読める標準の形式がよい。ODRL は許可・禁止・義務と、表示・印刷・複製・配布・改変の操作を持つ（W3C 勧告、2018-02-15）</w:t>
            </w:r>
          </w:p>
        </w:tc>
        <w:tc>
          <w:tcPr>
            <w:tcW w:type="dxa" w:w="13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独自の JSON（第1稿）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2. 許可範囲</w:t>
      </w:r>
    </w:p>
    <w:p>
      <w:pPr>
        <w:pStyle w:val="Heading2"/>
      </w:pPr>
      <w:r>
        <w:rPr>
          <w:rFonts w:ascii="Yu Gothic" w:eastAsia="Yu Gothic" w:hAnsi="Yu Gothic"/>
        </w:rPr>
        <w:t xml:space="preserve">2.1 選択肢（O-04「許可範囲の選択肢」 の決定）</w:t>
      </w:r>
    </w:p>
    <w:p>
      <w:pPr>
        <w:keepNext/>
        <w:keepLines/>
        <w:spacing w:after="80" w:before="80" w:line="320"/>
      </w:pPr>
      <w:r>
        <w:rPr>
          <w:rFonts w:ascii="Yu Gothic" w:eastAsia="Yu Gothic" w:hAnsi="Yu Gothic"/>
        </w:rPr>
        <w:t xml:space="preserve">基本の範囲（1つを選ぶ）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"/>
        <w:gridCol w:w="1424"/>
        <w:gridCol w:w="7558"/>
      </w:tblGrid>
      <w:tr>
        <w:trPr>
          <w:cantSplit/>
          <w:tblHeader/>
        </w:trPr>
        <w:tc>
          <w:tcPr>
            <w:tcW w:type="dxa" w:w="6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名前</w:t>
            </w:r>
          </w:p>
        </w:tc>
        <w:tc>
          <w:tcPr>
            <w:tcW w:type="dxa" w:w="75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6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4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鑑賞のみ</w:t>
            </w:r>
          </w:p>
        </w:tc>
        <w:tc>
          <w:tcPr>
            <w:tcW w:type="dxa" w:w="75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購入者本人が個人として画像を見ること。複製は購入者本人の端末への保存に限る</w:t>
            </w:r>
          </w:p>
        </w:tc>
      </w:tr>
      <w:tr>
        <w:trPr>
          <w:cantSplit/>
          <w:tblHeader w:val="off"/>
        </w:trPr>
        <w:tc>
          <w:tcPr>
            <w:tcW w:type="dxa" w:w="6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4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鑑賞と私的な印刷</w:t>
            </w:r>
          </w:p>
        </w:tc>
        <w:tc>
          <w:tcPr>
            <w:tcW w:type="dxa" w:w="75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P1 に加え、購入者本人が個人の鑑賞のために印刷すること</w:t>
            </w:r>
          </w:p>
        </w:tc>
      </w:tr>
    </w:tbl>
    <w:p>
      <w:pPr>
        <w:spacing w:after="100" w:before="0"/>
      </w:pPr>
    </w:p>
    <w:p>
      <w:pPr>
        <w:keepNext/>
        <w:keepLines/>
        <w:spacing w:after="80" w:before="80" w:line="320"/>
      </w:pPr>
      <w:r>
        <w:rPr>
          <w:rFonts w:ascii="Yu Gothic" w:eastAsia="Yu Gothic" w:hAnsi="Yu Gothic"/>
        </w:rPr>
        <w:t xml:space="preserve">追加の許可（任意に付ける）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221"/>
        <w:gridCol w:w="7857"/>
      </w:tblGrid>
      <w:tr>
        <w:trPr>
          <w:cantSplit/>
          <w:tblHeader/>
        </w:trPr>
        <w:tc>
          <w:tcPr>
            <w:tcW w:type="dxa" w:w="5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名前</w:t>
            </w:r>
          </w:p>
        </w:tc>
        <w:tc>
          <w:tcPr>
            <w:tcW w:type="dxa" w:w="78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12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SNS での紹介</w:t>
            </w:r>
          </w:p>
        </w:tc>
        <w:tc>
          <w:tcPr>
            <w:tcW w:type="dxa" w:w="78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購入者が自分の SNS で、縮小した画像（長辺1080画素以下。初期値）を、権利者の名前と識別番号を示して紹介すること。有償の配布・販売は含まない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12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個人的な加工</w:t>
            </w:r>
          </w:p>
        </w:tc>
        <w:tc>
          <w:tcPr>
            <w:tcW w:type="dxa" w:w="78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購入者本人が個人として楽しむための加工（切り抜き・色の調整等）。加工した画像の公開は含まない（A1 を選んだ場合は A1 の範囲で公開できる）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  <w:tc>
          <w:tcPr>
            <w:tcW w:type="dxa" w:w="12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AI の学習・推論の許可</w:t>
            </w:r>
          </w:p>
        </w:tc>
        <w:tc>
          <w:tcPr>
            <w:tcW w:type="dxa" w:w="78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AI の学習・推論・データマイニングへの利用を許す（既定は不可。cawg.training-mining の4つの項目に反映。第3章 3.1「記録する項目」）</w:t>
            </w:r>
          </w:p>
        </w:tc>
      </w:tr>
    </w:tbl>
    <w:p>
      <w:pPr>
        <w:spacing w:after="100" w:before="0"/>
      </w:pPr>
    </w:p>
    <w:p>
      <w:pPr>
        <w:keepNext/>
        <w:keepLines/>
        <w:spacing w:after="80" w:before="80" w:line="320"/>
      </w:pPr>
      <w:r>
        <w:rPr>
          <w:rFonts w:ascii="Yu Gothic" w:eastAsia="Yu Gothic" w:hAnsi="Yu Gothic"/>
        </w:rPr>
        <w:t xml:space="preserve">常に含む条件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商用の利用（広告、商品化、有償の配布・販売）は、別途、権利者の書面の許諾が必要。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他人への譲渡・共有・転載は不可（A1 の範囲を除く）。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権利（著作権・肖像権）は購入によって移転しない。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照合データ（C2PA署名・不可視透かし・識別番号）を消してはならない。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SNS 用の画像の既定の許可範囲は「P1 相当：閲覧のみ、転載禁止」とする（第3章 8.2「系統の差」）。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短い表記（可視署名の差し込み </w:t>
      </w:r>
      <w:r>
        <w:rPr>
          <w:rFonts w:ascii="Consolas" w:eastAsia="Yu Gothic" w:hAnsi="Consolas"/>
        </w:rPr>
        <w:t xml:space="preserve">{license}</w:t>
      </w:r>
      <w:r>
        <w:rPr>
          <w:rFonts w:ascii="Yu Gothic" w:eastAsia="Yu Gothic" w:hAnsi="Yu Gothic"/>
        </w:rPr>
        <w:t xml:space="preserve">。第4章 3.1「中身と差し込み」）：基本の範囲と追加の許可の ID を </w:t>
      </w:r>
      <w:r>
        <w:rPr>
          <w:rFonts w:ascii="Consolas" w:eastAsia="Yu Gothic" w:hAnsi="Consolas"/>
        </w:rPr>
        <w:t xml:space="preserve">+</w:t>
      </w:r>
      <w:r>
        <w:rPr>
          <w:rFonts w:ascii="Yu Gothic" w:eastAsia="Yu Gothic" w:hAnsi="Yu Gothic"/>
        </w:rPr>
        <w:t xml:space="preserve"> でつなぐ（例：</w:t>
      </w:r>
      <w:r>
        <w:rPr>
          <w:rFonts w:ascii="Consolas" w:eastAsia="Yu Gothic" w:hAnsi="Consolas"/>
        </w:rPr>
        <w:t xml:space="preserve">P1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P2+A1+A2</w:t>
      </w:r>
      <w:r>
        <w:rPr>
          <w:rFonts w:ascii="Yu Gothic" w:eastAsia="Yu Gothic" w:hAnsi="Yu Gothic"/>
        </w:rPr>
        <w:t xml:space="preserve">。Creative Commons の略号（CC BY-NC）と同じ考え）。</w:t>
      </w:r>
    </w:p>
    <w:p>
      <w:pPr>
        <w:pStyle w:val="Heading2"/>
      </w:pPr>
      <w:r>
        <w:rPr>
          <w:rFonts w:ascii="Yu Gothic" w:eastAsia="Yu Gothic" w:hAnsi="Yu Gothic"/>
        </w:rPr>
        <w:t xml:space="preserve">2.2 非技術者向けの説明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各選択肢に一文の説明と、「できること／できないこと」の絵つきの例を付ける（第10章「画面とデザイン」で画面にする）。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判定の基準：利用者の試行で、説明を読んだ利用者の8割以上が、選んだ範囲で購入者が SNS に載せてよいかを正しく答えられること（第10章「画面とデザイン」）。</w:t>
      </w:r>
    </w:p>
    <w:p>
      <w:pPr>
        <w:pStyle w:val="Heading2"/>
      </w:pPr>
      <w:r>
        <w:rPr>
          <w:rFonts w:ascii="Yu Gothic" w:eastAsia="Yu Gothic" w:hAnsi="Yu Gothic"/>
        </w:rPr>
        <w:t xml:space="preserve">2.3 画像との紐付け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販売の出力（受け渡し用）の単位で許可範囲を1つ選び、そのフォルダーのすべての画像の作品データ（rights）とマニフェスト（jp.nrsd.rights、cawg.metadata の利用条件、cawg.training-mining）に記録する（第3章「署名処理」）。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登録（第6章「登録と証拠保全」）の際、転載画像の不可視透かしから読み出した識別番号で作品データを引き、選んでいた許可範囲と照らして「何に抵触しているか」を示す（D-9-2「販売時に選んだ許可範囲を、転載が何に抵触しているかを判断する基準とする」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候補の規則（第6章 4.2「何に抵触しているか」が示す候補）：転載の態様（有償の配布、公開されていること。第6章 2.3）と許可範囲から、「許可範囲外の公開（転載）」「商用の利用（別途の許諾なし）」を示す。「照合データの除去」は、C2PA を残す経路（第3章 10.3「投稿先・Cloud での残存」で残ると確かめた投稿先・Cloud）で C2PA署名が無い場合、または転載画像が受け渡し用の出力から C2PA署名だけを除いたもの（形式の変換・再圧縮を伴わず、画素が同じ）である場合に限って示す。SNS の多くは投稿の時に C2PA を消すため、SNS で C2PA署名が無いことは除去の手がかりにならない（日本法でも技術的な制約による除去は除かれる。法務調査 L-1「権利管理情報の除去・改変（日）」）。</w:t>
      </w:r>
    </w:p>
    <w:p>
      <w:pPr>
        <w:pStyle w:val="Heading2"/>
      </w:pPr>
      <w:r>
        <w:rPr>
          <w:rFonts w:ascii="Yu Gothic" w:eastAsia="Yu Gothic" w:hAnsi="Yu Gothic"/>
        </w:rPr>
        <w:t xml:space="preserve">2.4 販売後の変更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既に配った画像の許可範囲は変えない（配った画像のマニフェストと同封文書が証拠になるため）。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範囲を広げたい場合は、権利者が購入者に別途の許諾を出す（本システムの外）。本システムは許諾の文面の例を示さない。許諾の条件（対価、範囲、期間）は取引ごとに決まり、ひな形で表せないため（DD-5-1「許可範囲は基本の範囲と追加の許可で選ぶ」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範囲を狭めることはしない（購入者が既に得た許諾を一方的に取り消すことになるため）。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参照情報に「訂正」の印（誤った窓口・文言の訂正。第8章 3.4 の目録の </w:t>
      </w:r>
      <w:r>
        <w:rPr>
          <w:rFonts w:ascii="Consolas" w:eastAsia="Yu Gothic" w:hAnsi="Consolas"/>
        </w:rPr>
        <w:t xml:space="preserve">corrections</w:t>
      </w:r>
      <w:r>
        <w:rPr>
          <w:rFonts w:ascii="Yu Gothic" w:eastAsia="Yu Gothic" w:hAnsi="Yu Gothic"/>
        </w:rPr>
        <w:t xml:space="preserve">：訂正したファイル、誤りを含む最初の版、理由）の付いた版が出た時、アプリは影響を受ける過去の作品（誤りを含む版から訂正の前の版までで書き出し、その文言のファイルを使ったもの）を自動で列挙し、訂正版の同封文書（</w:t>
      </w:r>
      <w:r>
        <w:rPr>
          <w:rFonts w:ascii="Consolas" w:eastAsia="Yu Gothic" w:hAnsi="Consolas"/>
        </w:rPr>
        <w:t xml:space="preserve">00_RIGHTS_ERRATA.txt</w:t>
      </w:r>
      <w:r>
        <w:rPr>
          <w:rFonts w:ascii="Yu Gothic" w:eastAsia="Yu Gothic" w:hAnsi="Yu Gothic"/>
        </w:rPr>
        <w:t xml:space="preserve">。元の文書と訂正の差分、元のハッシュと訂正版のハッシュ）を出力フォルダーに生成する。利用者は購入者への置き場に置き直すだけでよい。許可範囲は変えない（2026-09-30 NRSD の要求）。出力フォルダーが無ければ利用者に場所を選ばせ（既定は元の場所の親）、作品データの出力の場所に新しい場所を追記する（第3章 7.2）。</w:t>
      </w:r>
    </w:p>
    <w:p>
      <w:pPr>
        <w:pStyle w:val="Heading1"/>
      </w:pPr>
      <w:r>
        <w:rPr>
          <w:rFonts w:ascii="Yu Gothic" w:eastAsia="Yu Gothic" w:hAnsi="Yu Gothic"/>
        </w:rPr>
        <w:t xml:space="preserve">3. 同封文書</w:t>
      </w:r>
    </w:p>
    <w:p>
      <w:pPr>
        <w:pStyle w:val="Heading2"/>
      </w:pPr>
      <w:r>
        <w:rPr>
          <w:rFonts w:ascii="Yu Gothic" w:eastAsia="Yu Gothic" w:hAnsi="Yu Gothic"/>
        </w:rPr>
        <w:t xml:space="preserve">3.1 構成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3316"/>
        <w:gridCol w:w="2673"/>
      </w:tblGrid>
      <w:tr>
        <w:trPr>
          <w:cantSplit/>
          <w:tblHeader/>
        </w:trPr>
        <w:tc>
          <w:tcPr>
            <w:tcW w:type="dxa" w:w="36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33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中身</w:t>
            </w:r>
          </w:p>
        </w:tc>
        <w:tc>
          <w:tcPr>
            <w:tcW w:type="dxa" w:w="26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言語</w:t>
            </w:r>
          </w:p>
        </w:tc>
      </w:tr>
      <w:tr>
        <w:trPr>
          <w:cantSplit/>
          <w:tblHeader w:val="off"/>
        </w:trPr>
        <w:tc>
          <w:tcPr>
            <w:tcW w:type="dxa" w:w="36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00_RIGHTS_README.txt</w:t>
            </w:r>
          </w:p>
        </w:tc>
        <w:tc>
          <w:tcPr>
            <w:tcW w:type="dxa" w:w="33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共通部（3.2）</w:t>
            </w:r>
          </w:p>
        </w:tc>
        <w:tc>
          <w:tcPr>
            <w:tcW w:type="dxa" w:w="26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日・中・英を1ファイルに並べる</w:t>
            </w:r>
          </w:p>
        </w:tc>
      </w:tr>
      <w:tr>
        <w:trPr>
          <w:cantSplit/>
          <w:tblHeader w:val="off"/>
        </w:trPr>
        <w:tc>
          <w:tcPr>
            <w:tcW w:type="dxa" w:w="36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00_RIGHTS_&lt;国コード&gt;.txt</w:t>
            </w:r>
          </w:p>
        </w:tc>
        <w:tc>
          <w:tcPr>
            <w:tcW w:type="dxa" w:w="33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国別部（3.3）</w:t>
            </w:r>
          </w:p>
        </w:tc>
        <w:tc>
          <w:tcPr>
            <w:tcW w:type="dxa" w:w="26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その国の主な言語と英語</w:t>
            </w:r>
          </w:p>
        </w:tc>
      </w:tr>
      <w:tr>
        <w:trPr>
          <w:cantSplit/>
          <w:tblHeader w:val="off"/>
        </w:trPr>
        <w:tc>
          <w:tcPr>
            <w:tcW w:type="dxa" w:w="36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00_RIGHTS.json</w:t>
            </w:r>
          </w:p>
        </w:tc>
        <w:tc>
          <w:tcPr>
            <w:tcW w:type="dxa" w:w="33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機械が読める許可範囲（ODRL 2.2。3.6）</w:t>
            </w:r>
          </w:p>
        </w:tc>
        <w:tc>
          <w:tcPr>
            <w:tcW w:type="dxa" w:w="26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形式は TXT（UTF-8、BOM なし、改行 CRLF）とする。どの OS でも開け、Cloud のプレビューで読める（D-9-5「すべての国を網羅した情報をリンク先として公開し、購入者に多い国籍の分に限りテキストの文面を同封する」 の「TXT」）。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フォルダーの最上位に置き、画像より先に並ぶよう名前の先頭を </w:t>
      </w:r>
      <w:r>
        <w:rPr>
          <w:rFonts w:ascii="Consolas" w:eastAsia="Yu Gothic" w:hAnsi="Consolas"/>
        </w:rPr>
        <w:t xml:space="preserve">00_</w:t>
      </w:r>
      <w:r>
        <w:rPr>
          <w:rFonts w:ascii="Yu Gothic" w:eastAsia="Yu Gothic" w:hAnsi="Yu Gothic"/>
        </w:rPr>
        <w:t xml:space="preserve"> にする。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3つのファイルは Creative Commons のライセンスの3層（法的な文、人が読む Deed、機械が読む ccREL）と同じ役目を持つ：国別部が法的な文、</w:t>
      </w:r>
      <w:r>
        <w:rPr>
          <w:rFonts w:ascii="Consolas" w:eastAsia="Yu Gothic" w:hAnsi="Consolas"/>
        </w:rPr>
        <w:t xml:space="preserve">00_RIGHTS_README.txt</w:t>
      </w:r>
      <w:r>
        <w:rPr>
          <w:rFonts w:ascii="Yu Gothic" w:eastAsia="Yu Gothic" w:hAnsi="Yu Gothic"/>
        </w:rPr>
        <w:t xml:space="preserve"> が人が読む要約、</w:t>
      </w:r>
      <w:r>
        <w:rPr>
          <w:rFonts w:ascii="Consolas" w:eastAsia="Yu Gothic" w:hAnsi="Consolas"/>
        </w:rPr>
        <w:t xml:space="preserve">00_RIGHTS.json</w:t>
      </w:r>
      <w:r>
        <w:rPr>
          <w:rFonts w:ascii="Yu Gothic" w:eastAsia="Yu Gothic" w:hAnsi="Yu Gothic"/>
        </w:rPr>
        <w:t xml:space="preserve">（ODRL）が機械が読む形。公開ページの「確かめる」頁は ODRL を CC の Deed と同じ形（できる・条件・できない の3列と印）で人の言葉に開いて示す（第8章 3.3）（2026-10-01 NRSD の要求）。</w:t>
      </w:r>
    </w:p>
    <w:p>
      <w:pPr>
        <w:pStyle w:val="Heading2"/>
      </w:pPr>
      <w:r>
        <w:rPr>
          <w:rFonts w:ascii="Yu Gothic" w:eastAsia="Yu Gothic" w:hAnsi="Yu Gothic"/>
        </w:rPr>
        <w:t xml:space="preserve">3.2 共通部の骨子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設計計画書 9.2「同封文書」の5つの事項（①権利に関する条項（権利が移転しない旨を含む）、②許可範囲、③無断で授受しない旨の一文、④照合データが消され範囲の外で使われた場合に権利者がとる手段、⑤どの行為がどの責任を問われ得るか）と、各行の対応は次のとおり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"/>
        <w:gridCol w:w="2167"/>
        <w:gridCol w:w="5301"/>
        <w:gridCol w:w="1640"/>
      </w:tblGrid>
      <w:tr>
        <w:trPr>
          <w:cantSplit/>
          <w:tblHeader/>
        </w:trPr>
        <w:tc>
          <w:tcPr>
            <w:tcW w:type="dxa" w:w="5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順</w:t>
            </w:r>
          </w:p>
        </w:tc>
        <w:tc>
          <w:tcPr>
            <w:tcW w:type="dxa" w:w="21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53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骨子</w:t>
            </w:r>
          </w:p>
        </w:tc>
        <w:tc>
          <w:tcPr>
            <w:tcW w:type="dxa" w:w="16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計画書 9.2 の事項</w:t>
            </w:r>
          </w:p>
        </w:tc>
      </w:tr>
      <w:tr>
        <w:trPr>
          <w:cantSplit/>
          <w:tblHeader w:val="off"/>
        </w:trPr>
        <w:tc>
          <w:tcPr>
            <w:tcW w:type="dxa" w:w="5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この画像の権利者</w:t>
            </w:r>
          </w:p>
        </w:tc>
        <w:tc>
          <w:tcPr>
            <w:tcW w:type="dxa" w:w="53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ハンドルネーム、告知先アカウント</w:t>
            </w:r>
          </w:p>
        </w:tc>
        <w:tc>
          <w:tcPr>
            <w:tcW w:type="dxa" w:w="16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①に付け加えたもの（権利者を示す）</w:t>
            </w:r>
          </w:p>
        </w:tc>
      </w:tr>
      <w:tr>
        <w:trPr>
          <w:cantSplit/>
          <w:tblHeader w:val="off"/>
        </w:trPr>
        <w:tc>
          <w:tcPr>
            <w:tcW w:type="dxa" w:w="5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1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他人に無断で授受しないこと（DD-5-3「無断の授受を禁じる一文を共通部に置く」）</w:t>
            </w:r>
          </w:p>
        </w:tc>
        <w:tc>
          <w:tcPr>
            <w:tcW w:type="dxa" w:w="53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「この画像を、権利者の許可なく他人に渡したり、共有・転載したりしないでください」</w:t>
            </w:r>
          </w:p>
        </w:tc>
        <w:tc>
          <w:tcPr>
            <w:tcW w:type="dxa" w:w="16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③</w:t>
            </w:r>
          </w:p>
        </w:tc>
      </w:tr>
      <w:tr>
        <w:trPr>
          <w:cantSplit/>
          <w:tblHeader w:val="off"/>
        </w:trPr>
        <w:tc>
          <w:tcPr>
            <w:tcW w:type="dxa" w:w="5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1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権利は移転しないこと</w:t>
            </w:r>
          </w:p>
        </w:tc>
        <w:tc>
          <w:tcPr>
            <w:tcW w:type="dxa" w:w="53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購入によって著作権・肖像権は購入者に移らない</w:t>
            </w:r>
          </w:p>
        </w:tc>
        <w:tc>
          <w:tcPr>
            <w:tcW w:type="dxa" w:w="16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</w:tr>
      <w:tr>
        <w:trPr>
          <w:cantSplit/>
          <w:tblHeader w:val="off"/>
        </w:trPr>
        <w:tc>
          <w:tcPr>
            <w:tcW w:type="dxa" w:w="5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1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許可範囲</w:t>
            </w:r>
          </w:p>
        </w:tc>
        <w:tc>
          <w:tcPr>
            <w:tcW w:type="dxa" w:w="53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選んだ P・A の説明</w:t>
            </w:r>
          </w:p>
        </w:tc>
        <w:tc>
          <w:tcPr>
            <w:tcW w:type="dxa" w:w="16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②</w:t>
            </w:r>
          </w:p>
        </w:tc>
      </w:tr>
      <w:tr>
        <w:trPr>
          <w:cantSplit/>
          <w:tblHeader w:val="off"/>
        </w:trPr>
        <w:tc>
          <w:tcPr>
            <w:tcW w:type="dxa" w:w="5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1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照合データについて</w:t>
            </w:r>
          </w:p>
        </w:tc>
        <w:tc>
          <w:tcPr>
            <w:tcW w:type="dxa" w:w="53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画像に C2PA署名と不可視透かしと識別番号が入っていること（番号の一覧は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00_RIGHTS.json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）、故意に消すことは国によっては法律に違反し得ること（国別部を参照）</w:t>
            </w:r>
          </w:p>
        </w:tc>
        <w:tc>
          <w:tcPr>
            <w:tcW w:type="dxa" w:w="16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④の前提</w:t>
            </w:r>
          </w:p>
        </w:tc>
      </w:tr>
      <w:tr>
        <w:trPr>
          <w:cantSplit/>
          <w:tblHeader w:val="off"/>
        </w:trPr>
        <w:tc>
          <w:tcPr>
            <w:tcW w:type="dxa" w:w="5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1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範囲外の利用をした場合に権利者がとり得る手段</w:t>
            </w:r>
          </w:p>
        </w:tc>
        <w:tc>
          <w:tcPr>
            <w:tcW w:type="dxa" w:w="53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削除の申立て、損害賠償の請求等（国別部を参照）</w:t>
            </w:r>
          </w:p>
        </w:tc>
        <w:tc>
          <w:tcPr>
            <w:tcW w:type="dxa" w:w="16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④</w:t>
            </w:r>
          </w:p>
        </w:tc>
      </w:tr>
      <w:tr>
        <w:trPr>
          <w:cantSplit/>
          <w:tblHeader w:val="off"/>
        </w:trPr>
        <w:tc>
          <w:tcPr>
            <w:tcW w:type="dxa" w:w="5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1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何をすると何に問われる可能性があるか</w:t>
            </w:r>
          </w:p>
        </w:tc>
        <w:tc>
          <w:tcPr>
            <w:tcW w:type="dxa" w:w="53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国別部を参照。全網羅は公開ページのリンク</w:t>
            </w:r>
          </w:p>
        </w:tc>
        <w:tc>
          <w:tcPr>
            <w:tcW w:type="dxa" w:w="16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⑤</w:t>
            </w:r>
          </w:p>
        </w:tc>
      </w:tr>
      <w:tr>
        <w:trPr>
          <w:cantSplit/>
          <w:tblHeader w:val="off"/>
        </w:trPr>
        <w:tc>
          <w:tcPr>
            <w:tcW w:type="dxa" w:w="5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1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問い合わせ先</w:t>
            </w:r>
          </w:p>
        </w:tc>
        <w:tc>
          <w:tcPr>
            <w:tcW w:type="dxa" w:w="53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権利者の告知先アカウント</w:t>
            </w:r>
          </w:p>
        </w:tc>
        <w:tc>
          <w:tcPr>
            <w:tcW w:type="dxa" w:w="16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付け加えたもの</w:t>
            </w:r>
          </w:p>
        </w:tc>
      </w:tr>
      <w:tr>
        <w:trPr>
          <w:cantSplit/>
          <w:tblHeader w:val="off"/>
        </w:trPr>
        <w:tc>
          <w:tcPr>
            <w:tcW w:type="dxa" w:w="5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1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許諾の性質</w:t>
            </w:r>
          </w:p>
        </w:tc>
        <w:tc>
          <w:tcPr>
            <w:tcW w:type="dxa" w:w="53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許諾は購入者本人への非独占のもので、他人に譲り渡せず、他人に再び許諾できない。期間は定めない（画像を持つ限り）。地域は限らない</w:t>
            </w:r>
          </w:p>
        </w:tc>
        <w:tc>
          <w:tcPr>
            <w:tcW w:type="dxa" w:w="16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</w:tr>
      <w:tr>
        <w:trPr>
          <w:cantSplit/>
          <w:tblHeader w:val="off"/>
        </w:trPr>
        <w:tc>
          <w:tcPr>
            <w:tcW w:type="dxa" w:w="5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1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範囲の外の利用をした時</w:t>
            </w:r>
          </w:p>
        </w:tc>
        <w:tc>
          <w:tcPr>
            <w:tcW w:type="dxa" w:w="53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許諾は範囲の中の利用に限られ、範囲の外の利用はそもそも許されていない。権利者は許諾を取り消すことがある</w:t>
            </w:r>
          </w:p>
        </w:tc>
        <w:tc>
          <w:tcPr>
            <w:tcW w:type="dxa" w:w="16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表現は事実の記載とし、強い契約の文言にしない（設計計画書 9.2「同封文書」：売れなくなる懸念への配慮）。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9 の許諾の性質は、販売の場の規約が会員に与える許諾の性質（Patreon の規約：非独占、譲渡不可、再許諾不可、取消可能な、私的・非商用の閲覧のための限定的な許諾。法務調査 L-17「販売プラットフォームの規約」）と食い違わないように揃える。販売の場の規約より広い許諾を与える場合（A1、A2）は、権利者が選んだものとして明示する。</w:t>
      </w:r>
    </w:p>
    <w:p>
      <w:pPr>
        <w:pStyle w:val="Heading2"/>
      </w:pPr>
      <w:r>
        <w:rPr>
          <w:rFonts w:ascii="Yu Gothic" w:eastAsia="Yu Gothic" w:hAnsi="Yu Gothic"/>
        </w:rPr>
        <w:t xml:space="preserve">3.3 国別部の骨子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8608"/>
      </w:tblGrid>
      <w:tr>
        <w:trPr>
          <w:cantSplit/>
          <w:tblHeader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日本の例（法務の出典）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権利管理情報の除去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著作権法第113条第8項（みなし侵害。方式の変換に伴う技術的な制約による除去は除く）、第120条の2第5号（営利目的の罰則。親告罪）（L-1「権利管理情報の除去・改変（日）」）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無断の公開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公衆送信権（著作権法第23条）・複製権（第21条）の侵害と救済（差止め、損害賠償、刑事罰）（L-32「著作権の侵害と救済（日・中・米）」）、損害賠償の請求の期間（L-20「損害賠償の請求の期間（日・中・米）」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肖像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肖像権（みだりに撮影・公表されない人格的利益。社会生活上の受忍の限度の基準）と、パブリシティ権（L-5「肖像権・パブリシティ権（日）」）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削除の申立て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情報流通プラットフォーム対処法（L-7「削除の申出の手続（日）」）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中国（L-2「権利管理情報の除去・改変（中）」、L-6「肖像権（中）」、L-8「削除の申出の手続（中）」）、米国（L-3「権利管理情報の除去・改変（米）」、L-9「削除の申出の手続（米）」）も同じ骨子で作る。その他の国は「全網羅のリンク」で示す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国別部の各項目に、法務文書の出典（L-番号の元の出典 URL）を載せる。</w:t>
      </w:r>
    </w:p>
    <w:p>
      <w:pPr>
        <w:pStyle w:val="Heading2"/>
      </w:pPr>
      <w:r>
        <w:rPr>
          <w:rFonts w:ascii="Yu Gothic" w:eastAsia="Yu Gothic" w:hAnsi="Yu Gothic"/>
        </w:rPr>
        <w:t xml:space="preserve">3.4 書き換えの検出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DD-5-4「同封文書の SHA-256 をマニフェストに記録する」。アプリの「確かめる」画面（第10章 G-13「確かめる」）に画像と同封文書のフォルダーを入れると（フォルダーだけを入れた時はその中の画像を使い、画像が1枚も無ければ「画像がありません」と示す）、各ファイルの SHA-256 をマニフェストの一覧と比べ、一致・不一致・一覧にないファイル・足りないファイルを示す。画像そのものの確かめは第3章 10.2「利用者による確認」による。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公開ページの「確かめる」頁（第8章 3.3）でも、画像と同封文書のフォルダーを落とすと同じ照合（一致・不一致・無い・余分）を行える。ブラウザの中だけで動き、どこへも送らない。購入者・専門家がアプリ無しで確かめられる（2026-10-01 NRSD の要求）。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訂正版（2.4）の見分け：</w:t>
      </w:r>
      <w:r>
        <w:rPr>
          <w:rFonts w:ascii="Consolas" w:eastAsia="Yu Gothic" w:hAnsi="Consolas"/>
        </w:rPr>
        <w:t xml:space="preserve">00_RIGHTS_ERRATA.txt</w:t>
      </w:r>
      <w:r>
        <w:rPr>
          <w:rFonts w:ascii="Yu Gothic" w:eastAsia="Yu Gothic" w:hAnsi="Yu Gothic"/>
        </w:rPr>
        <w:t xml:space="preserve"> の先頭に、訂正の対象の元の各ファイルの SHA-256 と訂正版の SHA-256 を書き、記録の電子署名（JWS detached、</w:t>
      </w:r>
      <w:r>
        <w:rPr>
          <w:rFonts w:ascii="Consolas" w:eastAsia="Yu Gothic" w:hAnsi="Consolas"/>
        </w:rPr>
        <w:t xml:space="preserve">x5c</w:t>
      </w:r>
      <w:r>
        <w:rPr>
          <w:rFonts w:ascii="Yu Gothic" w:eastAsia="Yu Gothic" w:hAnsi="Yu Gothic"/>
        </w:rPr>
        <w:t xml:space="preserve">。第1章 8.3）を </w:t>
      </w:r>
      <w:r>
        <w:rPr>
          <w:rFonts w:ascii="Consolas" w:eastAsia="Yu Gothic" w:hAnsi="Consolas"/>
        </w:rPr>
        <w:t xml:space="preserve">00_RIGHTS_ERRATA.txt.sig</w:t>
      </w:r>
      <w:r>
        <w:rPr>
          <w:rFonts w:ascii="Yu Gothic" w:eastAsia="Yu Gothic" w:hAnsi="Yu Gothic"/>
        </w:rPr>
        <w:t xml:space="preserve"> に添える。G-13 と公開ページの確かめは、マニフェストの一覧に無い </w:t>
      </w:r>
      <w:r>
        <w:rPr>
          <w:rFonts w:ascii="Consolas" w:eastAsia="Yu Gothic" w:hAnsi="Consolas"/>
        </w:rPr>
        <w:t xml:space="preserve">00_RIGHTS_ERRATA*</w:t>
      </w:r>
      <w:r>
        <w:rPr>
          <w:rFonts w:ascii="Yu Gothic" w:eastAsia="Yu Gothic" w:hAnsi="Yu Gothic"/>
        </w:rPr>
        <w:t xml:space="preserve"> について、署名の連なりの個人のルートが画像の </w:t>
      </w:r>
      <w:r>
        <w:rPr>
          <w:rFonts w:ascii="Consolas" w:eastAsia="Yu Gothic" w:hAnsi="Consolas"/>
        </w:rPr>
        <w:t xml:space="preserve">x5chain</w:t>
      </w:r>
      <w:r>
        <w:rPr>
          <w:rFonts w:ascii="Yu Gothic" w:eastAsia="Yu Gothic" w:hAnsi="Yu Gothic"/>
        </w:rPr>
        <w:t xml:space="preserve"> のルートと一致し、書かれた元のハッシュが一覧と合えば「正当な訂正版」と示す（発行者の後からの署名文で補う。CRL と同じ考え）。</w:t>
      </w:r>
    </w:p>
    <w:p>
      <w:pPr>
        <w:pStyle w:val="Heading2"/>
      </w:pPr>
      <w:r>
        <w:rPr>
          <w:rFonts w:ascii="Yu Gothic" w:eastAsia="Yu Gothic" w:hAnsi="Yu Gothic"/>
        </w:rPr>
        <w:t xml:space="preserve">3.5 法的な位置付け（法務で扱う）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同封文書は、Patreon 等の販売の場の規約の上で「作成者の許可」の内容を示すもの（法務 L-17「販売プラットフォームの規約」）。独立の契約として成立するかは国により異なり、専門家の確認を要する（I-08「権利文書の文言」）。本システムは同封文書を「事実と許可の範囲の表示」として扱い、契約の成立を保証しない。</w:t>
      </w:r>
    </w:p>
    <w:p>
      <w:pPr>
        <w:pStyle w:val="Heading2"/>
      </w:pPr>
      <w:r>
        <w:rPr>
          <w:rFonts w:ascii="Yu Gothic" w:eastAsia="Yu Gothic" w:hAnsi="Yu Gothic"/>
        </w:rPr>
        <w:t xml:space="preserve">3.6 機械が読める許可範囲（ODRL）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形式：ODRL 2.2 の JSON-LD（文脈は </w:t>
      </w:r>
      <w:r>
        <w:rPr>
          <w:rFonts w:ascii="Consolas" w:eastAsia="Yu Gothic" w:hAnsi="Consolas"/>
        </w:rPr>
        <w:t xml:space="preserve">http://www.w3.org/ns/odrl.jsonld</w:t>
      </w:r>
      <w:r>
        <w:rPr>
          <w:rFonts w:ascii="Yu Gothic" w:eastAsia="Yu Gothic" w:hAnsi="Yu Gothic"/>
        </w:rPr>
        <w:t xml:space="preserve">）。方針の種類は Offer（権利者が申し出る条件。購入者は特定しない）とする。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対応：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8"/>
        <w:gridCol w:w="8070"/>
      </w:tblGrid>
      <w:tr>
        <w:trPr>
          <w:cantSplit/>
          <w:tblHeader/>
        </w:trPr>
        <w:tc>
          <w:tcPr>
            <w:tcW w:type="dxa" w:w="15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許可範囲</w:t>
            </w:r>
          </w:p>
        </w:tc>
        <w:tc>
          <w:tcPr>
            <w:tcW w:type="dxa" w:w="8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ODRL での表し方</w:t>
            </w:r>
          </w:p>
        </w:tc>
      </w:tr>
      <w:tr>
        <w:trPr>
          <w:cantSplit/>
          <w:tblHeader w:val="off"/>
        </w:trPr>
        <w:tc>
          <w:tcPr>
            <w:tcW w:type="dxa" w:w="15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P1 鑑賞のみ</w:t>
            </w:r>
          </w:p>
        </w:tc>
        <w:tc>
          <w:tcPr>
            <w:tcW w:type="dxa" w:w="8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許可：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display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reproduce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（制約：購入者本人の端末への保存に限る）</w:t>
            </w:r>
          </w:p>
        </w:tc>
      </w:tr>
      <w:tr>
        <w:trPr>
          <w:cantSplit/>
          <w:tblHeader w:val="off"/>
        </w:trPr>
        <w:tc>
          <w:tcPr>
            <w:tcW w:type="dxa" w:w="15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P2 鑑賞と私的な印刷</w:t>
            </w:r>
          </w:p>
        </w:tc>
        <w:tc>
          <w:tcPr>
            <w:tcW w:type="dxa" w:w="8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P1 に加え、許可：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print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（制約：私的な利用）</w:t>
            </w:r>
          </w:p>
        </w:tc>
      </w:tr>
      <w:tr>
        <w:trPr>
          <w:cantSplit/>
          <w:tblHeader w:val="off"/>
        </w:trPr>
        <w:tc>
          <w:tcPr>
            <w:tcW w:type="dxa" w:w="15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A1 SNS での紹介</w:t>
            </w:r>
          </w:p>
        </w:tc>
        <w:tc>
          <w:tcPr>
            <w:tcW w:type="dxa" w:w="8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許可：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distribute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（制約：長辺1080画素以下、有償でない）。義務：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attribute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（権利者の名前と識別番号を示す）</w:t>
            </w:r>
          </w:p>
        </w:tc>
      </w:tr>
      <w:tr>
        <w:trPr>
          <w:cantSplit/>
          <w:tblHeader w:val="off"/>
        </w:trPr>
        <w:tc>
          <w:tcPr>
            <w:tcW w:type="dxa" w:w="15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A2 個人的な加工</w:t>
            </w:r>
          </w:p>
        </w:tc>
        <w:tc>
          <w:tcPr>
            <w:tcW w:type="dxa" w:w="8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許可：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modify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（制約：私的な利用）</w:t>
            </w:r>
          </w:p>
        </w:tc>
      </w:tr>
      <w:tr>
        <w:trPr>
          <w:cantSplit/>
          <w:tblHeader w:val="off"/>
        </w:trPr>
        <w:tc>
          <w:tcPr>
            <w:tcW w:type="dxa" w:w="15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A3 AI の学習・推論の許可</w:t>
            </w:r>
          </w:p>
        </w:tc>
        <w:tc>
          <w:tcPr>
            <w:tcW w:type="dxa" w:w="8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許可：本システムの拡張の操作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nrsd:aiTraining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nrsd:aiInference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nrsd:dataMining</w:t>
            </w:r>
          </w:p>
        </w:tc>
      </w:tr>
      <w:tr>
        <w:trPr>
          <w:cantSplit/>
          <w:tblHeader w:val="off"/>
        </w:trPr>
        <w:tc>
          <w:tcPr>
            <w:tcW w:type="dxa" w:w="15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常に含む条件</w:t>
            </w:r>
          </w:p>
        </w:tc>
        <w:tc>
          <w:tcPr>
            <w:tcW w:type="dxa" w:w="8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禁止：本システムの拡張の操作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nrsd:commercialUse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（商用）、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distribute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（A1 の範囲を除く）、照合データの除去（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nrsd:removeProvenance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）。A3 を選ばなければ AI の3つの操作を禁止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本システムの拡張の操作の名前空間は </w:t>
      </w:r>
      <w:r>
        <w:rPr>
          <w:rFonts w:ascii="Consolas" w:eastAsia="Yu Gothic" w:hAnsi="Consolas"/>
        </w:rPr>
        <w:t xml:space="preserve">https://c2pa4cosplayer.nrsd.jp/ns/odrl/</w:t>
      </w:r>
      <w:r>
        <w:rPr>
          <w:rFonts w:ascii="Yu Gothic" w:eastAsia="Yu Gothic" w:hAnsi="Yu Gothic"/>
        </w:rPr>
        <w:t xml:space="preserve">（接頭辞 </w:t>
      </w:r>
      <w:r>
        <w:rPr>
          <w:rFonts w:ascii="Consolas" w:eastAsia="Yu Gothic" w:hAnsi="Consolas"/>
        </w:rPr>
        <w:t xml:space="preserve">nrsd:</w:t>
      </w:r>
      <w:r>
        <w:rPr>
          <w:rFonts w:ascii="Yu Gothic" w:eastAsia="Yu Gothic" w:hAnsi="Yu Gothic"/>
        </w:rPr>
        <w:t xml:space="preserve">）とし、公開ページに操作の定義を載せる。識別子は登録のない </w:t>
      </w:r>
      <w:r>
        <w:rPr>
          <w:rFonts w:ascii="Consolas" w:eastAsia="Yu Gothic" w:hAnsi="Consolas"/>
        </w:rPr>
        <w:t xml:space="preserve">urn:nrsd:</w:t>
      </w:r>
      <w:r>
        <w:rPr>
          <w:rFonts w:ascii="Yu Gothic" w:eastAsia="Yu Gothic" w:hAnsi="Yu Gothic"/>
        </w:rPr>
        <w:t xml:space="preserve"> ではなく HTTPS の URI で書く（W3C の「Cool URIs」・ODRL の例の慣行）：方針は </w:t>
      </w:r>
      <w:r>
        <w:rPr>
          <w:rFonts w:ascii="Consolas" w:eastAsia="Yu Gothic" w:hAnsi="Consolas"/>
        </w:rPr>
        <w:t xml:space="preserve">https://c2pa4cosplayer.nrsd.jp/id/policy/&lt;一括処理の番号&gt;</w:t>
      </w:r>
      <w:r>
        <w:rPr>
          <w:rFonts w:ascii="Yu Gothic" w:eastAsia="Yu Gothic" w:hAnsi="Yu Gothic"/>
        </w:rPr>
        <w:t xml:space="preserve">、権利者は </w:t>
      </w:r>
      <w:r>
        <w:rPr>
          <w:rFonts w:ascii="Consolas" w:eastAsia="Yu Gothic" w:hAnsi="Consolas"/>
        </w:rPr>
        <w:t xml:space="preserve">.../id/notice/&lt;告知コード&gt;</w:t>
      </w:r>
      <w:r>
        <w:rPr>
          <w:rFonts w:ascii="Yu Gothic" w:eastAsia="Yu Gothic" w:hAnsi="Yu Gothic"/>
        </w:rPr>
        <w:t xml:space="preserve">、対象は </w:t>
      </w:r>
      <w:r>
        <w:rPr>
          <w:rFonts w:ascii="Consolas" w:eastAsia="Yu Gothic" w:hAnsi="Consolas"/>
        </w:rPr>
        <w:t xml:space="preserve">.../id/work/&lt;識別番号&gt;</w:t>
      </w:r>
      <w:r>
        <w:rPr>
          <w:rFonts w:ascii="Yu Gothic" w:eastAsia="Yu Gothic" w:hAnsi="Yu Gothic"/>
        </w:rPr>
        <w:t xml:space="preserve">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対象（Asset）は識別番号の一覧、申し出る者（assigner）は署名者（権利者）のハンドルネームと告知コードの1人とする。承認を受けた者の出力の主たる権利者と、共同の権利の書面がある出力の共同の権利者は、本システムの拡張の項目 </w:t>
      </w:r>
      <w:r>
        <w:rPr>
          <w:rFonts w:ascii="Consolas" w:eastAsia="Yu Gothic" w:hAnsi="Consolas"/>
        </w:rPr>
        <w:t xml:space="preserve">nrsd:grantor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nrsd:coRightsHolder</w:t>
      </w:r>
      <w:r>
        <w:rPr>
          <w:rFonts w:ascii="Yu Gothic" w:eastAsia="Yu Gothic" w:hAnsi="Yu Gothic"/>
        </w:rPr>
        <w:t xml:space="preserve">（ODRL の Party。ハンドルネームと告知コード）で表す。</w:t>
      </w:r>
      <w:r>
        <w:rPr>
          <w:rFonts w:ascii="Consolas" w:eastAsia="Yu Gothic" w:hAnsi="Consolas"/>
        </w:rPr>
        <w:t xml:space="preserve">00_RIGHTS_README.txt</w:t>
      </w:r>
      <w:r>
        <w:rPr>
          <w:rFonts w:ascii="Yu Gothic" w:eastAsia="Yu Gothic" w:hAnsi="Yu Gothic"/>
        </w:rPr>
        <w:t xml:space="preserve"> の「権利者」の行（3.2 の1）にも同じ人を並べる。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例（P1 と A1 を選んだ場合の骨子）：</w:t>
      </w:r>
    </w:p>
    <w:p>
      <w:pPr>
        <w:keepNext/>
        <w:keepLines/>
        <w:shd w:fill="F2F2F2" w:color="auto" w:val="clear"/>
        <w:spacing w:after="0" w:before="80" w:line="240"/>
        <w:ind w:left="240"/>
      </w:pPr>
      <w:r>
        <w:rPr>
          <w:rFonts w:ascii="Consolas" w:eastAsia="Yu Gothic" w:hAnsi="Consolas"/>
          <w:sz w:val="16"/>
          <w:szCs w:val="16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Yu Gothic" w:hAnsi="Consolas"/>
          <w:sz w:val="16"/>
          <w:szCs w:val="16"/>
        </w:rPr>
        <w:t xml:space="preserve">  "@context": "http://www.w3.org/ns/odrl.jsonld",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Yu Gothic" w:hAnsi="Consolas"/>
          <w:sz w:val="16"/>
          <w:szCs w:val="16"/>
        </w:rPr>
        <w:t xml:space="preserve">  "@type": "Offer",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Yu Gothic" w:hAnsi="Consolas"/>
          <w:sz w:val="16"/>
          <w:szCs w:val="16"/>
        </w:rPr>
        <w:t xml:space="preserve">  "uid": "https://c2pa4cosplayer.nrsd.jp/id/policy/{一括処理の番号}",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Yu Gothic" w:hAnsi="Consolas"/>
          <w:sz w:val="16"/>
          <w:szCs w:val="16"/>
        </w:rPr>
        <w:t xml:space="preserve">  "assigner": {"uid": "https://c2pa4cosplayer.nrsd.jp/id/notice/{告知コード}", "name": "{ハンドルネーム}"},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Yu Gothic" w:hAnsi="Consolas"/>
          <w:sz w:val="16"/>
          <w:szCs w:val="16"/>
        </w:rPr>
        <w:t xml:space="preserve">  "target": ["https://c2pa4cosplayer.nrsd.jp/id/work/{識別番号}", "..."],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Yu Gothic" w:hAnsi="Consolas"/>
          <w:sz w:val="16"/>
          <w:szCs w:val="16"/>
        </w:rPr>
        <w:t xml:space="preserve">  "permission": [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Yu Gothic" w:hAnsi="Consolas"/>
          <w:sz w:val="16"/>
          <w:szCs w:val="16"/>
        </w:rPr>
        <w:t xml:space="preserve">    {"action": "display"},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Yu Gothic" w:hAnsi="Consolas"/>
          <w:sz w:val="16"/>
          <w:szCs w:val="16"/>
        </w:rPr>
        <w:t xml:space="preserve">    {"action": "reproduce", "constraint": [{"leftOperand": "purpose", "operator": "eq", "rightOperand": "nrsd:personalDeviceStorage"}]},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Yu Gothic" w:hAnsi="Consolas"/>
          <w:sz w:val="16"/>
          <w:szCs w:val="16"/>
        </w:rPr>
        <w:t xml:space="preserve">    {"action": "distribute",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Yu Gothic" w:hAnsi="Consolas"/>
          <w:sz w:val="16"/>
          <w:szCs w:val="16"/>
        </w:rPr>
        <w:t xml:space="preserve">     "constraint": [{"leftOperand": "nrsd:longEdgePixels", "operator": "lteq", "rightOperand": 1080},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Yu Gothic" w:hAnsi="Consolas"/>
          <w:sz w:val="16"/>
          <w:szCs w:val="16"/>
        </w:rPr>
        <w:t xml:space="preserve">                    {"leftOperand": "payAmount", "operator": "eq", "rightOperand": 0}],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Yu Gothic" w:hAnsi="Consolas"/>
          <w:sz w:val="16"/>
          <w:szCs w:val="16"/>
        </w:rPr>
        <w:t xml:space="preserve">     "duty": [{"action": "attribute"}]}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Yu Gothic" w:hAnsi="Consolas"/>
          <w:sz w:val="16"/>
          <w:szCs w:val="16"/>
        </w:rPr>
        <w:t xml:space="preserve">  ],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Yu Gothic" w:hAnsi="Consolas"/>
          <w:sz w:val="16"/>
          <w:szCs w:val="16"/>
        </w:rPr>
        <w:t xml:space="preserve">  "prohibition": [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Yu Gothic" w:hAnsi="Consolas"/>
          <w:sz w:val="16"/>
          <w:szCs w:val="16"/>
        </w:rPr>
        <w:t xml:space="preserve">    {"action": "nrsd:commercialUse"}, {"action": "nrsd:removeProvenance"},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Yu Gothic" w:hAnsi="Consolas"/>
          <w:sz w:val="16"/>
          <w:szCs w:val="16"/>
        </w:rPr>
        <w:t xml:space="preserve">    {"action": "nrsd:aiTraining"}, {"action": "nrsd:aiInference"}, {"action": "nrsd:dataMining"}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Yu Gothic" w:hAnsi="Consolas"/>
          <w:sz w:val="16"/>
          <w:szCs w:val="16"/>
        </w:rPr>
        <w:t xml:space="preserve">  ]</w:t>
      </w:r>
    </w:p>
    <w:p>
      <w:pPr>
        <w:keepNext w:val="false"/>
        <w:keepLines/>
        <w:shd w:fill="F2F2F2" w:color="auto" w:val="clear"/>
        <w:spacing w:after="120" w:before="0" w:line="240"/>
        <w:ind w:left="240"/>
      </w:pPr>
      <w:r>
        <w:rPr>
          <w:rFonts w:ascii="Consolas" w:eastAsia="Yu Gothic" w:hAnsi="Consolas"/>
          <w:sz w:val="16"/>
          <w:szCs w:val="16"/>
        </w:rPr>
        <w:t xml:space="preserve">}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purpose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payAmount</w:t>
      </w:r>
      <w:r>
        <w:rPr>
          <w:rFonts w:ascii="Yu Gothic" w:eastAsia="Yu Gothic" w:hAnsi="Yu Gothic"/>
        </w:rPr>
        <w:t xml:space="preserve"> は ODRL の共通の語彙の左辺（制約の対象）である。</w:t>
      </w:r>
      <w:r>
        <w:rPr>
          <w:rFonts w:ascii="Consolas" w:eastAsia="Yu Gothic" w:hAnsi="Consolas"/>
        </w:rPr>
        <w:t xml:space="preserve">nrsd:</w:t>
      </w:r>
      <w:r>
        <w:rPr>
          <w:rFonts w:ascii="Yu Gothic" w:eastAsia="Yu Gothic" w:hAnsi="Yu Gothic"/>
        </w:rPr>
        <w:t xml:space="preserve"> の名前は本システムの拡張であり、公開ページで定義する。［要確認］実装の前に、ODRL の検証の道具で形の正しさを確かめる。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ODRL の標準の操作の定義：display は「一時の表示」、print は「有形で永続の表示」、reproduce は「複製」、distribute は「第三者への提供」、modify は「内容の変更（新しい対象は作らない）」、attribute は「利用の際の表示」（W3C の ODRL の共通の語彙）。</w:t>
      </w:r>
    </w:p>
    <w:p>
      <w:pPr>
        <w:pStyle w:val="Heading2"/>
      </w:pPr>
      <w:r>
        <w:rPr>
          <w:rFonts w:ascii="Yu Gothic" w:eastAsia="Yu Gothic" w:hAnsi="Yu Gothic"/>
        </w:rPr>
        <w:t xml:space="preserve">3.7 共通部の文の下書き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下の文は下書きである。各国の法に通じた専門家の確認（4、I-08「権利文書の文言」）を経るまで配らない。</w:t>
      </w:r>
      <w:r>
        <w:rPr>
          <w:rFonts w:ascii="Consolas" w:eastAsia="Yu Gothic" w:hAnsi="Consolas"/>
        </w:rPr>
        <w:t xml:space="preserve">{}</w:t>
      </w:r>
      <w:r>
        <w:rPr>
          <w:rFonts w:ascii="Yu Gothic" w:eastAsia="Yu Gothic" w:hAnsi="Yu Gothic"/>
        </w:rPr>
        <w:t xml:space="preserve"> の中はアプリが入れる。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日本語：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「この画像の権利者は {ハンドルネーム}（{告知先アカウント}）です。」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「この画像を、権利者の許可なく他人に渡したり、共有したり、インターネットに載せたりしないでください。」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「画像を購入しても、著作権と肖像権は購入者に移りません。」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「あなたに許されている使い方：{許可範囲の説明}」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「この画像には、C2PA署名、見えない透かし、識別番号（一覧は同封の 00_RIGHTS.json）が入っています。これらを故意に消すことは、国によっては法律に違反し得ます。」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「許された範囲の外で使われた場合、権利者は削除の申立てや損害賠償の請求を行うことがあります。国ごとの内容は同封の国別の文書と、次のページを見てください：{公開ページの URL}」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「問い合わせ：{告知先アカウント}」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英語：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"The rights holder of these images is {handle} ({account})."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"Do not give, share, or post these images to others without the rights holder's permission."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"Purchasing these images does not transfer copyright or portrait rights to you."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"You are permitted to: {scope}"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"These images contain a C2PA signature, an invisible watermark, and an identification number (listed in the enclosed 00_RIGHTS.json). In some countries, intentionally removing them may be unlawful."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"If these images are used beyond the permitted scope, the rights holder may request removal or claim damages. See the enclosed country document and: {URL}"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"Contact: {account}"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中国語（簡体字）：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「本图片的权利人为 {ハンドルネーム}（{告知先アカウント}）。」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「未经权利人许可，请勿将本图片转交、分享或发布给他人。」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「购买本图片并不会使著作权及肖像权转移给购买者。」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「您被允许的使用方式：{许可范围的说明}」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「本图片含有 C2PA 签名、隐形水印及识别编号（列于随附的 00_RIGHTS.json）。在部分国家，故意删除这些信息可能违法。」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「如在许可范围之外使用，权利人可能提出删除申请或请求损害赔偿。各国的具体内容请参阅随附的国别文件及以下页面：{URL}」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「联系方式：{告知先アカウント}」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訳語は設計計画書の英語版・中国語版に合わせる（権利者：rights holder／权利人、許可範囲：Permitted Scope／许可范围、C2PA署名：C2PA signature／C2PA签名、識別番号：identification number／识别编号）。</w:t>
      </w:r>
    </w:p>
    <w:p>
      <w:pPr>
        <w:pStyle w:val="Heading2"/>
      </w:pPr>
      <w:r>
        <w:rPr>
          <w:rFonts w:ascii="Yu Gothic" w:eastAsia="Yu Gothic" w:hAnsi="Yu Gothic"/>
        </w:rPr>
        <w:t xml:space="preserve">3.8 国と言語の符号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国は ISO 3166-1 の2文字の符号で表す（例：JP、CN、US）。国別部のファイル名は </w:t>
      </w:r>
      <w:r>
        <w:rPr>
          <w:rFonts w:ascii="Consolas" w:eastAsia="Yu Gothic" w:hAnsi="Consolas"/>
        </w:rPr>
        <w:t xml:space="preserve">00_RIGHTS_&lt;国の符号&gt;.txt</w:t>
      </w:r>
      <w:r>
        <w:rPr>
          <w:rFonts w:ascii="Yu Gothic" w:eastAsia="Yu Gothic" w:hAnsi="Yu Gothic"/>
        </w:rPr>
        <w:t xml:space="preserve">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同じ撮影を価格の違う複数の許可範囲で売る場合（例：支援の段階ごと）は、書き出しを許可範囲ごとに分ける（書き出しの1回に許可範囲は1つ。2.3）。書き出しごとに識別番号が別になる。</w:t>
      </w:r>
    </w:p>
    <w:p>
      <w:pPr>
        <w:pStyle w:val="Heading1"/>
      </w:pPr>
      <w:r>
        <w:rPr>
          <w:rFonts w:ascii="Yu Gothic" w:eastAsia="Yu Gothic" w:hAnsi="Yu Gothic"/>
        </w:rPr>
        <w:t xml:space="preserve">4. 文言の管理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8608"/>
      </w:tblGrid>
      <w:tr>
        <w:trPr>
          <w:cantSplit/>
          <w:tblHeader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方式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作成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NRSD が日本語で骨子から条文を起こし、英・中に翻訳する（翻訳は NRSD が確認）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確認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各国の文言は、その国の法に通じた専門家の確認を経てから公開する（I-08「権利文書の文言」）。確認を経ていない国の国別部は作らず、全網羅のリンクのみで示す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版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参照情報の包みの版（1から始まる整数。第8章 3.4「参照情報の包み」）と、文言ごとの版を持つ。文言は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texts/common.&lt;言語&gt;.md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texts/country.&lt;国の符号&gt;.&lt;言語&gt;.md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で、前書き（YAML）に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version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reviewed_by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reviewed_at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（専門家の確認。R-5-3-1）を持ち、本文の差し込みは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{handle}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{account}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{scope}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{url}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（第4章 3.1 の規則と同じ）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配布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参照情報の包み（第8章 3.4「参照情報の包み」）として公開リポジトリとミラーに置き、アプリが取得・検証する（第1章 DD-1-6「参照情報は NRSD が電子署名して公開リポジトリとミラーに置く」）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法改正への追従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NRSD が四半期ごとに確認し、改正があれば版を上げる（第1章 18.1「NRSD の関与点と体制」）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固定と再現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作業は始めた時点の参照情報の版と、使う文言のファイルそのものを写して固定し、途中で版を変えない。作品データとマニフェストに使った各ファイルの SHA-256 を記録する。作品データが参照する版は端末から消さず、控えに含める。どの販売の同封文書も、G-12「作品」から当時の版のまま再び作れる（2026-09-30 NRSD の要求）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5. 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同封する国：購入者に多い国籍の分を、利用者が「権利文書の対象国」（第1章 10.8「言語と国」）で選ぶ（複数可。設計計画書 9.3「対象とする国」）。購入者に多い国籍は利用者自身が把握している（設計計画書 9.3「対象とする国」）。アプリは既定の国を置かず、購入者の情報を持たない（販売管理は範囲外）。国を選ばない場合は共通部と全網羅のリンクのみを同封する。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購入者の国は絞れない（I-07「購入者の国の把握」の結論）。販売の場の登録の情報や接続の元の国は、VPN を通されれば意味を失い、購入者の国籍を確定できない。画像は国を越えて渡る。このため本システムは購入者の国に依存しない作りとする：共通部はすべての言語で同封し、全網羅の情報は公開ページのリンクで示し、国別部は利用者が自分の判断で選ぶ（選ばなくてもよい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全網羅のリンク先：公開リポジトリの公開ページ </w:t>
      </w:r>
      <w:r>
        <w:rPr>
          <w:rFonts w:ascii="Consolas" w:eastAsia="Yu Gothic" w:hAnsi="Consolas"/>
        </w:rPr>
        <w:t xml:space="preserve">/rights/</w:t>
      </w:r>
      <w:r>
        <w:rPr>
          <w:rFonts w:ascii="Yu Gothic" w:eastAsia="Yu Gothic" w:hAnsi="Yu Gothic"/>
        </w:rPr>
        <w:t xml:space="preserve">（各国の法の要旨と出典の一覧。参照情報から生成）。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準拠する法の考え方（法務で扱う。O-03「準拠する法の考え方」）：設計計画書 9.5「準拠する法の考え方（参考）」 の2層（許可範囲は契約の問題、侵害は保護が要求される国の法の問題とする）を参考とし、同封文書に「許可範囲の解釈は販売者（権利者）の国の法による」旨を載せる案を置く。採否は専門家の確認による（I-06「国ごとの権利の違い」、I-08「権利文書の文言」）。確認までは同封文書に書かず、販売者の国の入力も設けない（O-03「準拠する法の考え方」は案を置いた段階）。</w:t>
      </w:r>
    </w:p>
    <w:p>
      <w:pPr>
        <w:pStyle w:val="Heading1"/>
      </w:pPr>
      <w:r>
        <w:rPr>
          <w:rFonts w:ascii="Yu Gothic" w:eastAsia="Yu Gothic" w:hAnsi="Yu Gothic"/>
        </w:rPr>
        <w:t xml:space="preserve">6. 告知の支援</w:t>
      </w:r>
    </w:p>
    <w:p>
      <w:pPr>
        <w:pStyle w:val="Heading2"/>
      </w:pPr>
      <w:r>
        <w:rPr>
          <w:rFonts w:ascii="Yu Gothic" w:eastAsia="Yu Gothic" w:hAnsi="Yu Gothic"/>
        </w:rPr>
        <w:t xml:space="preserve">6.1 文例の段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"/>
        <w:gridCol w:w="2480"/>
        <w:gridCol w:w="6647"/>
      </w:tblGrid>
      <w:tr>
        <w:trPr>
          <w:cantSplit/>
          <w:tblHeader/>
        </w:trPr>
        <w:tc>
          <w:tcPr>
            <w:tcW w:type="dxa" w:w="5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段</w:t>
            </w:r>
          </w:p>
        </w:tc>
        <w:tc>
          <w:tcPr>
            <w:tcW w:type="dxa" w:w="24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66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骨子（日本語）</w:t>
            </w:r>
          </w:p>
        </w:tc>
      </w:tr>
      <w:tr>
        <w:trPr>
          <w:cantSplit/>
          <w:tblHeader w:val="off"/>
        </w:trPr>
        <w:tc>
          <w:tcPr>
            <w:tcW w:type="dxa" w:w="5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短</w:t>
            </w:r>
          </w:p>
        </w:tc>
        <w:tc>
          <w:tcPr>
            <w:tcW w:type="dxa" w:w="24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X・Instagram・小紅書のプロフィール（100〜160文字）</w:t>
            </w:r>
          </w:p>
        </w:tc>
        <w:tc>
          <w:tcPr>
            <w:tcW w:type="dxa" w:w="66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6.3「短の文の下書き（3言語）」の文（告知コードを含めて100文字以内）</w:t>
            </w:r>
          </w:p>
        </w:tc>
      </w:tr>
      <w:tr>
        <w:trPr>
          <w:cantSplit/>
          <w:tblHeader w:val="off"/>
        </w:trPr>
        <w:tc>
          <w:tcPr>
            <w:tcW w:type="dxa" w:w="5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4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プロフィールに余裕がある場合</w:t>
            </w:r>
          </w:p>
        </w:tc>
        <w:tc>
          <w:tcPr>
            <w:tcW w:type="dxa" w:w="66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短と「確認方法：&lt;公開ページの URL&gt;」と「CR の印は写真の来歴の記録（C2PA）の印であり、AI 生成の表示ではありません」</w:t>
            </w:r>
          </w:p>
        </w:tc>
      </w:tr>
      <w:tr>
        <w:trPr>
          <w:cantSplit/>
          <w:tblHeader w:val="off"/>
        </w:trPr>
        <w:tc>
          <w:tcPr>
            <w:tcW w:type="dxa" w:w="5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長</w:t>
            </w:r>
          </w:p>
        </w:tc>
        <w:tc>
          <w:tcPr>
            <w:tcW w:type="dxa" w:w="24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固定の投稿、Patreon の About</w:t>
            </w:r>
          </w:p>
        </w:tc>
        <w:tc>
          <w:tcPr>
            <w:tcW w:type="dxa" w:w="66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次の項目：権利の所在、無断の転載・照合データの除去が違法となり得ること、申立て・損害賠償の意思、識別番号（画像の記録に入り、ファイル名の後ろにも付けられる番号。設計計画書 D-7-7「識別番号は、クライアントアプリが発行し、C2PAマニフェストに自動で記録する。ファイル名の後ろに付けるかは、保存の際に利用者が選ぶ」）の意味と確認方法、C2PA の確認の印が AI 生成の表示ではなく写真の来歴の記録であることの説明、告知コード、確認の方法（公開ページの URL。入手は README を指す）。作品登録番号（公的な登記・登録の番号）は、利用者が持つ場合に任意で書ける文字列とする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各段を日・中・英で用意する。アプリは利用者のハンドルネームと告知コードを入れて、写しやすい形で示す（コピーのボタン）。</w:t>
      </w:r>
    </w:p>
    <w:p>
      <w:pPr>
        <w:pStyle w:val="Heading2"/>
      </w:pPr>
      <w:r>
        <w:rPr>
          <w:rFonts w:ascii="Yu Gothic" w:eastAsia="Yu Gothic" w:hAnsi="Yu Gothic"/>
        </w:rPr>
        <w:t xml:space="preserve">6.2 権利性の照合との関係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告知コードは第2章 DD-2-3「権利性の手がかりは告知先アカウントに掲げる告知コードとする」・第1章 8.2「識別子の体系」 のもの（個人のルートの指紋）。画像の C2PA署名の署名者と告知先アカウントの結び付きを、誰でも照合できるようにする（第2章 4.1「告知先アカウントとの照合」）。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告知の掲示を消したり書き換えたりすると、照合の手がかりが失われる。アプリは告知コードの掲げ方と、掲げ続けることの意味を案内する（第10章 G-04「告知の掲示」）。本システムは掲示を確かめない（D-5-5「本システムは照合の手段を提供するが、照合を代行しない」）。</w:t>
      </w:r>
    </w:p>
    <w:p>
      <w:pPr>
        <w:pStyle w:val="Heading2"/>
      </w:pPr>
      <w:r>
        <w:rPr>
          <w:rFonts w:ascii="Yu Gothic" w:eastAsia="Yu Gothic" w:hAnsi="Yu Gothic"/>
        </w:rPr>
        <w:t xml:space="preserve">6.3 短の文の下書き（3言語）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日本語：「無断転載禁止。写真には C2PA署名・透かし・識別番号があります。{告知コード}」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英語："No reposting. My photos carry a C2PA signature, watermark and ID. {notice code}"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中国語（簡体字）：「禁止转载。照片含 C2PA 签名、水印及识别编号。{告知コード}」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文字数：告知コードは28文字であり、上の文は告知コードを含めて日本語61文字、中国語53文字、英語94文字（2026-10-01 に数え直した）で、いずれも100文字以内に収まる（X の160文字、Instagram の150文字、小紅書のおおむね100字の内。第2章 2.2「告知コードを掲げる場所の上限」）。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下書きであり、確認は 3.7 と同じ。</w:t>
      </w:r>
    </w:p>
    <w:p>
      <w:pPr>
        <w:pStyle w:val="Heading1"/>
      </w:pPr>
      <w:r>
        <w:rPr>
          <w:rFonts w:ascii="Yu Gothic" w:eastAsia="Yu Gothic" w:hAnsi="Yu Gothic"/>
        </w:rPr>
        <w:t xml:space="preserve">7. 要件との対応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38"/>
        <w:gridCol w:w="3400"/>
      </w:tblGrid>
      <w:tr>
        <w:trPr>
          <w:cantSplit/>
          <w:tblHeader/>
        </w:trPr>
        <w:tc>
          <w:tcPr>
            <w:tcW w:type="dxa" w:w="62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要件の番号（文は概要設計書）</w:t>
            </w:r>
          </w:p>
        </w:tc>
        <w:tc>
          <w:tcPr>
            <w:tcW w:type="dxa" w:w="34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本書で受ける節</w:t>
            </w:r>
          </w:p>
        </w:tc>
      </w:tr>
      <w:tr>
        <w:trPr>
          <w:cantSplit/>
          <w:tblHeader w:val="off"/>
        </w:trPr>
        <w:tc>
          <w:tcPr>
            <w:tcW w:type="dxa" w:w="62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R-5-1-1</w:t>
            </w:r>
          </w:p>
        </w:tc>
        <w:tc>
          <w:tcPr>
            <w:tcW w:type="dxa" w:w="34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2「許可範囲」</w:t>
            </w:r>
          </w:p>
        </w:tc>
      </w:tr>
      <w:tr>
        <w:trPr>
          <w:cantSplit/>
          <w:tblHeader w:val="off"/>
        </w:trPr>
        <w:tc>
          <w:tcPr>
            <w:tcW w:type="dxa" w:w="62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R-5-1-2</w:t>
            </w:r>
          </w:p>
        </w:tc>
        <w:tc>
          <w:tcPr>
            <w:tcW w:type="dxa" w:w="34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2「許可範囲」</w:t>
            </w:r>
          </w:p>
        </w:tc>
      </w:tr>
      <w:tr>
        <w:trPr>
          <w:cantSplit/>
          <w:tblHeader w:val="off"/>
        </w:trPr>
        <w:tc>
          <w:tcPr>
            <w:tcW w:type="dxa" w:w="62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R-5-1-3</w:t>
            </w:r>
          </w:p>
        </w:tc>
        <w:tc>
          <w:tcPr>
            <w:tcW w:type="dxa" w:w="34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2「許可範囲」</w:t>
            </w:r>
          </w:p>
        </w:tc>
      </w:tr>
      <w:tr>
        <w:trPr>
          <w:cantSplit/>
          <w:tblHeader w:val="off"/>
        </w:trPr>
        <w:tc>
          <w:tcPr>
            <w:tcW w:type="dxa" w:w="62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R-5-2-1</w:t>
            </w:r>
          </w:p>
        </w:tc>
        <w:tc>
          <w:tcPr>
            <w:tcW w:type="dxa" w:w="34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3「同封文書」</w:t>
            </w:r>
          </w:p>
        </w:tc>
      </w:tr>
      <w:tr>
        <w:trPr>
          <w:cantSplit/>
          <w:tblHeader w:val="off"/>
        </w:trPr>
        <w:tc>
          <w:tcPr>
            <w:tcW w:type="dxa" w:w="62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R-5-2-2</w:t>
            </w:r>
          </w:p>
        </w:tc>
        <w:tc>
          <w:tcPr>
            <w:tcW w:type="dxa" w:w="34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3「同封文書」</w:t>
            </w:r>
          </w:p>
        </w:tc>
      </w:tr>
      <w:tr>
        <w:trPr>
          <w:cantSplit/>
          <w:tblHeader w:val="off"/>
        </w:trPr>
        <w:tc>
          <w:tcPr>
            <w:tcW w:type="dxa" w:w="62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R-5-3-1</w:t>
            </w:r>
          </w:p>
        </w:tc>
        <w:tc>
          <w:tcPr>
            <w:tcW w:type="dxa" w:w="34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4「文言の管理」</w:t>
            </w:r>
          </w:p>
        </w:tc>
      </w:tr>
      <w:tr>
        <w:trPr>
          <w:cantSplit/>
          <w:tblHeader w:val="off"/>
        </w:trPr>
        <w:tc>
          <w:tcPr>
            <w:tcW w:type="dxa" w:w="62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R-5-3-2</w:t>
            </w:r>
          </w:p>
        </w:tc>
        <w:tc>
          <w:tcPr>
            <w:tcW w:type="dxa" w:w="34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4「文言の管理」</w:t>
            </w:r>
          </w:p>
        </w:tc>
      </w:tr>
      <w:tr>
        <w:trPr>
          <w:cantSplit/>
          <w:tblHeader w:val="off"/>
        </w:trPr>
        <w:tc>
          <w:tcPr>
            <w:tcW w:type="dxa" w:w="62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R-5-4-1</w:t>
            </w:r>
          </w:p>
        </w:tc>
        <w:tc>
          <w:tcPr>
            <w:tcW w:type="dxa" w:w="34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5「国」</w:t>
            </w:r>
          </w:p>
        </w:tc>
      </w:tr>
      <w:tr>
        <w:trPr>
          <w:cantSplit/>
          <w:tblHeader w:val="off"/>
        </w:trPr>
        <w:tc>
          <w:tcPr>
            <w:tcW w:type="dxa" w:w="62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R-5-5-1</w:t>
            </w:r>
          </w:p>
        </w:tc>
        <w:tc>
          <w:tcPr>
            <w:tcW w:type="dxa" w:w="34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6「告知の支援」</w:t>
            </w:r>
          </w:p>
        </w:tc>
      </w:tr>
      <w:tr>
        <w:trPr>
          <w:cantSplit/>
          <w:tblHeader w:val="off"/>
        </w:trPr>
        <w:tc>
          <w:tcPr>
            <w:tcW w:type="dxa" w:w="62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R-5-5-2</w:t>
            </w:r>
          </w:p>
        </w:tc>
        <w:tc>
          <w:tcPr>
            <w:tcW w:type="dxa" w:w="34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6「告知の支援」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8. 本章で宣言する破れ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本章の破れは第13章 4.1「仕組みの破れ」の表（章の欄が本章のもの。なぜ塞げないか・善処した範囲・残る危険・負う者つき）による（本章には写さない）。</w:t>
      </w:r>
    </w:p>
    <w:p>
      <w:pPr>
        <w:pStyle w:val="Heading1"/>
      </w:pPr>
      <w:r>
        <w:rPr>
          <w:rFonts w:ascii="Yu Gothic" w:eastAsia="Yu Gothic" w:hAnsi="Yu Gothic"/>
        </w:rPr>
        <w:t xml:space="preserve">9. 概要設計書への訂正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O-04「許可範囲の選択肢」（許可範囲の選択肢）を本書 2.1 で解消。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5-2 の形式を「TXT（共通部は3言語を1ファイル、国別部は国ごと）と機械が読める JSON」と明記する。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基本設計書 第5章 権利文書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基本設計書 第5章 権利文書</dc:title>
  <dc:creator>石川宗</dc:creator>
  <cp:lastModifiedBy>Un-named</cp:lastModifiedBy>
  <cp:revision>1</cp:revision>
  <dcterms:created xsi:type="dcterms:W3CDTF">2026-10-01T13:29:04.588Z</dcterms:created>
  <dcterms:modified xsi:type="dcterms:W3CDTF">2026-10-01T13:29:04.589Z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