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D9076" w14:textId="6C8C4302" w:rsidR="00A1597F" w:rsidRPr="00A1597F" w:rsidRDefault="00A1597F" w:rsidP="00A1597F">
      <w:pPr>
        <w:rPr>
          <w:rFonts w:ascii="Times New Roman" w:hAnsi="Times New Roman" w:cs="Times New Roman"/>
        </w:rPr>
      </w:pPr>
      <w:r w:rsidRPr="00A1597F">
        <w:rPr>
          <w:rFonts w:ascii="Times New Roman" w:hAnsi="Times New Roman" w:cs="Times New Roman"/>
        </w:rPr>
        <w:t xml:space="preserve">Plans: </w:t>
      </w:r>
    </w:p>
    <w:p w14:paraId="3CB0DD7F" w14:textId="682E2E6C" w:rsidR="002A27C4" w:rsidRDefault="00A1597F" w:rsidP="00A1597F">
      <w:pPr>
        <w:rPr>
          <w:rFonts w:ascii="Times New Roman" w:hAnsi="Times New Roman" w:cs="Times New Roman"/>
        </w:rPr>
      </w:pPr>
      <w:r w:rsidRPr="00A1597F">
        <w:rPr>
          <w:rFonts w:ascii="Times New Roman" w:hAnsi="Times New Roman" w:cs="Times New Roman"/>
        </w:rPr>
        <w:t xml:space="preserve">This will be a standalone report on the second study of my thesis </w:t>
      </w:r>
      <w:r>
        <w:rPr>
          <w:rFonts w:ascii="Times New Roman" w:hAnsi="Times New Roman" w:cs="Times New Roman"/>
        </w:rPr>
        <w:t>on</w:t>
      </w:r>
      <w:r w:rsidRPr="00A1597F">
        <w:rPr>
          <w:rFonts w:ascii="Times New Roman" w:hAnsi="Times New Roman" w:cs="Times New Roman"/>
        </w:rPr>
        <w:t xml:space="preserve"> numerical associations in trend judgments: whether trend judgment is influenced by putative associations between the number of points and the sign of the trend. This can be a brief report. </w:t>
      </w:r>
    </w:p>
    <w:p w14:paraId="7AFBE421" w14:textId="77777777" w:rsidR="002A27C4" w:rsidRPr="00A1597F" w:rsidRDefault="002A27C4" w:rsidP="00A1597F">
      <w:pPr>
        <w:rPr>
          <w:rFonts w:ascii="Times New Roman" w:hAnsi="Times New Roman" w:cs="Times New Roman"/>
        </w:rPr>
      </w:pPr>
    </w:p>
    <w:p w14:paraId="47B1BBC0" w14:textId="49CBAE4C" w:rsidR="00A1597F" w:rsidRPr="00A1597F" w:rsidRDefault="00A1597F" w:rsidP="00A1597F">
      <w:pPr>
        <w:pStyle w:val="ListParagraph"/>
        <w:numPr>
          <w:ilvl w:val="0"/>
          <w:numId w:val="1"/>
        </w:numPr>
        <w:rPr>
          <w:rFonts w:ascii="Times New Roman" w:hAnsi="Times New Roman" w:cs="Times New Roman"/>
        </w:rPr>
      </w:pPr>
      <w:r w:rsidRPr="00A1597F">
        <w:rPr>
          <w:rFonts w:ascii="Times New Roman" w:hAnsi="Times New Roman" w:cs="Times New Roman"/>
        </w:rPr>
        <w:t xml:space="preserve">Graphs are mathematical in nature. Review graph perception and trend judgment. </w:t>
      </w:r>
    </w:p>
    <w:p w14:paraId="2DA50676" w14:textId="77777777" w:rsidR="00A1597F" w:rsidRPr="00A1597F" w:rsidRDefault="00A1597F" w:rsidP="00A1597F">
      <w:pPr>
        <w:pStyle w:val="ListParagraph"/>
        <w:rPr>
          <w:rFonts w:ascii="Times New Roman" w:hAnsi="Times New Roman" w:cs="Times New Roman"/>
        </w:rPr>
      </w:pPr>
    </w:p>
    <w:p w14:paraId="3D0E74A8" w14:textId="7679B078" w:rsidR="00A1597F" w:rsidRPr="00A1597F" w:rsidRDefault="00A1597F" w:rsidP="00A1597F">
      <w:pPr>
        <w:pStyle w:val="ListParagraph"/>
        <w:numPr>
          <w:ilvl w:val="0"/>
          <w:numId w:val="1"/>
        </w:numPr>
        <w:rPr>
          <w:rFonts w:ascii="Times New Roman" w:hAnsi="Times New Roman" w:cs="Times New Roman"/>
        </w:rPr>
      </w:pPr>
      <w:r w:rsidRPr="00A1597F">
        <w:rPr>
          <w:rFonts w:ascii="Times New Roman" w:hAnsi="Times New Roman" w:cs="Times New Roman"/>
        </w:rPr>
        <w:t xml:space="preserve">Graphs may be intertwined with math. Ciccione et al. (2026) observed overlap in a trend judgment task with the math area in the intraparietal sulcus. Spatial associations characteristic of numbers have also been observed (Parrott et al. 2014). </w:t>
      </w:r>
    </w:p>
    <w:p w14:paraId="351440F0" w14:textId="77777777" w:rsidR="00A1597F" w:rsidRPr="00A1597F" w:rsidRDefault="00A1597F" w:rsidP="00A1597F">
      <w:pPr>
        <w:pStyle w:val="ListParagraph"/>
        <w:rPr>
          <w:rFonts w:ascii="Times New Roman" w:hAnsi="Times New Roman" w:cs="Times New Roman"/>
        </w:rPr>
      </w:pPr>
    </w:p>
    <w:p w14:paraId="2CCCAF6D" w14:textId="0E88DD14" w:rsidR="000707B9" w:rsidRDefault="00A1597F" w:rsidP="00A1597F">
      <w:pPr>
        <w:pStyle w:val="ListParagraph"/>
        <w:numPr>
          <w:ilvl w:val="0"/>
          <w:numId w:val="1"/>
        </w:numPr>
        <w:rPr>
          <w:rFonts w:ascii="Times New Roman" w:hAnsi="Times New Roman" w:cs="Times New Roman"/>
        </w:rPr>
      </w:pPr>
      <w:r w:rsidRPr="00A1597F">
        <w:rPr>
          <w:rFonts w:ascii="Times New Roman" w:hAnsi="Times New Roman" w:cs="Times New Roman"/>
        </w:rPr>
        <w:t xml:space="preserve">But these spatial associations may not be numerical in nature. To test this, we will investigate how the number of dots plays a role in the judgment of different sign trends. </w:t>
      </w:r>
    </w:p>
    <w:p w14:paraId="3D4AC8F6" w14:textId="77777777" w:rsidR="002469FE" w:rsidRPr="002469FE" w:rsidRDefault="002469FE" w:rsidP="002469FE">
      <w:pPr>
        <w:pStyle w:val="ListParagraph"/>
        <w:rPr>
          <w:rFonts w:ascii="Times New Roman" w:hAnsi="Times New Roman" w:cs="Times New Roman"/>
        </w:rPr>
      </w:pPr>
    </w:p>
    <w:p w14:paraId="198197EC" w14:textId="77777777" w:rsidR="002469FE" w:rsidRDefault="002469FE" w:rsidP="00246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rPr>
      </w:pPr>
    </w:p>
    <w:p w14:paraId="16A13EE5" w14:textId="77777777" w:rsidR="006F1E49" w:rsidRDefault="002469FE" w:rsidP="00246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ab/>
      </w:r>
      <w:r>
        <w:rPr>
          <w:rFonts w:ascii="Times New Roman" w:eastAsia="Times New Roman" w:hAnsi="Times New Roman" w:cs="Times New Roman"/>
          <w:color w:val="000000" w:themeColor="text1"/>
          <w:kern w:val="0"/>
          <w14:ligatures w14:val="none"/>
        </w:rPr>
        <w:t>The interest in studying graphs as</w:t>
      </w:r>
      <w:r>
        <w:rPr>
          <w:rFonts w:ascii="Times New Roman" w:eastAsia="Times New Roman" w:hAnsi="Times New Roman" w:cs="Times New Roman"/>
          <w:color w:val="000000" w:themeColor="text1"/>
          <w:kern w:val="0"/>
          <w14:ligatures w14:val="none"/>
        </w:rPr>
        <w:t xml:space="preserve"> a symbolic system</w:t>
      </w:r>
      <w:r>
        <w:rPr>
          <w:rFonts w:ascii="Times New Roman" w:eastAsia="Times New Roman" w:hAnsi="Times New Roman" w:cs="Times New Roman"/>
          <w:color w:val="000000" w:themeColor="text1"/>
          <w:kern w:val="0"/>
          <w14:ligatures w14:val="none"/>
        </w:rPr>
        <w:t xml:space="preserve"> distinct from mathematics has become more prevalent recently, yet it is not clear how necessarily mathematical graphs are. Even the very basic task of judging the trend of scatter plots, which</w:t>
      </w:r>
      <w:r>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 xml:space="preserve">can be done by </w:t>
      </w:r>
      <w:r>
        <w:rPr>
          <w:rFonts w:ascii="Times New Roman" w:eastAsia="Times New Roman" w:hAnsi="Times New Roman" w:cs="Times New Roman"/>
          <w:color w:val="000000" w:themeColor="text1"/>
          <w:kern w:val="0"/>
          <w14:ligatures w14:val="none"/>
        </w:rPr>
        <w:t xml:space="preserve">young children, non-human primates, and </w:t>
      </w:r>
      <w:r>
        <w:rPr>
          <w:rFonts w:ascii="Times New Roman" w:eastAsia="Times New Roman" w:hAnsi="Times New Roman" w:cs="Times New Roman"/>
          <w:color w:val="000000" w:themeColor="text1"/>
          <w:kern w:val="0"/>
          <w14:ligatures w14:val="none"/>
        </w:rPr>
        <w:t>those without formal mathematic</w:t>
      </w:r>
      <w:r w:rsidR="006F1E49">
        <w:rPr>
          <w:rFonts w:ascii="Times New Roman" w:eastAsia="Times New Roman" w:hAnsi="Times New Roman" w:cs="Times New Roman"/>
          <w:color w:val="000000" w:themeColor="text1"/>
          <w:kern w:val="0"/>
          <w14:ligatures w14:val="none"/>
        </w:rPr>
        <w:t>al</w:t>
      </w:r>
      <w:r>
        <w:rPr>
          <w:rFonts w:ascii="Times New Roman" w:eastAsia="Times New Roman" w:hAnsi="Times New Roman" w:cs="Times New Roman"/>
          <w:color w:val="000000" w:themeColor="text1"/>
          <w:kern w:val="0"/>
          <w14:ligatures w14:val="none"/>
        </w:rPr>
        <w:t xml:space="preserve"> experience</w:t>
      </w:r>
      <w:r>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might</w:t>
      </w:r>
      <w:r>
        <w:rPr>
          <w:rFonts w:ascii="Times New Roman" w:eastAsia="Times New Roman" w:hAnsi="Times New Roman" w:cs="Times New Roman"/>
          <w:color w:val="000000" w:themeColor="text1"/>
          <w:kern w:val="0"/>
          <w14:ligatures w14:val="none"/>
        </w:rPr>
        <w:t xml:space="preserve"> </w:t>
      </w:r>
      <w:r w:rsidR="006F1E49">
        <w:rPr>
          <w:rFonts w:ascii="Times New Roman" w:eastAsia="Times New Roman" w:hAnsi="Times New Roman" w:cs="Times New Roman"/>
          <w:color w:val="000000" w:themeColor="text1"/>
          <w:kern w:val="0"/>
          <w14:ligatures w14:val="none"/>
        </w:rPr>
        <w:t>involve</w:t>
      </w:r>
      <w:r>
        <w:rPr>
          <w:rFonts w:ascii="Times New Roman" w:eastAsia="Times New Roman" w:hAnsi="Times New Roman" w:cs="Times New Roman"/>
          <w:color w:val="000000" w:themeColor="text1"/>
          <w:kern w:val="0"/>
          <w14:ligatures w14:val="none"/>
        </w:rPr>
        <w:t xml:space="preserve"> </w:t>
      </w:r>
      <w:r w:rsidR="006F1E49">
        <w:rPr>
          <w:rFonts w:ascii="Times New Roman" w:eastAsia="Times New Roman" w:hAnsi="Times New Roman" w:cs="Times New Roman"/>
          <w:color w:val="000000" w:themeColor="text1"/>
          <w:kern w:val="0"/>
          <w14:ligatures w14:val="none"/>
        </w:rPr>
        <w:t>mathematical</w:t>
      </w:r>
      <w:r>
        <w:rPr>
          <w:rFonts w:ascii="Times New Roman" w:eastAsia="Times New Roman" w:hAnsi="Times New Roman" w:cs="Times New Roman"/>
          <w:color w:val="000000" w:themeColor="text1"/>
          <w:kern w:val="0"/>
          <w14:ligatures w14:val="none"/>
        </w:rPr>
        <w:t xml:space="preserve"> </w:t>
      </w:r>
      <w:r w:rsidR="006F1E49">
        <w:rPr>
          <w:rFonts w:ascii="Times New Roman" w:eastAsia="Times New Roman" w:hAnsi="Times New Roman" w:cs="Times New Roman"/>
          <w:color w:val="000000" w:themeColor="text1"/>
          <w:kern w:val="0"/>
          <w14:ligatures w14:val="none"/>
        </w:rPr>
        <w:t>construct</w:t>
      </w:r>
      <w:r>
        <w:rPr>
          <w:rFonts w:ascii="Times New Roman" w:eastAsia="Times New Roman" w:hAnsi="Times New Roman" w:cs="Times New Roman"/>
          <w:color w:val="000000" w:themeColor="text1"/>
          <w:kern w:val="0"/>
          <w14:ligatures w14:val="none"/>
        </w:rPr>
        <w:t xml:space="preserve">s, as Ciccione et al. (2026) note. </w:t>
      </w:r>
    </w:p>
    <w:p w14:paraId="074A975E" w14:textId="42F68F76" w:rsidR="006F1E49" w:rsidRDefault="006F1E49" w:rsidP="00246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ab/>
      </w:r>
      <w:r w:rsidR="002469FE">
        <w:rPr>
          <w:rFonts w:ascii="Times New Roman" w:eastAsia="Times New Roman" w:hAnsi="Times New Roman" w:cs="Times New Roman"/>
          <w:color w:val="000000" w:themeColor="text1"/>
          <w:kern w:val="0"/>
          <w14:ligatures w14:val="none"/>
        </w:rPr>
        <w:t>The</w:t>
      </w:r>
      <w:r w:rsidR="002469FE">
        <w:rPr>
          <w:rFonts w:ascii="Times New Roman" w:eastAsia="Times New Roman" w:hAnsi="Times New Roman" w:cs="Times New Roman"/>
          <w:color w:val="000000" w:themeColor="text1"/>
          <w:kern w:val="0"/>
          <w14:ligatures w14:val="none"/>
        </w:rPr>
        <w:t>se researchers</w:t>
      </w:r>
      <w:r w:rsidR="002469FE">
        <w:rPr>
          <w:rFonts w:ascii="Times New Roman" w:eastAsia="Times New Roman" w:hAnsi="Times New Roman" w:cs="Times New Roman"/>
          <w:color w:val="000000" w:themeColor="text1"/>
          <w:kern w:val="0"/>
          <w14:ligatures w14:val="none"/>
        </w:rPr>
        <w:t xml:space="preserve"> postulate that when </w:t>
      </w:r>
      <w:r>
        <w:rPr>
          <w:rFonts w:ascii="Times New Roman" w:eastAsia="Times New Roman" w:hAnsi="Times New Roman" w:cs="Times New Roman"/>
          <w:color w:val="000000" w:themeColor="text1"/>
          <w:kern w:val="0"/>
          <w14:ligatures w14:val="none"/>
        </w:rPr>
        <w:t>judging the direction of</w:t>
      </w:r>
      <w:r w:rsidR="002469FE">
        <w:rPr>
          <w:rFonts w:ascii="Times New Roman" w:eastAsia="Times New Roman" w:hAnsi="Times New Roman" w:cs="Times New Roman"/>
          <w:color w:val="000000" w:themeColor="text1"/>
          <w:kern w:val="0"/>
          <w14:ligatures w14:val="none"/>
        </w:rPr>
        <w:t xml:space="preserve"> trends with substantial noise (low </w:t>
      </w:r>
      <w:r w:rsidR="002469FE">
        <w:rPr>
          <w:rFonts w:ascii="Times New Roman" w:eastAsia="Times New Roman" w:hAnsi="Times New Roman" w:cs="Times New Roman"/>
          <w:i/>
          <w:iCs/>
          <w:color w:val="000000" w:themeColor="text1"/>
          <w:kern w:val="0"/>
          <w14:ligatures w14:val="none"/>
        </w:rPr>
        <w:t>t</w:t>
      </w:r>
      <w:r w:rsidR="002469FE">
        <w:rPr>
          <w:rFonts w:ascii="Times New Roman" w:eastAsia="Times New Roman" w:hAnsi="Times New Roman" w:cs="Times New Roman"/>
          <w:color w:val="000000" w:themeColor="text1"/>
          <w:kern w:val="0"/>
          <w14:ligatures w14:val="none"/>
        </w:rPr>
        <w:t xml:space="preserve"> values), educated humans might assess the quantities and their locations in the cloud of dots as a mathematical object to arrive at a </w:t>
      </w:r>
      <w:commentRangeStart w:id="0"/>
      <w:r w:rsidR="002469FE">
        <w:rPr>
          <w:rFonts w:ascii="Times New Roman" w:eastAsia="Times New Roman" w:hAnsi="Times New Roman" w:cs="Times New Roman"/>
          <w:color w:val="000000" w:themeColor="text1"/>
          <w:kern w:val="0"/>
          <w14:ligatures w14:val="none"/>
        </w:rPr>
        <w:t>decision about the trend's direction</w:t>
      </w:r>
      <w:commentRangeEnd w:id="0"/>
      <w:r w:rsidR="002469FE">
        <w:rPr>
          <w:rStyle w:val="CommentReference"/>
          <w:rFonts w:ascii="Times New Roman" w:eastAsia="Times New Roman" w:hAnsi="Times New Roman" w:cs="Times New Roman"/>
          <w:color w:val="000000" w:themeColor="text1"/>
          <w:kern w:val="0"/>
          <w:sz w:val="24"/>
          <w:szCs w:val="24"/>
          <w14:ligatures w14:val="none"/>
        </w:rPr>
        <w:commentReference w:id="0"/>
      </w:r>
      <w:r w:rsidR="002469FE">
        <w:rPr>
          <w:rFonts w:ascii="Times New Roman" w:eastAsia="Times New Roman" w:hAnsi="Times New Roman" w:cs="Times New Roman"/>
          <w:color w:val="000000" w:themeColor="text1"/>
          <w:kern w:val="0"/>
          <w14:ligatures w14:val="none"/>
        </w:rPr>
        <w:t>. This came from evidence that areas localized by an arithmetic task in the anterior intraparietal sulcus were also activated only when judging difficult trends, not easy ones, and that this activation was modulated by participants’ graph experience.</w:t>
      </w:r>
      <w:r>
        <w:rPr>
          <w:rFonts w:ascii="Times New Roman" w:eastAsia="Times New Roman" w:hAnsi="Times New Roman" w:cs="Times New Roman"/>
          <w:color w:val="000000" w:themeColor="text1"/>
          <w:kern w:val="0"/>
          <w14:ligatures w14:val="none"/>
        </w:rPr>
        <w:t xml:space="preserve"> </w:t>
      </w:r>
    </w:p>
    <w:p w14:paraId="3CDB8D18" w14:textId="539DA91E" w:rsidR="002469FE" w:rsidRDefault="006F1E49" w:rsidP="00246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ab/>
      </w:r>
      <w:r w:rsidR="002469FE">
        <w:rPr>
          <w:rFonts w:ascii="Times New Roman" w:eastAsia="Times New Roman" w:hAnsi="Times New Roman" w:cs="Times New Roman"/>
          <w:color w:val="000000" w:themeColor="text1"/>
          <w:kern w:val="0"/>
          <w14:ligatures w14:val="none"/>
        </w:rPr>
        <w:t xml:space="preserve">This finding might explain why research has found spatial associations in graphs that are characteristic of spatial numerical associations (SNAs; Parrott et al., 2014; our lab). These studies found that increasing trends were associated with the right and decreasing with the left; therefore, increasing and decreasing trends might be associated with larger and smaller magnitudes, respectively. </w:t>
      </w:r>
    </w:p>
    <w:p w14:paraId="04852B2D" w14:textId="4BC81820" w:rsidR="002469FE" w:rsidRDefault="002469FE" w:rsidP="002469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ab/>
        <w:t>Both the behavioral and neural evidence are rather tentativ</w:t>
      </w:r>
      <w:r w:rsidR="006F1E49">
        <w:rPr>
          <w:rFonts w:ascii="Times New Roman" w:eastAsia="Times New Roman" w:hAnsi="Times New Roman" w:cs="Times New Roman"/>
          <w:color w:val="000000" w:themeColor="text1"/>
          <w:kern w:val="0"/>
          <w14:ligatures w14:val="none"/>
        </w:rPr>
        <w:t>e, though</w:t>
      </w:r>
      <w:r>
        <w:rPr>
          <w:rFonts w:ascii="Times New Roman" w:eastAsia="Times New Roman" w:hAnsi="Times New Roman" w:cs="Times New Roman"/>
          <w:color w:val="000000" w:themeColor="text1"/>
          <w:kern w:val="0"/>
          <w14:ligatures w14:val="none"/>
        </w:rPr>
        <w:t xml:space="preserve">. Overlap in neural activation is not necessarily evidence for shared representations, especially given how disparate the cortical areas that constitute the so-called math circuit are. Moreover, the behavioral evidence in Parrott et al. and our lab need not pertain to the number at all, as these associations are simply spatial. </w:t>
      </w:r>
    </w:p>
    <w:p w14:paraId="51FCAE8A" w14:textId="635895EA" w:rsidR="002469FE" w:rsidRPr="006F1E49" w:rsidRDefault="002469FE" w:rsidP="006F1E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ab/>
        <w:t>To test whether judgments of trend in graphs are influenced by or recruit representations of numerical magnitude, we will compare accuracy and reaction time on judgments of trend with putatively congruent and incongruent quantities of points. Much research in spatial numerical associations has demonstrated that task-irrelevant non-symbolic numerical information can induce incongruency effects (</w:t>
      </w:r>
      <w:r>
        <w:rPr>
          <w:rFonts w:ascii="Times New Roman" w:eastAsia="Times New Roman" w:hAnsi="Times New Roman" w:cs="Times New Roman"/>
          <w:color w:val="000000" w:themeColor="text1"/>
          <w:kern w:val="0"/>
          <w14:ligatures w14:val="none"/>
        </w:rPr>
        <w:t>Fischer and colleagues</w:t>
      </w:r>
      <w:r>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 therefore, in judgments of increasing trends, graphs with fewer points might be slower than those with more </w:t>
      </w:r>
      <w:r>
        <w:rPr>
          <w:rFonts w:ascii="Times New Roman" w:eastAsia="Times New Roman" w:hAnsi="Times New Roman" w:cs="Times New Roman"/>
          <w:color w:val="000000" w:themeColor="text1"/>
          <w:kern w:val="0"/>
          <w14:ligatures w14:val="none"/>
        </w:rPr>
        <w:lastRenderedPageBreak/>
        <w:t>points, and in judgments of decreasing trends, those with more points might be slower than those with fewer points. That is, if the perception of trend draws on these areas designated to math, it might be the case that facilitation and interference effects occur. To test for these, we will compare the accuracy and reaction time for congruent combinations of trend and quantity (increasing trend with many dots and decreasing trend with few dots) with those for incongruent combinations.</w:t>
      </w:r>
    </w:p>
    <w:sectPr w:rsidR="002469FE" w:rsidRPr="006F1E4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k Robert Tarantino" w:date="2026-03-21T03:05:00Z" w:initials="NRT">
    <w:p w14:paraId="3986B0BE" w14:textId="77777777" w:rsidR="002469FE" w:rsidRDefault="002469FE" w:rsidP="00E834DC">
      <w:r>
        <w:rPr>
          <w:rStyle w:val="CommentReference"/>
        </w:rPr>
        <w:annotationRef/>
      </w:r>
      <w:r>
        <w:rPr>
          <w:sz w:val="20"/>
          <w:szCs w:val="20"/>
        </w:rPr>
        <w:t xml:space="preserve">It is arguable whether this is the case with the data now indicating that trend may be more salient than number even at very low t values. If trend was ascertained through some mathematical computations than seemingly numerosity would be judged more automatically at those difficult slopes.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86B0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665F71" w16cex:dateUtc="2026-03-21T0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86B0BE" w16cid:durableId="39665F7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550CE"/>
    <w:multiLevelType w:val="hybridMultilevel"/>
    <w:tmpl w:val="51080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47975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k Robert Tarantino">
    <w15:presenceInfo w15:providerId="AD" w15:userId="S::nrtarantino@wisc.edu::3fb99638-8d59-4d18-8a78-7187f3a513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7B9"/>
    <w:rsid w:val="000707B9"/>
    <w:rsid w:val="002469FE"/>
    <w:rsid w:val="002A27C4"/>
    <w:rsid w:val="005635B3"/>
    <w:rsid w:val="006F1E49"/>
    <w:rsid w:val="00A1597F"/>
    <w:rsid w:val="00E84A0E"/>
    <w:rsid w:val="00F50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175720"/>
  <w15:chartTrackingRefBased/>
  <w15:docId w15:val="{A73876FA-E84A-0F42-BF40-1A377F781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07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7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7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7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7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7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7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7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7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7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7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7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7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7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7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7B9"/>
    <w:rPr>
      <w:rFonts w:eastAsiaTheme="majorEastAsia" w:cstheme="majorBidi"/>
      <w:color w:val="272727" w:themeColor="text1" w:themeTint="D8"/>
    </w:rPr>
  </w:style>
  <w:style w:type="paragraph" w:styleId="Title">
    <w:name w:val="Title"/>
    <w:basedOn w:val="Normal"/>
    <w:next w:val="Normal"/>
    <w:link w:val="TitleChar"/>
    <w:uiPriority w:val="10"/>
    <w:qFormat/>
    <w:rsid w:val="00070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7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7B9"/>
    <w:pPr>
      <w:spacing w:before="160"/>
      <w:jc w:val="center"/>
    </w:pPr>
    <w:rPr>
      <w:i/>
      <w:iCs/>
      <w:color w:val="404040" w:themeColor="text1" w:themeTint="BF"/>
    </w:rPr>
  </w:style>
  <w:style w:type="character" w:customStyle="1" w:styleId="QuoteChar">
    <w:name w:val="Quote Char"/>
    <w:basedOn w:val="DefaultParagraphFont"/>
    <w:link w:val="Quote"/>
    <w:uiPriority w:val="29"/>
    <w:rsid w:val="000707B9"/>
    <w:rPr>
      <w:i/>
      <w:iCs/>
      <w:color w:val="404040" w:themeColor="text1" w:themeTint="BF"/>
    </w:rPr>
  </w:style>
  <w:style w:type="paragraph" w:styleId="ListParagraph">
    <w:name w:val="List Paragraph"/>
    <w:basedOn w:val="Normal"/>
    <w:uiPriority w:val="34"/>
    <w:qFormat/>
    <w:rsid w:val="000707B9"/>
    <w:pPr>
      <w:ind w:left="720"/>
      <w:contextualSpacing/>
    </w:pPr>
  </w:style>
  <w:style w:type="character" w:styleId="IntenseEmphasis">
    <w:name w:val="Intense Emphasis"/>
    <w:basedOn w:val="DefaultParagraphFont"/>
    <w:uiPriority w:val="21"/>
    <w:qFormat/>
    <w:rsid w:val="000707B9"/>
    <w:rPr>
      <w:i/>
      <w:iCs/>
      <w:color w:val="0F4761" w:themeColor="accent1" w:themeShade="BF"/>
    </w:rPr>
  </w:style>
  <w:style w:type="paragraph" w:styleId="IntenseQuote">
    <w:name w:val="Intense Quote"/>
    <w:basedOn w:val="Normal"/>
    <w:next w:val="Normal"/>
    <w:link w:val="IntenseQuoteChar"/>
    <w:uiPriority w:val="30"/>
    <w:qFormat/>
    <w:rsid w:val="000707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7B9"/>
    <w:rPr>
      <w:i/>
      <w:iCs/>
      <w:color w:val="0F4761" w:themeColor="accent1" w:themeShade="BF"/>
    </w:rPr>
  </w:style>
  <w:style w:type="character" w:styleId="IntenseReference">
    <w:name w:val="Intense Reference"/>
    <w:basedOn w:val="DefaultParagraphFont"/>
    <w:uiPriority w:val="32"/>
    <w:qFormat/>
    <w:rsid w:val="000707B9"/>
    <w:rPr>
      <w:b/>
      <w:bCs/>
      <w:smallCaps/>
      <w:color w:val="0F4761" w:themeColor="accent1" w:themeShade="BF"/>
      <w:spacing w:val="5"/>
    </w:rPr>
  </w:style>
  <w:style w:type="character" w:styleId="CommentReference">
    <w:name w:val="annotation reference"/>
    <w:basedOn w:val="DefaultParagraphFont"/>
    <w:uiPriority w:val="99"/>
    <w:semiHidden/>
    <w:unhideWhenUsed/>
    <w:rsid w:val="002469FE"/>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549</Words>
  <Characters>2986</Characters>
  <Application>Microsoft Office Word</Application>
  <DocSecurity>0</DocSecurity>
  <Lines>45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Robert Tarantino</dc:creator>
  <cp:keywords/>
  <dc:description/>
  <cp:lastModifiedBy>Nick Robert Tarantino</cp:lastModifiedBy>
  <cp:revision>5</cp:revision>
  <dcterms:created xsi:type="dcterms:W3CDTF">2026-03-21T07:49:00Z</dcterms:created>
  <dcterms:modified xsi:type="dcterms:W3CDTF">2026-03-21T18:52:00Z</dcterms:modified>
</cp:coreProperties>
</file>