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60453" w14:textId="29C053AB" w:rsidR="0034198B" w:rsidRDefault="0034198B" w:rsidP="005256A8">
      <w:pPr>
        <w:spacing w:line="480" w:lineRule="auto"/>
        <w:ind w:firstLine="720"/>
      </w:pPr>
      <w:r>
        <w:rPr>
          <w:color w:val="000000"/>
          <w:highlight w:val="white"/>
        </w:rPr>
        <w:t>Researchers, professionals, consumers, and students alike regularly interpret information from graphically presented data. Graphs (e.g., scatter plots) have become ubiquitous in the last century for representing quantitative relations. Such visual representations are useful for these purposes because they allow one to make sense of patterns in large amounts of data. This use of graphs—to communicate material empirical information—is, however, a very recent phenomenon; the utility of visual mathematical figures as abstract tools for thinking was realized far earlier in history. The earliest mathematics consisted of tallies and characters used for arithmetic, but when the Greeks needed a way to measure their land, which required considering two spatial dimensions, they invented geometry, a diagrammatic rather than notational representation (Burton, 2011). The progenitor to modern graphical figures had a similar origin: algebra could be used to solve for fixed unknowns, but not until Descartes’ proto-coordinate grid were these variables conceived of as arbitrarily varying continua with intelligible relations, the principles which laid the foundation for modern mathematics. </w:t>
      </w:r>
    </w:p>
    <w:p w14:paraId="4520AB09" w14:textId="2CA54692" w:rsidR="0034198B" w:rsidRDefault="0034198B" w:rsidP="0034198B">
      <w:pPr>
        <w:spacing w:line="480" w:lineRule="auto"/>
        <w:ind w:firstLine="720"/>
      </w:pPr>
      <w:r>
        <w:rPr>
          <w:color w:val="000000"/>
          <w:highlight w:val="white"/>
        </w:rPr>
        <w:t>Such figures—whether geometric or graphical—are evidently crucial for</w:t>
      </w:r>
      <w:r w:rsidR="00283DDC">
        <w:rPr>
          <w:color w:val="000000"/>
          <w:highlight w:val="white"/>
        </w:rPr>
        <w:t xml:space="preserve"> </w:t>
      </w:r>
      <w:r>
        <w:rPr>
          <w:color w:val="000000"/>
          <w:highlight w:val="white"/>
        </w:rPr>
        <w:t xml:space="preserve">mathematical thinking. One reason is that their features are basic, being built from elementary perceptual non-symbolic magnitudes such as lengths and areas (Cleveland and McGill, 1984). This information can be perceived without the need for discrete recognition of symbols, thus reducing cognitive load and requiring little knowledge. Indeed, 2-dimensional figures allow young children to represent complex patterns they </w:t>
      </w:r>
      <w:r w:rsidR="00371B4E">
        <w:rPr>
          <w:color w:val="000000"/>
          <w:highlight w:val="white"/>
        </w:rPr>
        <w:t xml:space="preserve">might </w:t>
      </w:r>
      <w:r>
        <w:rPr>
          <w:color w:val="000000"/>
          <w:highlight w:val="white"/>
        </w:rPr>
        <w:t>otherwise not appreciate in a discrete format (</w:t>
      </w:r>
      <w:proofErr w:type="spellStart"/>
      <w:r>
        <w:rPr>
          <w:color w:val="000000"/>
          <w:highlight w:val="white"/>
        </w:rPr>
        <w:t>Ciccione</w:t>
      </w:r>
      <w:proofErr w:type="spellEnd"/>
      <w:r>
        <w:rPr>
          <w:color w:val="000000"/>
          <w:highlight w:val="white"/>
        </w:rPr>
        <w:t xml:space="preserve"> et al., 2026), and people without formal mathematics education, as well as non-human primates, can judge trends in noisy scatter plots (</w:t>
      </w:r>
      <w:proofErr w:type="spellStart"/>
      <w:r>
        <w:rPr>
          <w:color w:val="000000"/>
          <w:highlight w:val="white"/>
        </w:rPr>
        <w:t>Ciccione</w:t>
      </w:r>
      <w:proofErr w:type="spellEnd"/>
      <w:r>
        <w:rPr>
          <w:color w:val="000000"/>
          <w:highlight w:val="white"/>
        </w:rPr>
        <w:t xml:space="preserve"> et al., 2023; 2025). The fact that graphical figures are intuitive, because they convey information spatially, yet they also facilitate complex </w:t>
      </w:r>
      <w:r>
        <w:rPr>
          <w:color w:val="000000"/>
          <w:highlight w:val="white"/>
        </w:rPr>
        <w:lastRenderedPageBreak/>
        <w:t>mathematical thinking, seems paradoxical, but theories in cognitive psychology can offer an explanation.</w:t>
      </w:r>
    </w:p>
    <w:p w14:paraId="114E4BAB" w14:textId="6C520277" w:rsidR="0034198B" w:rsidRDefault="0034198B" w:rsidP="0034198B">
      <w:pPr>
        <w:spacing w:line="480" w:lineRule="auto"/>
        <w:ind w:firstLine="720"/>
      </w:pPr>
      <w:r>
        <w:rPr>
          <w:color w:val="000000"/>
          <w:highlight w:val="white"/>
        </w:rPr>
        <w:t>Many theories of cognition propose that even complex concepts are embodied in space and based in sensorimotor experience (Barsalou, 2008; Lakoff &amp; Johnson, 1980; Lakoff &amp; Núñez, 2000), and that the higher cognition needed to conceive of these complex ideas is based on “core knowledge” that is present very early in development (</w:t>
      </w:r>
      <w:proofErr w:type="spellStart"/>
      <w:r>
        <w:rPr>
          <w:color w:val="000000"/>
          <w:highlight w:val="white"/>
        </w:rPr>
        <w:t>Spelke</w:t>
      </w:r>
      <w:proofErr w:type="spellEnd"/>
      <w:r>
        <w:rPr>
          <w:color w:val="000000"/>
          <w:highlight w:val="white"/>
        </w:rPr>
        <w:t xml:space="preserve"> &amp; Kinzler, 2006; Carey &amp; </w:t>
      </w:r>
      <w:proofErr w:type="spellStart"/>
      <w:r>
        <w:rPr>
          <w:color w:val="000000"/>
          <w:highlight w:val="white"/>
        </w:rPr>
        <w:t>Spelke</w:t>
      </w:r>
      <w:proofErr w:type="spellEnd"/>
      <w:r>
        <w:rPr>
          <w:color w:val="000000"/>
          <w:highlight w:val="white"/>
        </w:rPr>
        <w:t>, 1994). The goal of this</w:t>
      </w:r>
      <w:r w:rsidR="00371B4E">
        <w:rPr>
          <w:color w:val="000000"/>
          <w:highlight w:val="white"/>
        </w:rPr>
        <w:t xml:space="preserve"> study</w:t>
      </w:r>
      <w:r>
        <w:rPr>
          <w:color w:val="000000"/>
          <w:highlight w:val="white"/>
        </w:rPr>
        <w:t xml:space="preserve"> is to investigate how the basic ability to judge spatial</w:t>
      </w:r>
      <w:r w:rsidR="00371B4E">
        <w:rPr>
          <w:color w:val="000000"/>
          <w:highlight w:val="white"/>
        </w:rPr>
        <w:t xml:space="preserve"> relations in </w:t>
      </w:r>
      <w:r>
        <w:rPr>
          <w:color w:val="000000"/>
          <w:highlight w:val="white"/>
        </w:rPr>
        <w:t>simple 2-dimensional figures could be a core building block on which more complicated reasoning about quantitative relations is based.</w:t>
      </w:r>
    </w:p>
    <w:p w14:paraId="03B998F8" w14:textId="77777777" w:rsidR="0034198B" w:rsidRDefault="0034198B" w:rsidP="0034198B">
      <w:pPr>
        <w:spacing w:line="480" w:lineRule="auto"/>
      </w:pPr>
      <w:r>
        <w:rPr>
          <w:b/>
          <w:bCs/>
          <w:color w:val="000000"/>
          <w:highlight w:val="white"/>
        </w:rPr>
        <w:t>The ANS as a Perceptual Building Block for Mathematics</w:t>
      </w:r>
    </w:p>
    <w:p w14:paraId="022E1E44" w14:textId="77777777" w:rsidR="0034198B" w:rsidRDefault="0034198B" w:rsidP="0034198B">
      <w:pPr>
        <w:spacing w:line="480" w:lineRule="auto"/>
        <w:ind w:firstLine="720"/>
      </w:pPr>
      <w:r>
        <w:rPr>
          <w:color w:val="000000"/>
          <w:highlight w:val="white"/>
        </w:rPr>
        <w:t xml:space="preserve">Much research has aimed to advance a similar hypothesis in numerical cognition, specifically the idea that humans have a primitive approximate number system that allows us to roughly ascertain quantities in the world and on which we base counting, arithmetic, and other mathematical capacities (Dehaene, 1997; </w:t>
      </w:r>
      <w:proofErr w:type="spellStart"/>
      <w:r>
        <w:rPr>
          <w:color w:val="000000"/>
          <w:highlight w:val="white"/>
        </w:rPr>
        <w:t>Feigenson</w:t>
      </w:r>
      <w:proofErr w:type="spellEnd"/>
      <w:r>
        <w:rPr>
          <w:color w:val="000000"/>
          <w:highlight w:val="white"/>
        </w:rPr>
        <w:t xml:space="preserve"> et al., 2004). Humans from a very early age and non-human primates display consistent sensitivity to the numerosity of a set of objects, a capacity based on what is called the approximate number system (ANS; Xu and </w:t>
      </w:r>
      <w:proofErr w:type="spellStart"/>
      <w:r>
        <w:rPr>
          <w:color w:val="000000"/>
          <w:highlight w:val="white"/>
        </w:rPr>
        <w:t>Spelke</w:t>
      </w:r>
      <w:proofErr w:type="spellEnd"/>
      <w:r>
        <w:rPr>
          <w:color w:val="000000"/>
          <w:highlight w:val="white"/>
        </w:rPr>
        <w:t>, 2000; Neider &amp; Miller, 2004). Some even argue that number is uniquely salient and might have an evolutionary basis in primates and other animals (Neider, 2025).</w:t>
      </w:r>
    </w:p>
    <w:p w14:paraId="3E4BC4B6" w14:textId="5B910B21" w:rsidR="0034198B" w:rsidRDefault="0034198B" w:rsidP="0034198B">
      <w:pPr>
        <w:spacing w:line="480" w:lineRule="auto"/>
        <w:ind w:firstLine="720"/>
      </w:pPr>
      <w:r>
        <w:rPr>
          <w:color w:val="000000"/>
          <w:highlight w:val="white"/>
        </w:rPr>
        <w:t>Despite the simplicity of this ability, many argue that it underpins humans' symbolic number system, which allows us to precisely quantify and manipulate numerical magnitudes and to engage in more complex mathematics. Much research has found a correlation between the ability to approximate non-symbolic numerical magnitudes and achievement in formal mathematics education while controlling for other indicators of general intelligence (</w:t>
      </w:r>
      <w:proofErr w:type="spellStart"/>
      <w:r>
        <w:rPr>
          <w:color w:val="000000"/>
          <w:highlight w:val="white"/>
        </w:rPr>
        <w:t>Halberda</w:t>
      </w:r>
      <w:proofErr w:type="spellEnd"/>
      <w:r>
        <w:rPr>
          <w:color w:val="000000"/>
          <w:highlight w:val="white"/>
        </w:rPr>
        <w:t xml:space="preserve"> et </w:t>
      </w:r>
      <w:r>
        <w:rPr>
          <w:color w:val="000000"/>
          <w:highlight w:val="white"/>
        </w:rPr>
        <w:lastRenderedPageBreak/>
        <w:t xml:space="preserve">al., 2008; Starr et al., 2013; Schneider et al., 2016). Moreover, there is evidence that non-symbolic numbers—that which is the subject of study in such tasks—and symbolic numbers share a neural representation (Piazza et al., 2007). </w:t>
      </w:r>
    </w:p>
    <w:p w14:paraId="7BC641D3" w14:textId="77777777" w:rsidR="0034198B" w:rsidRDefault="0034198B" w:rsidP="0034198B">
      <w:pPr>
        <w:spacing w:line="480" w:lineRule="auto"/>
        <w:ind w:firstLine="720"/>
      </w:pPr>
      <w:r>
        <w:rPr>
          <w:color w:val="000000"/>
          <w:highlight w:val="white"/>
        </w:rPr>
        <w:t>Beyond symbolic numbers, the ANS can also support more complex operations, such as basic arithmetic (Wynn, 1992) and the representation of ordinal relationships (Brannon, 2002; de Hevia et al., 2017). In addition, the same brain area that supports non-symbolic number (the intra-parietal sulcus) is activated in expert mathematicians evaluating the veracity of mathematical propositions (Amalric &amp; Dehaene, 2016). Evidently, the ANS is involved in higher-level mathematical thinking, but notably, this relation is bidirectional. Experience in math education improves the acuity of the ANS (Piazza et al., 2013) and increases the salience of non-symbolic numerical magnitude (Ferrigno et al., 2017). Thus, humans have a core ability to judge number, which serves as one basis for higher mathematical thinking. </w:t>
      </w:r>
    </w:p>
    <w:p w14:paraId="7FD825F9" w14:textId="77777777" w:rsidR="0034198B" w:rsidRDefault="0034198B" w:rsidP="0034198B">
      <w:pPr>
        <w:spacing w:line="480" w:lineRule="auto"/>
      </w:pPr>
      <w:r>
        <w:rPr>
          <w:b/>
          <w:bCs/>
          <w:color w:val="000000"/>
          <w:highlight w:val="white"/>
        </w:rPr>
        <w:t>Trend Judgment as A Perceptual Building Block</w:t>
      </w:r>
    </w:p>
    <w:p w14:paraId="2235B812" w14:textId="77777777" w:rsidR="0034198B" w:rsidRDefault="0034198B" w:rsidP="0034198B">
      <w:pPr>
        <w:spacing w:line="480" w:lineRule="auto"/>
      </w:pPr>
      <w:r>
        <w:rPr>
          <w:color w:val="000000"/>
          <w:highlight w:val="white"/>
        </w:rPr>
        <w:t>        </w:t>
      </w:r>
      <w:r>
        <w:rPr>
          <w:color w:val="000000"/>
          <w:highlight w:val="white"/>
        </w:rPr>
        <w:tab/>
        <w:t xml:space="preserve">How does trend judgment compare as a possible basic building block for understanding mathematical relations? There has also been research, albeit less than for the ANS, seeking to answer this question. </w:t>
      </w:r>
      <w:proofErr w:type="spellStart"/>
      <w:r>
        <w:rPr>
          <w:color w:val="000000"/>
          <w:highlight w:val="white"/>
        </w:rPr>
        <w:t>Ciccione</w:t>
      </w:r>
      <w:proofErr w:type="spellEnd"/>
      <w:r>
        <w:rPr>
          <w:color w:val="000000"/>
          <w:highlight w:val="white"/>
        </w:rPr>
        <w:t xml:space="preserve"> and colleagues make a similar argument to that for the ANS and mathematics that the ability to judge trends in graphs is (1) built on a basic perceptual ability of primates and (2) supports Western humans’ perception and comprehension of graphs.</w:t>
      </w:r>
    </w:p>
    <w:p w14:paraId="01E352B3" w14:textId="77777777" w:rsidR="0034198B" w:rsidRDefault="0034198B" w:rsidP="0034198B">
      <w:pPr>
        <w:spacing w:line="480" w:lineRule="auto"/>
      </w:pPr>
      <w:r>
        <w:rPr>
          <w:color w:val="000000"/>
          <w:highlight w:val="white"/>
        </w:rPr>
        <w:t>        </w:t>
      </w:r>
      <w:r>
        <w:rPr>
          <w:color w:val="000000"/>
          <w:highlight w:val="white"/>
        </w:rPr>
        <w:tab/>
        <w:t>They cite as evidence for the first claim the fact that young children, adults with no formal mathematics education, and non-human primates are proficient at a trend judgment task (</w:t>
      </w:r>
      <w:proofErr w:type="spellStart"/>
      <w:r>
        <w:rPr>
          <w:color w:val="000000"/>
          <w:highlight w:val="white"/>
        </w:rPr>
        <w:t>Ciccione</w:t>
      </w:r>
      <w:proofErr w:type="spellEnd"/>
      <w:r>
        <w:rPr>
          <w:color w:val="000000"/>
          <w:highlight w:val="white"/>
        </w:rPr>
        <w:t xml:space="preserve"> et al., 2023; 2025). This task, which is very similar to those discussed hereafter, required participants to view a noisy set of data points in a scatter plot and, using key presses, report whether the dataset's trend was increasing or decreasing (</w:t>
      </w:r>
      <w:proofErr w:type="spellStart"/>
      <w:r>
        <w:rPr>
          <w:color w:val="000000"/>
          <w:highlight w:val="white"/>
        </w:rPr>
        <w:t>Ciccione</w:t>
      </w:r>
      <w:proofErr w:type="spellEnd"/>
      <w:r>
        <w:rPr>
          <w:color w:val="000000"/>
          <w:highlight w:val="white"/>
        </w:rPr>
        <w:t xml:space="preserve"> et al., 2021). The </w:t>
      </w:r>
      <w:r>
        <w:rPr>
          <w:color w:val="000000"/>
          <w:highlight w:val="white"/>
        </w:rPr>
        <w:lastRenderedPageBreak/>
        <w:t>researchers argued that this ability to judge relations in data presented in a 2-dimensional format relies on a more basic capacity to judge the orientation of objects. They provided further support for this claim with a neuroimaging study in which this trend judgment task activated areas localized in an object orientation judgment task (</w:t>
      </w:r>
      <w:proofErr w:type="spellStart"/>
      <w:r>
        <w:rPr>
          <w:color w:val="000000"/>
          <w:highlight w:val="white"/>
        </w:rPr>
        <w:t>Ciccione</w:t>
      </w:r>
      <w:proofErr w:type="spellEnd"/>
      <w:r>
        <w:rPr>
          <w:color w:val="000000"/>
          <w:highlight w:val="white"/>
        </w:rPr>
        <w:t xml:space="preserve"> &amp; Dehaene, 2026). Based on these findings, they argued that this ability to perceive quantitative or spatial relations in 2-dimensional figures is very basic, akin to the ANS.</w:t>
      </w:r>
    </w:p>
    <w:p w14:paraId="08E84D6F" w14:textId="7C9592E7" w:rsidR="0034198B" w:rsidRDefault="0034198B" w:rsidP="0034198B">
      <w:pPr>
        <w:spacing w:line="480" w:lineRule="auto"/>
      </w:pPr>
      <w:r>
        <w:rPr>
          <w:color w:val="000000"/>
          <w:highlight w:val="white"/>
        </w:rPr>
        <w:t>        </w:t>
      </w:r>
      <w:r>
        <w:rPr>
          <w:color w:val="000000"/>
          <w:highlight w:val="white"/>
        </w:rPr>
        <w:tab/>
        <w:t>On the second claim, that this ability is a building block for more advanced reasoning with graphs, they cite as evidence the fact that participants’ performance on the trend judgment task (as measured by their sensitivity to the t-test of the data in the stimulus) correlated with their discipline of study (</w:t>
      </w:r>
      <w:proofErr w:type="spellStart"/>
      <w:r>
        <w:rPr>
          <w:color w:val="000000"/>
          <w:highlight w:val="white"/>
        </w:rPr>
        <w:t>Ciccione</w:t>
      </w:r>
      <w:proofErr w:type="spellEnd"/>
      <w:r>
        <w:rPr>
          <w:color w:val="000000"/>
          <w:highlight w:val="white"/>
        </w:rPr>
        <w:t xml:space="preserve"> et al., 2023)</w:t>
      </w:r>
      <w:r w:rsidR="00283DDC">
        <w:rPr>
          <w:color w:val="000000"/>
          <w:highlight w:val="white"/>
        </w:rPr>
        <w:t xml:space="preserve">. </w:t>
      </w:r>
      <w:r>
        <w:rPr>
          <w:color w:val="000000"/>
          <w:highlight w:val="white"/>
        </w:rPr>
        <w:t xml:space="preserve">This evidence is less definitive than that for their first claim. This is because general spatial intelligence could explain correlations between performance on trend judgment and discipline of study, as people with more math experience tend to have stronger visuospatial skills. Indeed, among the limited literature investigating the relationship between graphical and mathematical abilities, Ludewig et al. (2019) found that general cognitive ability, rather than components of mathematical ability, best predicted performance on graphical tasks. In addition, </w:t>
      </w:r>
      <w:proofErr w:type="spellStart"/>
      <w:r>
        <w:rPr>
          <w:color w:val="000000"/>
          <w:highlight w:val="white"/>
        </w:rPr>
        <w:t>Ciccione</w:t>
      </w:r>
      <w:proofErr w:type="spellEnd"/>
      <w:r>
        <w:rPr>
          <w:color w:val="000000"/>
          <w:highlight w:val="white"/>
        </w:rPr>
        <w:t xml:space="preserve"> and colleagues’ findings already indicate that the task can be performed without engaging any quantitative knowledge; therefore, the presumption that participants with more of such knowledge are using it and, as a result, performing better on the task requires scrutiny.</w:t>
      </w:r>
    </w:p>
    <w:p w14:paraId="52EF5BD7" w14:textId="5B053B96" w:rsidR="0034198B" w:rsidRDefault="0034198B" w:rsidP="0034198B">
      <w:pPr>
        <w:spacing w:line="480" w:lineRule="auto"/>
        <w:ind w:firstLine="720"/>
        <w:rPr>
          <w:color w:val="000000"/>
        </w:rPr>
      </w:pPr>
      <w:r>
        <w:rPr>
          <w:color w:val="000000"/>
          <w:highlight w:val="white"/>
        </w:rPr>
        <w:t xml:space="preserve">Evidence is thus lacking for the claim that judgment of spatial relations in figures can serve as a foundation for more complex thinking about graphs or quantitative relations. Another sort of evidence that can indicate underlying representations that are not obvious at face value is behavioral biases. For example, that people's judgments of the font size of numerical digits </w:t>
      </w:r>
      <w:proofErr w:type="gramStart"/>
      <w:r>
        <w:rPr>
          <w:color w:val="000000"/>
          <w:highlight w:val="white"/>
        </w:rPr>
        <w:t>is</w:t>
      </w:r>
      <w:proofErr w:type="gramEnd"/>
      <w:r>
        <w:rPr>
          <w:color w:val="000000"/>
          <w:highlight w:val="white"/>
        </w:rPr>
        <w:t xml:space="preserve"> </w:t>
      </w:r>
      <w:r>
        <w:rPr>
          <w:color w:val="000000"/>
          <w:highlight w:val="white"/>
        </w:rPr>
        <w:lastRenderedPageBreak/>
        <w:t xml:space="preserve">influenced by the numerical magnitude of those digits indicates that numerical magnitude is perceived and mentally represented in the task, and that the representations of physical and numerical size are in some way related (Henik &amp; </w:t>
      </w:r>
      <w:proofErr w:type="spellStart"/>
      <w:r>
        <w:rPr>
          <w:color w:val="000000"/>
          <w:highlight w:val="white"/>
        </w:rPr>
        <w:t>Tzelgov</w:t>
      </w:r>
      <w:proofErr w:type="spellEnd"/>
      <w:r>
        <w:rPr>
          <w:color w:val="000000"/>
          <w:highlight w:val="white"/>
        </w:rPr>
        <w:t>, 1982). If the judgment of trend in graphical representations was indeed affected by the knowledge of the higher concepts the figures are meant to instantiate, this would provide valuable evidence for the claim that such perception serves as a basis for that knowledge, analogous to that which shows that formal mathematics education influences the ANS (Piazza et al., 2013; Ferrigno et al., 2017).</w:t>
      </w:r>
      <w:r>
        <w:rPr>
          <w:color w:val="000000"/>
        </w:rPr>
        <w:t xml:space="preserve"> </w:t>
      </w:r>
    </w:p>
    <w:p w14:paraId="19A673E6" w14:textId="3BE20327" w:rsidR="00283DDC" w:rsidRDefault="0034198B" w:rsidP="00283DDC">
      <w:pPr>
        <w:spacing w:line="480" w:lineRule="auto"/>
        <w:ind w:firstLine="720"/>
        <w:rPr>
          <w:color w:val="000000"/>
        </w:rPr>
      </w:pPr>
      <w:r>
        <w:rPr>
          <w:color w:val="000000"/>
        </w:rPr>
        <w:t xml:space="preserve">Parrott et al. (2014) and a replication of that study by the authors (Tarantino &amp; Alibali, in progress) lend evidence to the possibility that trend judgment evokes abstract associations of the relations being judged. Both studies found that, when participants searched for </w:t>
      </w:r>
      <w:r w:rsidR="00283DDC">
        <w:rPr>
          <w:color w:val="000000"/>
        </w:rPr>
        <w:t xml:space="preserve">graphs with </w:t>
      </w:r>
      <w:proofErr w:type="gramStart"/>
      <w:r w:rsidR="00283DDC">
        <w:rPr>
          <w:color w:val="000000"/>
        </w:rPr>
        <w:t>particular trend</w:t>
      </w:r>
      <w:proofErr w:type="gramEnd"/>
      <w:r>
        <w:rPr>
          <w:color w:val="000000"/>
        </w:rPr>
        <w:t xml:space="preserve"> directions that appeared in different portions of the screen,</w:t>
      </w:r>
      <w:r w:rsidR="00283DDC">
        <w:rPr>
          <w:color w:val="000000"/>
        </w:rPr>
        <w:t xml:space="preserve"> </w:t>
      </w:r>
      <w:r>
        <w:rPr>
          <w:color w:val="000000"/>
        </w:rPr>
        <w:t>they were faster to detect trends in congruent locations: increasing trends in the upper and right parts of the screen and decreasing trends in the lower and left. The</w:t>
      </w:r>
      <w:r w:rsidR="004F4A1F">
        <w:rPr>
          <w:color w:val="000000"/>
        </w:rPr>
        <w:t xml:space="preserve"> latter study</w:t>
      </w:r>
      <w:r>
        <w:rPr>
          <w:color w:val="000000"/>
        </w:rPr>
        <w:t xml:space="preserve"> found that the extent to which participants exhibited these biases depended on their level of math education, indicating the bias might have a conceptual basis.</w:t>
      </w:r>
      <w:r w:rsidR="00283DDC">
        <w:rPr>
          <w:color w:val="000000"/>
        </w:rPr>
        <w:t xml:space="preserve"> This congruency</w:t>
      </w:r>
      <w:r w:rsidR="004F4A1F">
        <w:rPr>
          <w:color w:val="000000"/>
        </w:rPr>
        <w:t>, therefore,</w:t>
      </w:r>
      <w:r w:rsidR="00283DDC">
        <w:rPr>
          <w:color w:val="000000"/>
        </w:rPr>
        <w:t xml:space="preserve"> reflects abstract associations with trend directions and space, like those with numbers and space in the numerical Stroop task, evincing a representation of the abstract concept in the task.</w:t>
      </w:r>
    </w:p>
    <w:p w14:paraId="2C9868AD" w14:textId="67236413" w:rsidR="00F05286" w:rsidRDefault="0034198B" w:rsidP="00283DDC">
      <w:pPr>
        <w:spacing w:line="480" w:lineRule="auto"/>
        <w:ind w:firstLine="720"/>
        <w:rPr>
          <w:color w:val="000000"/>
        </w:rPr>
      </w:pPr>
      <w:r>
        <w:rPr>
          <w:color w:val="000000"/>
        </w:rPr>
        <w:t xml:space="preserve">Despite this, there are limitations to this evidence as it regards the argument put forth here. </w:t>
      </w:r>
      <w:proofErr w:type="gramStart"/>
      <w:r>
        <w:rPr>
          <w:color w:val="000000"/>
        </w:rPr>
        <w:t>First of all</w:t>
      </w:r>
      <w:proofErr w:type="gramEnd"/>
      <w:r>
        <w:rPr>
          <w:color w:val="000000"/>
        </w:rPr>
        <w:t xml:space="preserve">, the task utilized graphs that contained semantic information indicating their graphical nature, including axes and language describing them as graphs. Thus, it is not possible to ascertain if the effect arises from the act of merely perceiving these spatial relations or if the semantic information of increasing and decreasing graphs gives rise to the effect. </w:t>
      </w:r>
      <w:r w:rsidR="00371B4E">
        <w:rPr>
          <w:color w:val="000000"/>
        </w:rPr>
        <w:t xml:space="preserve">Second, unlike Arabic numerals in the classic SNARC study by Dehaene et al. (1993) or those in the numerical </w:t>
      </w:r>
      <w:r w:rsidR="00371B4E">
        <w:rPr>
          <w:color w:val="000000"/>
        </w:rPr>
        <w:lastRenderedPageBreak/>
        <w:t xml:space="preserve">Stroop task (Henik &amp; </w:t>
      </w:r>
      <w:proofErr w:type="spellStart"/>
      <w:r w:rsidR="00371B4E">
        <w:rPr>
          <w:color w:val="000000"/>
        </w:rPr>
        <w:t>Tzelgov</w:t>
      </w:r>
      <w:proofErr w:type="spellEnd"/>
      <w:r w:rsidR="00371B4E">
        <w:rPr>
          <w:color w:val="000000"/>
        </w:rPr>
        <w:t xml:space="preserve">, 1986), which have no iconicity, graphs are iconic and have spatial features confounded with the judgment being made; thus, spatial biases are less clearly caused by irrelevant features and therefore constrain interpretations about the processing they reveal. </w:t>
      </w:r>
      <w:r w:rsidR="00F05286">
        <w:rPr>
          <w:color w:val="000000"/>
        </w:rPr>
        <w:t xml:space="preserve">In addition, these studies suggest that the spatial biases, </w:t>
      </w:r>
      <w:r w:rsidR="004F4A1F">
        <w:rPr>
          <w:color w:val="000000"/>
        </w:rPr>
        <w:t xml:space="preserve">reminiscent of SNAs, might be caused by associations between trends and numbers, and, in turn, between numbers and space, but their design precludes evaluation of this possibility. </w:t>
      </w:r>
    </w:p>
    <w:p w14:paraId="6A8EE7DE" w14:textId="5F4CED48" w:rsidR="004F4A1F" w:rsidRDefault="00F05286" w:rsidP="00F05286">
      <w:pPr>
        <w:spacing w:line="480" w:lineRule="auto"/>
        <w:ind w:firstLine="720"/>
        <w:rPr>
          <w:color w:val="000000"/>
        </w:rPr>
      </w:pPr>
      <w:r>
        <w:rPr>
          <w:color w:val="000000"/>
        </w:rPr>
        <w:t xml:space="preserve">To solve </w:t>
      </w:r>
      <w:r w:rsidR="004F4A1F">
        <w:rPr>
          <w:color w:val="000000"/>
        </w:rPr>
        <w:t xml:space="preserve">these </w:t>
      </w:r>
      <w:r>
        <w:rPr>
          <w:color w:val="000000"/>
        </w:rPr>
        <w:t>issues, we will investigate the presence of trend-number associations in simple quasi-graphical stimuli.</w:t>
      </w:r>
      <w:r w:rsidR="004F4A1F">
        <w:rPr>
          <w:color w:val="000000"/>
        </w:rPr>
        <w:t xml:space="preserve"> That is, we will investigate whether there are associations between the numerosity of an array and the trend it depicts. Varying the numerosity of the arrays, rather than their spatial positions, solves the issue arising from the confounding spatial configuration inherent in graphs. Moreover, regarding the other limitation, if trend judgment serves as a perceptual building block for quantitative relations, then it should be influenced by those abstract concepts even when it lacks semantic information pertaining to them. We will therefore use very simple dot arrays that contain no semantic or conventional graphical information. </w:t>
      </w:r>
    </w:p>
    <w:p w14:paraId="04EE12CA" w14:textId="51A4FC7E" w:rsidR="00F05286" w:rsidRDefault="004F4A1F" w:rsidP="00F05286">
      <w:pPr>
        <w:spacing w:line="480" w:lineRule="auto"/>
        <w:ind w:firstLine="720"/>
        <w:rPr>
          <w:color w:val="000000"/>
        </w:rPr>
      </w:pPr>
      <w:r>
        <w:rPr>
          <w:color w:val="000000"/>
        </w:rPr>
        <w:t xml:space="preserve">This design will also answer what past literature proposed only as a possibility: that trends in graphs are associated with </w:t>
      </w:r>
      <w:proofErr w:type="gramStart"/>
      <w:r>
        <w:rPr>
          <w:color w:val="000000"/>
        </w:rPr>
        <w:t>particular numerical</w:t>
      </w:r>
      <w:proofErr w:type="gramEnd"/>
      <w:r>
        <w:rPr>
          <w:color w:val="000000"/>
        </w:rPr>
        <w:t xml:space="preserve"> magnitudes. </w:t>
      </w:r>
      <w:r w:rsidR="00D206F1">
        <w:rPr>
          <w:color w:val="000000"/>
        </w:rPr>
        <w:t xml:space="preserve">Trend judgment might implicate numerical magnitude because </w:t>
      </w:r>
      <w:r w:rsidR="00F05286">
        <w:rPr>
          <w:color w:val="000000"/>
        </w:rPr>
        <w:t xml:space="preserve">people appear to take into account the number of data points when judging whether a noisy scatter plot is increasing or decreasing, as their performance is well described by a </w:t>
      </w:r>
      <w:r w:rsidR="00F05286">
        <w:rPr>
          <w:i/>
          <w:iCs/>
          <w:color w:val="000000"/>
        </w:rPr>
        <w:t>t</w:t>
      </w:r>
      <w:r w:rsidR="00F05286">
        <w:rPr>
          <w:color w:val="000000"/>
        </w:rPr>
        <w:t>-test of the data, which depends in part on the number of points (</w:t>
      </w:r>
      <w:proofErr w:type="spellStart"/>
      <w:r w:rsidR="00F05286">
        <w:rPr>
          <w:color w:val="000000"/>
        </w:rPr>
        <w:t>Ciccione</w:t>
      </w:r>
      <w:proofErr w:type="spellEnd"/>
      <w:r w:rsidR="00F05286">
        <w:rPr>
          <w:color w:val="000000"/>
        </w:rPr>
        <w:t xml:space="preserve"> et al., 2023). Moreover, </w:t>
      </w:r>
      <w:proofErr w:type="spellStart"/>
      <w:r w:rsidR="00F05286">
        <w:rPr>
          <w:color w:val="000000"/>
        </w:rPr>
        <w:t>Ciccione</w:t>
      </w:r>
      <w:proofErr w:type="spellEnd"/>
      <w:r w:rsidR="00F05286">
        <w:rPr>
          <w:color w:val="000000"/>
        </w:rPr>
        <w:t xml:space="preserve"> and Dehaene (2026) found that judging trends in graphs largely activated the intraparietal sulcus, an area commonly implicated in numerical </w:t>
      </w:r>
      <w:r w:rsidR="00F05286">
        <w:rPr>
          <w:color w:val="000000"/>
        </w:rPr>
        <w:lastRenderedPageBreak/>
        <w:t>judgments and other mathematical tasks, suggesting that numerical representations may be implicated in trend judgment.</w:t>
      </w:r>
    </w:p>
    <w:p w14:paraId="348DE1A9" w14:textId="0DC39B59" w:rsidR="0034198B" w:rsidRDefault="00F05286" w:rsidP="00F05286">
      <w:pPr>
        <w:spacing w:line="480" w:lineRule="auto"/>
        <w:rPr>
          <w:color w:val="000000"/>
        </w:rPr>
      </w:pPr>
      <w:r>
        <w:rPr>
          <w:color w:val="000000"/>
        </w:rPr>
        <w:tab/>
        <w:t>If participants automatically judge a scatterplot's numerosity before judging its trend, then the magnitude representation of this numerosity might interact differently with increasing versus decreasing relations</w:t>
      </w:r>
      <w:r w:rsidR="00D206F1">
        <w:rPr>
          <w:color w:val="000000"/>
        </w:rPr>
        <w:t>, just as different spatial locations appear to</w:t>
      </w:r>
      <w:r>
        <w:rPr>
          <w:color w:val="000000"/>
        </w:rPr>
        <w:t xml:space="preserve">. </w:t>
      </w:r>
      <w:r w:rsidR="00283DDC">
        <w:rPr>
          <w:color w:val="000000"/>
        </w:rPr>
        <w:t>That is, t</w:t>
      </w:r>
      <w:r>
        <w:rPr>
          <w:color w:val="000000"/>
        </w:rPr>
        <w:t xml:space="preserve">ask-irrelevant magnitude information should interfere with judgments of numerical and non-numerical magnitudes, as well as spatial directions, as these magnitudes </w:t>
      </w:r>
      <w:r w:rsidR="00283DDC">
        <w:rPr>
          <w:color w:val="000000"/>
        </w:rPr>
        <w:t>are argued to</w:t>
      </w:r>
      <w:r>
        <w:rPr>
          <w:color w:val="000000"/>
        </w:rPr>
        <w:t xml:space="preserve"> share overlapping representations (Walsh, 2003).</w:t>
      </w:r>
      <w:r w:rsidR="00D206F1">
        <w:rPr>
          <w:color w:val="000000"/>
        </w:rPr>
        <w:t xml:space="preserve"> </w:t>
      </w:r>
    </w:p>
    <w:p w14:paraId="7DFD80FE" w14:textId="686A8856" w:rsidR="00D206F1" w:rsidRDefault="00D206F1" w:rsidP="00D206F1">
      <w:pPr>
        <w:spacing w:line="480" w:lineRule="auto"/>
        <w:ind w:firstLine="720"/>
        <w:rPr>
          <w:color w:val="000000"/>
        </w:rPr>
      </w:pPr>
      <w:r>
        <w:rPr>
          <w:color w:val="000000"/>
        </w:rPr>
        <w:t>To our knowledge</w:t>
      </w:r>
      <w:r w:rsidR="00E32BDD">
        <w:rPr>
          <w:color w:val="000000"/>
        </w:rPr>
        <w:t>,</w:t>
      </w:r>
      <w:r>
        <w:rPr>
          <w:color w:val="000000"/>
        </w:rPr>
        <w:t xml:space="preserve"> no study has investigated</w:t>
      </w:r>
      <w:r w:rsidR="004F4A1F">
        <w:rPr>
          <w:color w:val="000000"/>
        </w:rPr>
        <w:t xml:space="preserve"> this proto-</w:t>
      </w:r>
      <w:r w:rsidR="00E32BDD">
        <w:rPr>
          <w:color w:val="000000"/>
        </w:rPr>
        <w:t>graphical abilit</w:t>
      </w:r>
      <w:r w:rsidR="004F4A1F">
        <w:rPr>
          <w:color w:val="000000"/>
        </w:rPr>
        <w:t>y</w:t>
      </w:r>
      <w:r w:rsidR="00E32BDD">
        <w:rPr>
          <w:color w:val="000000"/>
        </w:rPr>
        <w:t xml:space="preserve"> in such simplistic stimuli. These data will therefore allow us to understand the </w:t>
      </w:r>
      <w:r w:rsidR="004F4A1F">
        <w:rPr>
          <w:color w:val="000000"/>
        </w:rPr>
        <w:t xml:space="preserve">cognitive </w:t>
      </w:r>
      <w:r w:rsidR="00E32BDD">
        <w:rPr>
          <w:color w:val="000000"/>
        </w:rPr>
        <w:t>basis of trend judgment with</w:t>
      </w:r>
      <w:r w:rsidR="004F4A1F">
        <w:rPr>
          <w:color w:val="000000"/>
        </w:rPr>
        <w:t xml:space="preserve"> little s</w:t>
      </w:r>
      <w:r w:rsidR="00E32BDD">
        <w:rPr>
          <w:color w:val="000000"/>
        </w:rPr>
        <w:t>emantic information</w:t>
      </w:r>
      <w:r w:rsidR="004F4A1F">
        <w:rPr>
          <w:color w:val="000000"/>
        </w:rPr>
        <w:t>,</w:t>
      </w:r>
      <w:r w:rsidR="00F95A0F">
        <w:rPr>
          <w:color w:val="000000"/>
        </w:rPr>
        <w:t xml:space="preserve"> specifically</w:t>
      </w:r>
      <w:r w:rsidR="004F4A1F">
        <w:rPr>
          <w:color w:val="000000"/>
        </w:rPr>
        <w:t xml:space="preserve"> whether it implicates a representation of numerical magnitude. </w:t>
      </w:r>
    </w:p>
    <w:p w14:paraId="245DE984" w14:textId="31406A06" w:rsidR="00E32BDD" w:rsidRDefault="0085288A" w:rsidP="00E32BDD">
      <w:pPr>
        <w:spacing w:line="480" w:lineRule="auto"/>
        <w:rPr>
          <w:b/>
          <w:bCs/>
        </w:rPr>
      </w:pPr>
      <w:r>
        <w:rPr>
          <w:b/>
          <w:bCs/>
        </w:rPr>
        <w:t xml:space="preserve">Study </w:t>
      </w:r>
      <w:r w:rsidR="00E32BDD">
        <w:rPr>
          <w:b/>
          <w:bCs/>
        </w:rPr>
        <w:t>1</w:t>
      </w:r>
    </w:p>
    <w:p w14:paraId="2ECF0B5B" w14:textId="58CC2388" w:rsidR="00E32BDD" w:rsidRDefault="00E32BDD" w:rsidP="00E32BDD">
      <w:pPr>
        <w:spacing w:line="480" w:lineRule="auto"/>
        <w:ind w:firstLine="720"/>
      </w:pPr>
      <w:r>
        <w:t xml:space="preserve"> The purpose of</w:t>
      </w:r>
      <w:r w:rsidR="0085288A">
        <w:t xml:space="preserve"> Study </w:t>
      </w:r>
      <w:r>
        <w:t xml:space="preserve">1 is to investigate whether there exist abstract associations between trend directions in </w:t>
      </w:r>
      <w:r w:rsidR="00F95A0F">
        <w:t>2-dimensional visually</w:t>
      </w:r>
      <w:r>
        <w:t xml:space="preserve"> presented data and the numerosity of that data set, and if these associations are implicated in the act of trend judgment with simplistic non-graphical stimuli. </w:t>
      </w:r>
      <w:r>
        <w:rPr>
          <w:color w:val="000000"/>
        </w:rPr>
        <w:t xml:space="preserve">To test this question, we assessed participants on a trend judgment task in which they judged whether a simple non-graphical test array’s trend, depicted using variable numbers of points, was increasing or decreasing relative to a baseline reference array (with a trend of slope=0). Instead of investigating spatial biases, as increasing and decreasing graphs could elicit different viewing patterns that could appear as biases but not affirmatively indicate conceptual engagement with the mathematical relations, we investigate associations between non-symbolic numerical magnitude and trends. If there are associations between the numerosity </w:t>
      </w:r>
      <w:r>
        <w:rPr>
          <w:color w:val="000000"/>
        </w:rPr>
        <w:lastRenderedPageBreak/>
        <w:t>of the data points in a graph and its trend and trend judgment per se elicits these abstract associations, then participants should have higher performance in judging putatively congruent arrays than incongruent arrays. More specifically, we predicted that participants' performance would increase as the number of points increased for positive trends and that it would decrease with the number of points for negative trends. </w:t>
      </w:r>
    </w:p>
    <w:p w14:paraId="57F3669E" w14:textId="77777777" w:rsidR="00E32BDD" w:rsidRDefault="00E32BDD" w:rsidP="00E32BDD">
      <w:pPr>
        <w:spacing w:line="480" w:lineRule="auto"/>
        <w:ind w:firstLine="720"/>
        <w:rPr>
          <w:color w:val="000000"/>
        </w:rPr>
      </w:pPr>
      <w:r>
        <w:rPr>
          <w:color w:val="000000"/>
        </w:rPr>
        <w:t>We also tested whether this effect would hold in the reverse of the task, that is, when judging the numerosity of the test array relative to the reference array, within each trend direction. Because judging numerosity does not require considering the trend of the dot cloud, observing a similar interference effect in this task would not be expected. </w:t>
      </w:r>
    </w:p>
    <w:p w14:paraId="720E08D4" w14:textId="2FB49CF5" w:rsidR="00E32BDD" w:rsidRPr="00E32BDD" w:rsidRDefault="00E32BDD" w:rsidP="00E32BDD">
      <w:pPr>
        <w:spacing w:line="480" w:lineRule="auto"/>
      </w:pPr>
    </w:p>
    <w:p w14:paraId="716B7A26" w14:textId="014A8DA2" w:rsidR="00D206F1" w:rsidRDefault="00D206F1" w:rsidP="00F05286">
      <w:pPr>
        <w:spacing w:line="480" w:lineRule="auto"/>
        <w:rPr>
          <w:color w:val="000000"/>
        </w:rPr>
      </w:pPr>
    </w:p>
    <w:p w14:paraId="2CCA1C95" w14:textId="77777777" w:rsidR="00D206F1" w:rsidRDefault="00D206F1" w:rsidP="00F05286">
      <w:pPr>
        <w:spacing w:line="480" w:lineRule="auto"/>
        <w:rPr>
          <w:color w:val="000000"/>
        </w:rPr>
      </w:pPr>
    </w:p>
    <w:p w14:paraId="1755AF63" w14:textId="6830802E" w:rsidR="00283DDC" w:rsidRDefault="00283DDC" w:rsidP="00F05286">
      <w:pPr>
        <w:spacing w:line="480" w:lineRule="auto"/>
      </w:pPr>
      <w:r>
        <w:rPr>
          <w:color w:val="000000"/>
        </w:rPr>
        <w:tab/>
      </w:r>
    </w:p>
    <w:sectPr w:rsidR="00283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98B"/>
    <w:rsid w:val="0024732B"/>
    <w:rsid w:val="00283DDC"/>
    <w:rsid w:val="0034198B"/>
    <w:rsid w:val="00371B4E"/>
    <w:rsid w:val="004D0678"/>
    <w:rsid w:val="004F4A1F"/>
    <w:rsid w:val="005256A8"/>
    <w:rsid w:val="0085288A"/>
    <w:rsid w:val="00D206F1"/>
    <w:rsid w:val="00E32BDD"/>
    <w:rsid w:val="00F05286"/>
    <w:rsid w:val="00F74166"/>
    <w:rsid w:val="00F95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B95403"/>
  <w15:chartTrackingRefBased/>
  <w15:docId w15:val="{D0002B0B-00D1-2641-90AD-834279875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98B"/>
    <w:pPr>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34198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34198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34198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34198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34198B"/>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34198B"/>
    <w:pPr>
      <w:keepNext/>
      <w:keepLines/>
      <w:spacing w:before="40" w:line="278"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34198B"/>
    <w:pPr>
      <w:keepNext/>
      <w:keepLines/>
      <w:spacing w:before="40" w:line="278"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34198B"/>
    <w:pPr>
      <w:keepNext/>
      <w:keepLines/>
      <w:spacing w:line="278"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34198B"/>
    <w:pPr>
      <w:keepNext/>
      <w:keepLines/>
      <w:spacing w:line="278"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98B"/>
    <w:rPr>
      <w:rFonts w:eastAsiaTheme="majorEastAsia" w:cstheme="majorBidi"/>
      <w:color w:val="272727" w:themeColor="text1" w:themeTint="D8"/>
    </w:rPr>
  </w:style>
  <w:style w:type="paragraph" w:styleId="Title">
    <w:name w:val="Title"/>
    <w:basedOn w:val="Normal"/>
    <w:next w:val="Normal"/>
    <w:link w:val="TitleChar"/>
    <w:uiPriority w:val="10"/>
    <w:qFormat/>
    <w:rsid w:val="0034198B"/>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341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98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341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98B"/>
    <w:pPr>
      <w:spacing w:before="160" w:after="160" w:line="278"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34198B"/>
    <w:rPr>
      <w:i/>
      <w:iCs/>
      <w:color w:val="404040" w:themeColor="text1" w:themeTint="BF"/>
    </w:rPr>
  </w:style>
  <w:style w:type="paragraph" w:styleId="ListParagraph">
    <w:name w:val="List Paragraph"/>
    <w:basedOn w:val="Normal"/>
    <w:uiPriority w:val="34"/>
    <w:qFormat/>
    <w:rsid w:val="0034198B"/>
    <w:pPr>
      <w:spacing w:after="160" w:line="278"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34198B"/>
    <w:rPr>
      <w:i/>
      <w:iCs/>
      <w:color w:val="0F4761" w:themeColor="accent1" w:themeShade="BF"/>
    </w:rPr>
  </w:style>
  <w:style w:type="paragraph" w:styleId="IntenseQuote">
    <w:name w:val="Intense Quote"/>
    <w:basedOn w:val="Normal"/>
    <w:next w:val="Normal"/>
    <w:link w:val="IntenseQuoteChar"/>
    <w:uiPriority w:val="30"/>
    <w:qFormat/>
    <w:rsid w:val="0034198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34198B"/>
    <w:rPr>
      <w:i/>
      <w:iCs/>
      <w:color w:val="0F4761" w:themeColor="accent1" w:themeShade="BF"/>
    </w:rPr>
  </w:style>
  <w:style w:type="character" w:styleId="IntenseReference">
    <w:name w:val="Intense Reference"/>
    <w:basedOn w:val="DefaultParagraphFont"/>
    <w:uiPriority w:val="32"/>
    <w:qFormat/>
    <w:rsid w:val="003419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8</Pages>
  <Words>2208</Words>
  <Characters>12587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3</cp:revision>
  <dcterms:created xsi:type="dcterms:W3CDTF">2026-05-17T17:11:00Z</dcterms:created>
  <dcterms:modified xsi:type="dcterms:W3CDTF">2026-05-18T23:42:00Z</dcterms:modified>
</cp:coreProperties>
</file>