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EBE6" w14:textId="6E5F07A1" w:rsidR="0046687C" w:rsidRDefault="0046687C" w:rsidP="0046687C">
      <w:pPr>
        <w:spacing w:line="480" w:lineRule="auto"/>
        <w:jc w:val="center"/>
        <w:rPr>
          <w:rFonts w:ascii="Times New Roman" w:hAnsi="Times New Roman" w:cs="Times New Roman"/>
          <w:b/>
          <w:bCs/>
        </w:rPr>
      </w:pPr>
      <w:r>
        <w:rPr>
          <w:rFonts w:ascii="Times New Roman" w:hAnsi="Times New Roman" w:cs="Times New Roman"/>
          <w:b/>
          <w:bCs/>
        </w:rPr>
        <w:t>Study 2 Method</w:t>
      </w:r>
    </w:p>
    <w:p w14:paraId="6251CDA1" w14:textId="5FD5E9F0" w:rsidR="00722370" w:rsidRPr="00F12194" w:rsidRDefault="00722370" w:rsidP="0046687C">
      <w:pPr>
        <w:tabs>
          <w:tab w:val="center" w:pos="4680"/>
        </w:tabs>
        <w:spacing w:line="480" w:lineRule="auto"/>
        <w:rPr>
          <w:rFonts w:ascii="Times New Roman" w:hAnsi="Times New Roman" w:cs="Times New Roman"/>
          <w:b/>
          <w:bCs/>
        </w:rPr>
      </w:pPr>
      <w:r w:rsidRPr="00F12194">
        <w:rPr>
          <w:rFonts w:ascii="Times New Roman" w:hAnsi="Times New Roman" w:cs="Times New Roman"/>
          <w:b/>
          <w:bCs/>
        </w:rPr>
        <w:t>Participants</w:t>
      </w:r>
      <w:r w:rsidR="0046687C">
        <w:rPr>
          <w:rFonts w:ascii="Times New Roman" w:hAnsi="Times New Roman" w:cs="Times New Roman"/>
          <w:b/>
          <w:bCs/>
        </w:rPr>
        <w:tab/>
      </w:r>
    </w:p>
    <w:p w14:paraId="755790C3" w14:textId="35275E58" w:rsidR="00722370" w:rsidRPr="00F12194" w:rsidRDefault="00722370" w:rsidP="00F12194">
      <w:pPr>
        <w:spacing w:line="480" w:lineRule="auto"/>
        <w:ind w:firstLine="720"/>
        <w:rPr>
          <w:rFonts w:ascii="Times New Roman" w:hAnsi="Times New Roman" w:cs="Times New Roman"/>
        </w:rPr>
      </w:pPr>
      <w:r w:rsidRPr="00F12194">
        <w:rPr>
          <w:rFonts w:ascii="Times New Roman" w:hAnsi="Times New Roman" w:cs="Times New Roman"/>
        </w:rPr>
        <w:t xml:space="preserve">Study 2 reanalyzed </w:t>
      </w:r>
      <w:r w:rsidR="00E753B5">
        <w:rPr>
          <w:rFonts w:ascii="Times New Roman" w:hAnsi="Times New Roman" w:cs="Times New Roman"/>
        </w:rPr>
        <w:t>data from the online study conducted by</w:t>
      </w:r>
      <w:r w:rsidRPr="00F12194">
        <w:rPr>
          <w:rFonts w:ascii="Times New Roman" w:hAnsi="Times New Roman" w:cs="Times New Roman"/>
        </w:rPr>
        <w:t xml:space="preserve"> </w:t>
      </w:r>
      <w:proofErr w:type="spellStart"/>
      <w:r w:rsidRPr="00F12194">
        <w:rPr>
          <w:rFonts w:ascii="Times New Roman" w:hAnsi="Times New Roman" w:cs="Times New Roman"/>
        </w:rPr>
        <w:t>Ciccione</w:t>
      </w:r>
      <w:proofErr w:type="spellEnd"/>
      <w:r w:rsidRPr="00F12194">
        <w:rPr>
          <w:rFonts w:ascii="Times New Roman" w:hAnsi="Times New Roman" w:cs="Times New Roman"/>
        </w:rPr>
        <w:t xml:space="preserve"> et al. (2023)</w:t>
      </w:r>
      <w:r w:rsidR="00E753B5">
        <w:rPr>
          <w:rFonts w:ascii="Times New Roman" w:hAnsi="Times New Roman" w:cs="Times New Roman"/>
        </w:rPr>
        <w:t>, specifically from their Western adult sample</w:t>
      </w:r>
      <w:r w:rsidRPr="00F12194">
        <w:rPr>
          <w:rFonts w:ascii="Times New Roman" w:hAnsi="Times New Roman" w:cs="Times New Roman"/>
        </w:rPr>
        <w:t xml:space="preserve">. The original sample included </w:t>
      </w:r>
      <w:r w:rsidR="00E753B5">
        <w:rPr>
          <w:rFonts w:ascii="Times New Roman" w:hAnsi="Times New Roman" w:cs="Times New Roman"/>
        </w:rPr>
        <w:t>4,112</w:t>
      </w:r>
      <w:r w:rsidRPr="00F12194">
        <w:rPr>
          <w:rFonts w:ascii="Times New Roman" w:hAnsi="Times New Roman" w:cs="Times New Roman"/>
        </w:rPr>
        <w:t xml:space="preserve"> participants who completed the online trend-judgment task. Participants were recruited through social networks, primarily Twitter, and completed the task on either a computer or a tactile device. Before beginning the experiment, participants provided written informed consent and declared that they were at least 18 years old. The sample included 2,409 women, 1,294 men, 82 non-binary participants, 20 participants who selected “other,” and 138 participants who preferred not to report their gender.</w:t>
      </w:r>
    </w:p>
    <w:p w14:paraId="77439E2C" w14:textId="37040CBF" w:rsidR="00722370" w:rsidRPr="00F12194" w:rsidRDefault="00722370" w:rsidP="00F12194">
      <w:pPr>
        <w:spacing w:line="480" w:lineRule="auto"/>
        <w:rPr>
          <w:rFonts w:ascii="Times New Roman" w:hAnsi="Times New Roman" w:cs="Times New Roman"/>
          <w:b/>
          <w:bCs/>
        </w:rPr>
      </w:pPr>
      <w:r w:rsidRPr="00F12194">
        <w:rPr>
          <w:rFonts w:ascii="Times New Roman" w:hAnsi="Times New Roman" w:cs="Times New Roman"/>
          <w:b/>
          <w:bCs/>
        </w:rPr>
        <w:t xml:space="preserve">Trend Judgment Task </w:t>
      </w:r>
    </w:p>
    <w:p w14:paraId="40B64B51" w14:textId="11AA2F5A" w:rsidR="00722370" w:rsidRPr="00F12194" w:rsidRDefault="00722370" w:rsidP="00F12194">
      <w:pPr>
        <w:spacing w:line="480" w:lineRule="auto"/>
        <w:rPr>
          <w:rFonts w:ascii="Times New Roman" w:hAnsi="Times New Roman" w:cs="Times New Roman"/>
        </w:rPr>
      </w:pPr>
      <w:r w:rsidRPr="00F12194">
        <w:rPr>
          <w:rFonts w:ascii="Times New Roman" w:hAnsi="Times New Roman" w:cs="Times New Roman"/>
        </w:rPr>
        <w:tab/>
        <w:t xml:space="preserve">Very similar to the trend-judgment task in Study 1, participants viewed a series of noisy </w:t>
      </w:r>
      <w:r w:rsidR="00E753B5">
        <w:rPr>
          <w:rFonts w:ascii="Times New Roman" w:hAnsi="Times New Roman" w:cs="Times New Roman"/>
        </w:rPr>
        <w:t xml:space="preserve">arrays </w:t>
      </w:r>
      <w:r w:rsidRPr="00F12194">
        <w:rPr>
          <w:rFonts w:ascii="Times New Roman" w:hAnsi="Times New Roman" w:cs="Times New Roman"/>
        </w:rPr>
        <w:t>and judged whether each display showed an increasing or decreasing trend</w:t>
      </w:r>
      <w:r w:rsidR="00E753B5">
        <w:rPr>
          <w:rFonts w:ascii="Times New Roman" w:hAnsi="Times New Roman" w:cs="Times New Roman"/>
        </w:rPr>
        <w:t xml:space="preserve">. Importantly, </w:t>
      </w:r>
      <w:proofErr w:type="spellStart"/>
      <w:r w:rsidR="00E753B5">
        <w:rPr>
          <w:rFonts w:ascii="Times New Roman" w:hAnsi="Times New Roman" w:cs="Times New Roman"/>
        </w:rPr>
        <w:t>Ciccione</w:t>
      </w:r>
      <w:proofErr w:type="spellEnd"/>
      <w:r w:rsidR="00E753B5">
        <w:rPr>
          <w:rFonts w:ascii="Times New Roman" w:hAnsi="Times New Roman" w:cs="Times New Roman"/>
        </w:rPr>
        <w:t xml:space="preserve"> et al. (2023) used arrays with axes (i.e., scatter plots), while Study 1 here used blank arrays</w:t>
      </w:r>
      <w:r w:rsidRPr="00F12194">
        <w:rPr>
          <w:rFonts w:ascii="Times New Roman" w:hAnsi="Times New Roman" w:cs="Times New Roman"/>
        </w:rPr>
        <w:t xml:space="preserve">. On each trial, a scatterplot was presented briefly for 100 </w:t>
      </w:r>
      <w:proofErr w:type="spellStart"/>
      <w:r w:rsidRPr="00F12194">
        <w:rPr>
          <w:rFonts w:ascii="Times New Roman" w:hAnsi="Times New Roman" w:cs="Times New Roman"/>
        </w:rPr>
        <w:t>ms</w:t>
      </w:r>
      <w:proofErr w:type="spellEnd"/>
      <w:r w:rsidRPr="00F12194">
        <w:rPr>
          <w:rFonts w:ascii="Times New Roman" w:hAnsi="Times New Roman" w:cs="Times New Roman"/>
        </w:rPr>
        <w:t>, unlike the task in study 1 in which arrays appeared for</w:t>
      </w:r>
      <w:r w:rsidR="00F12194" w:rsidRPr="00F12194">
        <w:rPr>
          <w:rFonts w:ascii="Times New Roman" w:hAnsi="Times New Roman" w:cs="Times New Roman"/>
        </w:rPr>
        <w:t xml:space="preserve"> 1500 </w:t>
      </w:r>
      <w:proofErr w:type="spellStart"/>
      <w:r w:rsidR="00F12194" w:rsidRPr="00F12194">
        <w:rPr>
          <w:rFonts w:ascii="Times New Roman" w:hAnsi="Times New Roman" w:cs="Times New Roman"/>
        </w:rPr>
        <w:t>ms</w:t>
      </w:r>
      <w:proofErr w:type="spellEnd"/>
      <w:r w:rsidRPr="00F12194">
        <w:rPr>
          <w:rFonts w:ascii="Times New Roman" w:hAnsi="Times New Roman" w:cs="Times New Roman"/>
        </w:rPr>
        <w:t xml:space="preserve">, after which participants indicated their response by pressing one of two keys on a computer keyboard or, for smartphone and tablet users, by touching an upward- or downward-pointing arrow. </w:t>
      </w:r>
      <w:r w:rsidR="00E753B5">
        <w:rPr>
          <w:rFonts w:ascii="Times New Roman" w:hAnsi="Times New Roman" w:cs="Times New Roman"/>
        </w:rPr>
        <w:t>As in the Study 1 experiment, the</w:t>
      </w:r>
      <w:r w:rsidRPr="00F12194">
        <w:rPr>
          <w:rFonts w:ascii="Times New Roman" w:hAnsi="Times New Roman" w:cs="Times New Roman"/>
        </w:rPr>
        <w:t xml:space="preserve"> response mapping was randomly </w:t>
      </w:r>
      <w:r w:rsidR="00E753B5">
        <w:rPr>
          <w:rFonts w:ascii="Times New Roman" w:hAnsi="Times New Roman" w:cs="Times New Roman"/>
        </w:rPr>
        <w:t>assig</w:t>
      </w:r>
      <w:r w:rsidRPr="00F12194">
        <w:rPr>
          <w:rFonts w:ascii="Times New Roman" w:hAnsi="Times New Roman" w:cs="Times New Roman"/>
        </w:rPr>
        <w:t xml:space="preserve">ned </w:t>
      </w:r>
      <w:r w:rsidR="00E753B5">
        <w:rPr>
          <w:rFonts w:ascii="Times New Roman" w:hAnsi="Times New Roman" w:cs="Times New Roman"/>
        </w:rPr>
        <w:t>to</w:t>
      </w:r>
      <w:r w:rsidRPr="00F12194">
        <w:rPr>
          <w:rFonts w:ascii="Times New Roman" w:hAnsi="Times New Roman" w:cs="Times New Roman"/>
        </w:rPr>
        <w:t xml:space="preserve"> each participant</w:t>
      </w:r>
      <w:r w:rsidR="00E753B5">
        <w:rPr>
          <w:rFonts w:ascii="Times New Roman" w:hAnsi="Times New Roman" w:cs="Times New Roman"/>
        </w:rPr>
        <w:t xml:space="preserve">. </w:t>
      </w:r>
      <w:r w:rsidRPr="00F12194">
        <w:rPr>
          <w:rFonts w:ascii="Times New Roman" w:hAnsi="Times New Roman" w:cs="Times New Roman"/>
        </w:rPr>
        <w:t>Participants were instructed to respond as quickly and accurately as possible. Correct responses were rewarded with points in a game and were followed by a pleasant sound, while incorrect responses were followed by an unpleasant sound. The full task lasted approximately 6 min.</w:t>
      </w:r>
    </w:p>
    <w:p w14:paraId="20E267D1" w14:textId="38A9A88D" w:rsidR="00722370" w:rsidRPr="00F12194" w:rsidRDefault="00722370" w:rsidP="00F12194">
      <w:pPr>
        <w:spacing w:line="480" w:lineRule="auto"/>
        <w:rPr>
          <w:rFonts w:ascii="Times New Roman" w:hAnsi="Times New Roman" w:cs="Times New Roman"/>
          <w:b/>
          <w:bCs/>
        </w:rPr>
      </w:pPr>
      <w:r w:rsidRPr="00F12194">
        <w:rPr>
          <w:rFonts w:ascii="Times New Roman" w:hAnsi="Times New Roman" w:cs="Times New Roman"/>
          <w:b/>
          <w:bCs/>
        </w:rPr>
        <w:lastRenderedPageBreak/>
        <w:t>Stimuli</w:t>
      </w:r>
    </w:p>
    <w:p w14:paraId="171477EE" w14:textId="6E3190A5" w:rsidR="00722370" w:rsidRPr="00F12194" w:rsidRDefault="00722370" w:rsidP="00F12194">
      <w:pPr>
        <w:spacing w:line="480" w:lineRule="auto"/>
        <w:ind w:firstLine="720"/>
        <w:rPr>
          <w:rFonts w:ascii="Times New Roman" w:hAnsi="Times New Roman" w:cs="Times New Roman"/>
        </w:rPr>
      </w:pPr>
      <w:r w:rsidRPr="00F12194">
        <w:rPr>
          <w:rFonts w:ascii="Times New Roman" w:hAnsi="Times New Roman" w:cs="Times New Roman"/>
        </w:rPr>
        <w:t xml:space="preserve">The stimuli in </w:t>
      </w:r>
      <w:proofErr w:type="spellStart"/>
      <w:r w:rsidRPr="00F12194">
        <w:rPr>
          <w:rFonts w:ascii="Times New Roman" w:hAnsi="Times New Roman" w:cs="Times New Roman"/>
        </w:rPr>
        <w:t>Ciccione</w:t>
      </w:r>
      <w:proofErr w:type="spellEnd"/>
      <w:r w:rsidRPr="00F12194">
        <w:rPr>
          <w:rFonts w:ascii="Times New Roman" w:hAnsi="Times New Roman" w:cs="Times New Roman"/>
        </w:rPr>
        <w:t xml:space="preserve"> et al. (2023) were noisy scatterplots generated in the same general manner as the dot arrays used in Study 1.</w:t>
      </w:r>
      <w:r w:rsidR="00E753B5">
        <w:rPr>
          <w:rFonts w:ascii="Times New Roman" w:hAnsi="Times New Roman" w:cs="Times New Roman"/>
        </w:rPr>
        <w:t xml:space="preserve"> </w:t>
      </w:r>
      <w:r w:rsidRPr="00F12194">
        <w:rPr>
          <w:rFonts w:ascii="Times New Roman" w:hAnsi="Times New Roman" w:cs="Times New Roman"/>
        </w:rPr>
        <w:t xml:space="preserve">Each display represented a set of points generated from a linear equation with added Gaussian noise,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w:r w:rsidRPr="00F12194">
        <w:rPr>
          <w:rFonts w:ascii="Times New Roman" w:hAnsi="Times New Roman" w:cs="Times New Roman"/>
        </w:rPr>
        <w:t xml:space="preserve">, where </w:t>
      </w:r>
      <m:oMath>
        <m:r>
          <w:rPr>
            <w:rFonts w:ascii="Cambria Math" w:hAnsi="Cambria Math" w:cs="Times New Roman"/>
          </w:rPr>
          <m:t>α</m:t>
        </m:r>
        <m:r>
          <w:rPr>
            <w:rFonts w:ascii="Cambria Math" w:hAnsi="Cambria Math" w:cs="Times New Roman"/>
          </w:rPr>
          <m:t xml:space="preserve"> </m:t>
        </m:r>
      </m:oMath>
      <w:r w:rsidRPr="00F12194">
        <w:rPr>
          <w:rFonts w:ascii="Times New Roman" w:hAnsi="Times New Roman" w:cs="Times New Roman"/>
        </w:rPr>
        <w:t xml:space="preserve">specified the prescribed slope 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r>
          <w:rPr>
            <w:rFonts w:ascii="Cambria Math" w:hAnsi="Cambria Math" w:cs="Times New Roman"/>
          </w:rPr>
          <m:t xml:space="preserve"> </m:t>
        </m:r>
      </m:oMath>
      <w:r w:rsidRPr="00F12194">
        <w:rPr>
          <w:rFonts w:ascii="Times New Roman" w:hAnsi="Times New Roman" w:cs="Times New Roman"/>
        </w:rPr>
        <w:t xml:space="preserve">was sampled from a normal distribution centered at zero with standard deviation </w:t>
      </w:r>
      <m:oMath>
        <m:r>
          <w:rPr>
            <w:rFonts w:ascii="Cambria Math" w:hAnsi="Cambria Math" w:cs="Times New Roman"/>
          </w:rPr>
          <m:t>σ</m:t>
        </m:r>
      </m:oMath>
      <w:r w:rsidRPr="00F12194">
        <w:rPr>
          <w:rFonts w:ascii="Times New Roman" w:hAnsi="Times New Roman" w:cs="Times New Roman"/>
        </w:rPr>
        <w:t xml:space="preserve">. As in Study 1, the x-coordinates were fixed and equally spaced, and displays varied parametrically in both trend direction and numerosity. However, Ciccione et al.’s stimuli differed from ours in several ways. First, their displays were presented as scatterplots with axes, whereas our Study 1 displays were axis-free dot arrays. Second, their stimuli varied over a wider range of numerosities: 6, 18, 38, or 66 points, compared with 12, 14, 16, 18, 20, or 22 points in </w:t>
      </w:r>
      <w:r w:rsidR="00E753B5">
        <w:rPr>
          <w:rFonts w:ascii="Times New Roman" w:hAnsi="Times New Roman" w:cs="Times New Roman"/>
        </w:rPr>
        <w:t xml:space="preserve">the </w:t>
      </w:r>
      <w:r w:rsidRPr="00F12194">
        <w:rPr>
          <w:rFonts w:ascii="Times New Roman" w:hAnsi="Times New Roman" w:cs="Times New Roman"/>
        </w:rPr>
        <w:t>Study 1</w:t>
      </w:r>
      <w:r w:rsidR="00E753B5">
        <w:rPr>
          <w:rFonts w:ascii="Times New Roman" w:hAnsi="Times New Roman" w:cs="Times New Roman"/>
        </w:rPr>
        <w:t xml:space="preserve"> experiment</w:t>
      </w:r>
      <w:r w:rsidRPr="00F12194">
        <w:rPr>
          <w:rFonts w:ascii="Times New Roman" w:hAnsi="Times New Roman" w:cs="Times New Roman"/>
        </w:rPr>
        <w:t xml:space="preserve">. Third, Ciccione et al. manipulated noise level directly, using four values of </w:t>
      </w:r>
      <m:oMath>
        <m:r>
          <w:rPr>
            <w:rFonts w:ascii="Cambria Math" w:hAnsi="Cambria Math" w:cs="Times New Roman"/>
          </w:rPr>
          <m:t>σ</m:t>
        </m:r>
      </m:oMath>
      <w:r w:rsidRPr="00F12194">
        <w:rPr>
          <w:rFonts w:ascii="Times New Roman" w:hAnsi="Times New Roman" w:cs="Times New Roman"/>
        </w:rPr>
        <w:t xml:space="preserve">: 0.05, 0.10, 0.15, and 0.20. Finally, their displays used seven </w:t>
      </w:r>
      <w:r w:rsidR="00E753B5">
        <w:rPr>
          <w:rFonts w:ascii="Times New Roman" w:hAnsi="Times New Roman" w:cs="Times New Roman"/>
        </w:rPr>
        <w:t xml:space="preserve">different </w:t>
      </w:r>
      <w:r w:rsidRPr="00F12194">
        <w:rPr>
          <w:rFonts w:ascii="Times New Roman" w:hAnsi="Times New Roman" w:cs="Times New Roman"/>
        </w:rPr>
        <w:t>prescribed slopes: −0.1875, −0.125, −0.0625, 0, 0.0625, 0.125, and 0.1875.</w:t>
      </w:r>
      <w:r w:rsidR="00E753B5">
        <w:rPr>
          <w:rFonts w:ascii="Times New Roman" w:hAnsi="Times New Roman" w:cs="Times New Roman"/>
        </w:rPr>
        <w:t xml:space="preserve"> Just as the Study 1 experiment did with the number of points and slopes, they crossed</w:t>
      </w:r>
      <w:r w:rsidRPr="00F12194">
        <w:rPr>
          <w:rFonts w:ascii="Times New Roman" w:hAnsi="Times New Roman" w:cs="Times New Roman"/>
        </w:rPr>
        <w:t xml:space="preserve"> the slope, noise, and numerosity values </w:t>
      </w:r>
      <w:r w:rsidR="00E753B5">
        <w:rPr>
          <w:rFonts w:ascii="Times New Roman" w:hAnsi="Times New Roman" w:cs="Times New Roman"/>
        </w:rPr>
        <w:t xml:space="preserve">to </w:t>
      </w:r>
      <w:r w:rsidRPr="00F12194">
        <w:rPr>
          <w:rFonts w:ascii="Times New Roman" w:hAnsi="Times New Roman" w:cs="Times New Roman"/>
        </w:rPr>
        <w:t xml:space="preserve">produce 112 scatterplots </w:t>
      </w:r>
      <w:r w:rsidR="00986925" w:rsidRPr="00F12194">
        <w:rPr>
          <w:rFonts w:ascii="Times New Roman" w:hAnsi="Times New Roman" w:cs="Times New Roman"/>
        </w:rPr>
        <w:t xml:space="preserve">that </w:t>
      </w:r>
      <w:r w:rsidRPr="00F12194">
        <w:rPr>
          <w:rFonts w:ascii="Times New Roman" w:hAnsi="Times New Roman" w:cs="Times New Roman"/>
        </w:rPr>
        <w:t xml:space="preserve">they presented to participants. </w:t>
      </w:r>
      <w:r w:rsidR="00986925" w:rsidRPr="00F12194">
        <w:rPr>
          <w:rFonts w:ascii="Times New Roman" w:hAnsi="Times New Roman" w:cs="Times New Roman"/>
        </w:rPr>
        <w:t>Despite these differences</w:t>
      </w:r>
      <w:r w:rsidR="00E753B5">
        <w:rPr>
          <w:rFonts w:ascii="Times New Roman" w:hAnsi="Times New Roman" w:cs="Times New Roman"/>
        </w:rPr>
        <w:t>, it should be clear that</w:t>
      </w:r>
      <w:r w:rsidR="00986925" w:rsidRPr="00F12194">
        <w:rPr>
          <w:rFonts w:ascii="Times New Roman" w:hAnsi="Times New Roman" w:cs="Times New Roman"/>
        </w:rPr>
        <w:t xml:space="preserve"> the </w:t>
      </w:r>
      <w:r w:rsidR="00E753B5">
        <w:rPr>
          <w:rFonts w:ascii="Times New Roman" w:hAnsi="Times New Roman" w:cs="Times New Roman"/>
        </w:rPr>
        <w:t xml:space="preserve">data are well-suited to answer </w:t>
      </w:r>
      <w:r w:rsidR="00986925" w:rsidRPr="00F12194">
        <w:rPr>
          <w:rFonts w:ascii="Times New Roman" w:hAnsi="Times New Roman" w:cs="Times New Roman"/>
        </w:rPr>
        <w:t>whether the numerosity influences judgments of trends differentially based on their sign</w:t>
      </w:r>
      <w:r w:rsidR="00E753B5">
        <w:rPr>
          <w:rFonts w:ascii="Times New Roman" w:hAnsi="Times New Roman" w:cs="Times New Roman"/>
        </w:rPr>
        <w:t xml:space="preserve">. </w:t>
      </w:r>
    </w:p>
    <w:p w14:paraId="577D5E78" w14:textId="735C61BD" w:rsidR="00986925" w:rsidRPr="00F12194" w:rsidRDefault="00986925" w:rsidP="00F12194">
      <w:pPr>
        <w:spacing w:line="480" w:lineRule="auto"/>
        <w:rPr>
          <w:rFonts w:ascii="Times New Roman" w:hAnsi="Times New Roman" w:cs="Times New Roman"/>
          <w:b/>
          <w:bCs/>
        </w:rPr>
      </w:pPr>
      <w:r w:rsidRPr="00F12194">
        <w:rPr>
          <w:rFonts w:ascii="Times New Roman" w:hAnsi="Times New Roman" w:cs="Times New Roman"/>
          <w:b/>
          <w:bCs/>
        </w:rPr>
        <w:t>Analyses</w:t>
      </w:r>
    </w:p>
    <w:p w14:paraId="3F48BCA4" w14:textId="2E32298C" w:rsidR="00986925" w:rsidRPr="00F12194" w:rsidRDefault="00986925" w:rsidP="00F12194">
      <w:pPr>
        <w:spacing w:line="480" w:lineRule="auto"/>
        <w:rPr>
          <w:rFonts w:ascii="Times New Roman" w:hAnsi="Times New Roman" w:cs="Times New Roman"/>
        </w:rPr>
      </w:pPr>
      <w:r w:rsidRPr="00F12194">
        <w:rPr>
          <w:rFonts w:ascii="Times New Roman" w:hAnsi="Times New Roman" w:cs="Times New Roman"/>
        </w:rPr>
        <w:tab/>
        <w:t xml:space="preserve">Using this dataset, we sought to answer the same question as Study 1: whether the number of points of a scatter plot influences the judgments of its trend, depending on the direction of the trend, such that increasing trends are faster and more accurate to judge as the number of points increases, and decreasing trends are faster and more accurate to judge as the </w:t>
      </w:r>
      <w:r w:rsidRPr="00F12194">
        <w:rPr>
          <w:rFonts w:ascii="Times New Roman" w:hAnsi="Times New Roman" w:cs="Times New Roman"/>
        </w:rPr>
        <w:lastRenderedPageBreak/>
        <w:t>number of points decreases. To do so, we had to modify some of the coding of the factors used in the original analyses.</w:t>
      </w:r>
    </w:p>
    <w:p w14:paraId="6BAFA6A8" w14:textId="77777777" w:rsidR="00C221E0" w:rsidRPr="00F12194" w:rsidRDefault="00986925" w:rsidP="00F12194">
      <w:pPr>
        <w:spacing w:line="480" w:lineRule="auto"/>
        <w:rPr>
          <w:rFonts w:ascii="Times New Roman" w:hAnsi="Times New Roman" w:cs="Times New Roman"/>
        </w:rPr>
      </w:pPr>
      <w:r w:rsidRPr="00F12194">
        <w:rPr>
          <w:rFonts w:ascii="Times New Roman" w:hAnsi="Times New Roman" w:cs="Times New Roman"/>
        </w:rPr>
        <w:tab/>
        <w:t xml:space="preserve">First, because of the method of </w:t>
      </w:r>
      <w:r w:rsidR="00496A67" w:rsidRPr="00F12194">
        <w:rPr>
          <w:rFonts w:ascii="Times New Roman" w:hAnsi="Times New Roman" w:cs="Times New Roman"/>
        </w:rPr>
        <w:t>stimulus</w:t>
      </w:r>
      <w:r w:rsidRPr="00F12194">
        <w:rPr>
          <w:rFonts w:ascii="Times New Roman" w:hAnsi="Times New Roman" w:cs="Times New Roman"/>
        </w:rPr>
        <w:t xml:space="preserve"> generation, which includes random noise, </w:t>
      </w:r>
      <w:proofErr w:type="gramStart"/>
      <w:r w:rsidR="00496A67" w:rsidRPr="00F12194">
        <w:rPr>
          <w:rFonts w:ascii="Times New Roman" w:hAnsi="Times New Roman" w:cs="Times New Roman"/>
        </w:rPr>
        <w:t>similar to</w:t>
      </w:r>
      <w:proofErr w:type="gramEnd"/>
      <w:r w:rsidR="00496A67" w:rsidRPr="00F12194">
        <w:rPr>
          <w:rFonts w:ascii="Times New Roman" w:hAnsi="Times New Roman" w:cs="Times New Roman"/>
        </w:rPr>
        <w:t xml:space="preserve"> an</w:t>
      </w:r>
      <w:r w:rsidRPr="00F12194">
        <w:rPr>
          <w:rFonts w:ascii="Times New Roman" w:hAnsi="Times New Roman" w:cs="Times New Roman"/>
        </w:rPr>
        <w:t xml:space="preserve"> issue we encountered, graphs could be generated with the opposite trend direction </w:t>
      </w:r>
      <w:r w:rsidR="00496A67" w:rsidRPr="00F12194">
        <w:rPr>
          <w:rFonts w:ascii="Times New Roman" w:hAnsi="Times New Roman" w:cs="Times New Roman"/>
        </w:rPr>
        <w:t>from</w:t>
      </w:r>
      <w:r w:rsidRPr="00F12194">
        <w:rPr>
          <w:rFonts w:ascii="Times New Roman" w:hAnsi="Times New Roman" w:cs="Times New Roman"/>
        </w:rPr>
        <w:t xml:space="preserve"> </w:t>
      </w:r>
      <w:r w:rsidR="00496A67" w:rsidRPr="00F12194">
        <w:rPr>
          <w:rFonts w:ascii="Times New Roman" w:hAnsi="Times New Roman" w:cs="Times New Roman"/>
        </w:rPr>
        <w:t xml:space="preserve">the </w:t>
      </w:r>
      <w:r w:rsidRPr="00F12194">
        <w:rPr>
          <w:rFonts w:ascii="Times New Roman" w:hAnsi="Times New Roman" w:cs="Times New Roman"/>
        </w:rPr>
        <w:t>intended</w:t>
      </w:r>
      <w:r w:rsidR="00496A67" w:rsidRPr="00F12194">
        <w:rPr>
          <w:rFonts w:ascii="Times New Roman" w:hAnsi="Times New Roman" w:cs="Times New Roman"/>
        </w:rPr>
        <w:t xml:space="preserve"> one,</w:t>
      </w:r>
      <w:r w:rsidRPr="00F12194">
        <w:rPr>
          <w:rFonts w:ascii="Times New Roman" w:hAnsi="Times New Roman" w:cs="Times New Roman"/>
        </w:rPr>
        <w:t xml:space="preserve"> especially for shallow trends. </w:t>
      </w:r>
      <w:r w:rsidR="00496A67" w:rsidRPr="00F12194">
        <w:rPr>
          <w:rFonts w:ascii="Times New Roman" w:hAnsi="Times New Roman" w:cs="Times New Roman"/>
        </w:rPr>
        <w:t xml:space="preserve">To ensure </w:t>
      </w:r>
      <w:r w:rsidR="00496A67" w:rsidRPr="00F12194">
        <w:rPr>
          <w:rFonts w:ascii="Times New Roman" w:hAnsi="Times New Roman" w:cs="Times New Roman"/>
          <w:kern w:val="0"/>
          <w14:ligatures w14:val="none"/>
        </w:rPr>
        <w:t>that the small effect we observed would not be obscured by such miscoding, we recoded the trend direction based on the observed slope, with negative slopes coded as decreasing and positive as</w:t>
      </w:r>
      <w:r w:rsidR="00496A67" w:rsidRPr="00F12194">
        <w:rPr>
          <w:rFonts w:ascii="Times New Roman" w:hAnsi="Times New Roman" w:cs="Times New Roman"/>
        </w:rPr>
        <w:t xml:space="preserve"> increasing. In addition, to maintain consistency with our data, we excluded trials that were too fast to be processed (200 </w:t>
      </w:r>
      <w:proofErr w:type="spellStart"/>
      <w:r w:rsidR="00496A67" w:rsidRPr="00F12194">
        <w:rPr>
          <w:rFonts w:ascii="Times New Roman" w:hAnsi="Times New Roman" w:cs="Times New Roman"/>
        </w:rPr>
        <w:t>ms</w:t>
      </w:r>
      <w:proofErr w:type="spellEnd"/>
      <w:r w:rsidR="00496A67" w:rsidRPr="00F12194">
        <w:rPr>
          <w:rFonts w:ascii="Times New Roman" w:hAnsi="Times New Roman" w:cs="Times New Roman"/>
        </w:rPr>
        <w:t xml:space="preserve">) and trials longer than 3000 </w:t>
      </w:r>
      <w:proofErr w:type="spellStart"/>
      <w:r w:rsidR="00496A67" w:rsidRPr="00F12194">
        <w:rPr>
          <w:rFonts w:ascii="Times New Roman" w:hAnsi="Times New Roman" w:cs="Times New Roman"/>
        </w:rPr>
        <w:t>ms.</w:t>
      </w:r>
      <w:proofErr w:type="spellEnd"/>
      <w:r w:rsidR="00496A67" w:rsidRPr="00F12194">
        <w:rPr>
          <w:rFonts w:ascii="Times New Roman" w:hAnsi="Times New Roman" w:cs="Times New Roman"/>
        </w:rPr>
        <w:t xml:space="preserve"> </w:t>
      </w:r>
    </w:p>
    <w:p w14:paraId="2F372669" w14:textId="27D4C37F" w:rsidR="00C221E0" w:rsidRPr="00F12194" w:rsidRDefault="00C221E0" w:rsidP="00F12194">
      <w:pPr>
        <w:spacing w:line="480" w:lineRule="auto"/>
        <w:ind w:firstLine="720"/>
        <w:rPr>
          <w:rFonts w:ascii="Times New Roman" w:hAnsi="Times New Roman" w:cs="Times New Roman"/>
        </w:rPr>
      </w:pPr>
    </w:p>
    <w:p w14:paraId="245EC5D6" w14:textId="77777777" w:rsidR="00C221E0" w:rsidRPr="00F12194" w:rsidRDefault="00C221E0" w:rsidP="00F12194">
      <w:pPr>
        <w:spacing w:line="480" w:lineRule="auto"/>
        <w:ind w:firstLine="720"/>
        <w:rPr>
          <w:rFonts w:ascii="Times New Roman" w:hAnsi="Times New Roman" w:cs="Times New Roman"/>
        </w:rPr>
      </w:pPr>
    </w:p>
    <w:p w14:paraId="5267A8B4" w14:textId="77777777" w:rsidR="00C221E0" w:rsidRPr="00F12194" w:rsidRDefault="00C221E0" w:rsidP="00F12194">
      <w:pPr>
        <w:spacing w:line="480" w:lineRule="auto"/>
        <w:rPr>
          <w:rFonts w:ascii="Times New Roman" w:hAnsi="Times New Roman" w:cs="Times New Roman"/>
        </w:rPr>
      </w:pPr>
    </w:p>
    <w:sectPr w:rsidR="00C221E0" w:rsidRPr="00F12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70"/>
    <w:rsid w:val="0024732B"/>
    <w:rsid w:val="0046687C"/>
    <w:rsid w:val="00496A67"/>
    <w:rsid w:val="004E3188"/>
    <w:rsid w:val="0066518F"/>
    <w:rsid w:val="00722370"/>
    <w:rsid w:val="00947EEF"/>
    <w:rsid w:val="00986925"/>
    <w:rsid w:val="00A32C20"/>
    <w:rsid w:val="00B74803"/>
    <w:rsid w:val="00C221E0"/>
    <w:rsid w:val="00E753B5"/>
    <w:rsid w:val="00F12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D9546"/>
  <w15:chartTrackingRefBased/>
  <w15:docId w15:val="{E86EE673-ECF5-E84F-935A-A8AC4F8A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70"/>
    <w:rPr>
      <w:rFonts w:eastAsiaTheme="majorEastAsia" w:cstheme="majorBidi"/>
      <w:color w:val="272727" w:themeColor="text1" w:themeTint="D8"/>
    </w:rPr>
  </w:style>
  <w:style w:type="paragraph" w:styleId="Title">
    <w:name w:val="Title"/>
    <w:basedOn w:val="Normal"/>
    <w:next w:val="Normal"/>
    <w:link w:val="TitleChar"/>
    <w:uiPriority w:val="10"/>
    <w:qFormat/>
    <w:rsid w:val="00722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70"/>
    <w:pPr>
      <w:spacing w:before="160"/>
      <w:jc w:val="center"/>
    </w:pPr>
    <w:rPr>
      <w:i/>
      <w:iCs/>
      <w:color w:val="404040" w:themeColor="text1" w:themeTint="BF"/>
    </w:rPr>
  </w:style>
  <w:style w:type="character" w:customStyle="1" w:styleId="QuoteChar">
    <w:name w:val="Quote Char"/>
    <w:basedOn w:val="DefaultParagraphFont"/>
    <w:link w:val="Quote"/>
    <w:uiPriority w:val="29"/>
    <w:rsid w:val="00722370"/>
    <w:rPr>
      <w:i/>
      <w:iCs/>
      <w:color w:val="404040" w:themeColor="text1" w:themeTint="BF"/>
    </w:rPr>
  </w:style>
  <w:style w:type="paragraph" w:styleId="ListParagraph">
    <w:name w:val="List Paragraph"/>
    <w:basedOn w:val="Normal"/>
    <w:uiPriority w:val="34"/>
    <w:qFormat/>
    <w:rsid w:val="00722370"/>
    <w:pPr>
      <w:ind w:left="720"/>
      <w:contextualSpacing/>
    </w:pPr>
  </w:style>
  <w:style w:type="character" w:styleId="IntenseEmphasis">
    <w:name w:val="Intense Emphasis"/>
    <w:basedOn w:val="DefaultParagraphFont"/>
    <w:uiPriority w:val="21"/>
    <w:qFormat/>
    <w:rsid w:val="00722370"/>
    <w:rPr>
      <w:i/>
      <w:iCs/>
      <w:color w:val="0F4761" w:themeColor="accent1" w:themeShade="BF"/>
    </w:rPr>
  </w:style>
  <w:style w:type="paragraph" w:styleId="IntenseQuote">
    <w:name w:val="Intense Quote"/>
    <w:basedOn w:val="Normal"/>
    <w:next w:val="Normal"/>
    <w:link w:val="IntenseQuoteChar"/>
    <w:uiPriority w:val="30"/>
    <w:qFormat/>
    <w:rsid w:val="0072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370"/>
    <w:rPr>
      <w:i/>
      <w:iCs/>
      <w:color w:val="0F4761" w:themeColor="accent1" w:themeShade="BF"/>
    </w:rPr>
  </w:style>
  <w:style w:type="character" w:styleId="IntenseReference">
    <w:name w:val="Intense Reference"/>
    <w:basedOn w:val="DefaultParagraphFont"/>
    <w:uiPriority w:val="32"/>
    <w:qFormat/>
    <w:rsid w:val="00722370"/>
    <w:rPr>
      <w:b/>
      <w:bCs/>
      <w:smallCaps/>
      <w:color w:val="0F4761" w:themeColor="accent1" w:themeShade="BF"/>
      <w:spacing w:val="5"/>
    </w:rPr>
  </w:style>
  <w:style w:type="paragraph" w:styleId="NormalWeb">
    <w:name w:val="Normal (Web)"/>
    <w:basedOn w:val="Normal"/>
    <w:uiPriority w:val="99"/>
    <w:semiHidden/>
    <w:unhideWhenUsed/>
    <w:rsid w:val="00C221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7</cp:revision>
  <dcterms:created xsi:type="dcterms:W3CDTF">2026-05-17T18:40:00Z</dcterms:created>
  <dcterms:modified xsi:type="dcterms:W3CDTF">2026-05-19T18:32:00Z</dcterms:modified>
</cp:coreProperties>
</file>